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 Т В Е Р Ж Д А Ю»</w:t>
      </w:r>
    </w:p>
    <w:p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Калининского филиала</w:t>
      </w:r>
    </w:p>
    <w:p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ФГБУ «Управление «Кубаньмелиоводхоз»</w:t>
      </w:r>
    </w:p>
    <w:p>
      <w:pPr>
        <w:pStyle w:val="aff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r>
        <w:rPr>
          <w:rFonts w:ascii="Times New Roman" w:hAnsi="Times New Roman" w:cs="Times New Roman"/>
          <w:bCs/>
          <w:sz w:val="24"/>
          <w:szCs w:val="24"/>
        </w:rPr>
        <w:t xml:space="preserve">В.Н. Башкиров</w:t>
      </w:r>
    </w:p>
    <w:p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</w:t>
      </w:r>
      <w:r>
        <w:rPr>
          <w:rFonts w:ascii="Times New Roman" w:hAnsi="Times New Roman" w:cs="Times New Roman"/>
          <w:bCs/>
          <w:sz w:val="24"/>
          <w:szCs w:val="24"/>
        </w:rPr>
        <w:t xml:space="preserve">04»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августа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2026 г.</w:t>
      </w:r>
    </w:p>
    <w:p>
      <w:pPr>
        <w:pStyle w:val="aff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М.П. </w:t>
      </w:r>
    </w:p>
    <w:p>
      <w:pPr>
        <w:pStyle w:val="aff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pStyle w:val="aff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Техническое задание</w:t>
      </w:r>
    </w:p>
    <w:p>
      <w:pPr>
        <w:pStyle w:val="aff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 оказание услуг по ремонту оргтехники</w:t>
      </w:r>
    </w:p>
    <w:p>
      <w:pPr>
        <w:pStyle w:val="aff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Калининского филиала ФГБУ «Управление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«Кубаньмелиоводхоз»</w:t>
      </w:r>
    </w:p>
    <w:p>
      <w:pPr>
        <w:pStyle w:val="aff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содержания оборудования в исправном состоянии и постоянной готовности, необходимо осуществить оказание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услуг по ремонту и техническому обслуживанию компьютерной техники, средств печати и копирования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</w:t>
      </w:r>
      <w:r>
        <w:rPr>
          <w:rFonts w:ascii="Times New Roman" w:hAnsi="Times New Roman" w:cs="Times New Roman"/>
          <w:sz w:val="24"/>
          <w:szCs w:val="24"/>
        </w:rPr>
        <w:t xml:space="preserve">и и с характеристиками, представленными в Приложение № 1.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eastAsia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З</w:t>
      </w:r>
      <w:r>
        <w:rPr>
          <w:rFonts w:ascii="Times New Roman" w:hAnsi="Times New Roman" w:eastAsia="Times New Roman" w:cs="Times New Roman"/>
          <w:b/>
          <w:sz w:val="24"/>
          <w:szCs w:val="24"/>
          <w:lang w:val="zh-CN" w:eastAsia="zh-CN"/>
        </w:rPr>
        <w:t xml:space="preserve">аказчик: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Калининский филиал ФГБУ «Управление «Кубаньмелиоводхоз».</w:t>
      </w:r>
    </w:p>
    <w:p>
      <w:pPr>
        <w:pStyle w:val="aff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Адрес: РФ</w:t>
      </w:r>
      <w:r>
        <w:rPr>
          <w:rFonts w:ascii="Times New Roman" w:hAnsi="Times New Roman" w:cs="Times New Roman"/>
          <w:bCs/>
          <w:sz w:val="24"/>
          <w:szCs w:val="24"/>
        </w:rPr>
        <w:t xml:space="preserve">, 353780, Краснодарский край, Калининский район, ст. Калининская, ул. Заречная, д.25</w:t>
      </w:r>
    </w:p>
    <w:p>
      <w:pPr>
        <w:pStyle w:val="aff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качеству, к </w:t>
      </w:r>
      <w:r>
        <w:rPr>
          <w:rFonts w:ascii="Times New Roman" w:hAnsi="Times New Roman" w:cs="Times New Roman"/>
          <w:b/>
          <w:sz w:val="24"/>
          <w:szCs w:val="24"/>
        </w:rPr>
        <w:t xml:space="preserve">характеристикам оказания услуг, требования к их безопасности, требования к результатам услуг и иные показатели:</w:t>
      </w:r>
    </w:p>
    <w:p>
      <w:pPr>
        <w:pStyle w:val="a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предоставляемых услуг должны входить услуги по предотвращению возникновения отказов и восстановлению работоспособности оборудования.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еобходимо обеспечить услуги диагностики оборудования. Диагностика и техническое обслуживание крупногабаритного оборудования должно производиться по месту нахождения указанного оборудования в Калининском филиале ФГБУ «Управление «Кубаньмелиоводхоз». Организ</w:t>
      </w:r>
      <w:r>
        <w:rPr>
          <w:rFonts w:ascii="Times New Roman" w:hAnsi="Times New Roman" w:cs="Times New Roman"/>
          <w:sz w:val="24"/>
          <w:szCs w:val="24"/>
        </w:rPr>
        <w:t xml:space="preserve">ацию доступа для оказания услуг по техническому обслуживанию и ремонту такого оборудования обеспечивает Заказчик.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техники   осуществляется по следующему адресу Заказчика: Краснодарский край, Калининский район, станица Калининская, ул. Заречная, д.</w:t>
      </w:r>
      <w:r>
        <w:rPr>
          <w:rFonts w:ascii="Times New Roman" w:hAnsi="Times New Roman" w:cs="Times New Roman"/>
          <w:sz w:val="24"/>
          <w:szCs w:val="24"/>
        </w:rPr>
        <w:t xml:space="preserve">25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передаче оргтехники Исполнителю представители сторон заполняют и подписывают акт приема-передачи, подтверждающий приём Исполнителем оргтехники Заказчика на временное ответственное хранение для оказания услуг.</w:t>
      </w:r>
    </w:p>
    <w:p>
      <w:pPr>
        <w:pStyle w:val="aff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должен обеспечить ремонт орг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техники (многофункциональных устройств МФУ) с использованием собственных запасных частей для обеспечения эффективной и бесперебойной работы оборудования, в соответствии с нормами и правилами, определёнными в технической документации фирмы-изготовителя. Все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работы по выполнению услуги Исполнитель производит в собственном сервисном центре, расходы по транспортировке Исполнитель производит за свой счет.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обязан оказать услуги по фактической потребности Заказчика в пределах цены Договора и обеспечит</w:t>
      </w:r>
      <w:r>
        <w:rPr>
          <w:rFonts w:ascii="Times New Roman" w:hAnsi="Times New Roman" w:cs="Times New Roman"/>
          <w:sz w:val="24"/>
          <w:szCs w:val="24"/>
        </w:rPr>
        <w:t xml:space="preserve">ь их надлежащее качество, в соответствии с действующими техническими условиями на данные виды услуг с применением собственных запасных частей.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оказания услуг составляет 2 рабочих дня с момента отправления Заявки заказчика, при ремонте, который требует замену сложных узлов должен составлять не более 5 (рабочих) дней с даты отправления Заявки Заказчиком, и должен быть согласован с</w:t>
      </w:r>
      <w:r>
        <w:rPr>
          <w:rFonts w:ascii="Times New Roman" w:hAnsi="Times New Roman" w:cs="Times New Roman"/>
          <w:sz w:val="24"/>
          <w:szCs w:val="24"/>
        </w:rPr>
        <w:t xml:space="preserve"> ним.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по требованию Заказчика обеспечивает на время оказания услуг подменной техникой аналогичного класса, как и переданная в ремонт.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должен обеспечить Заказчика контактными телефонами, по которым представитель Заказчика мог информ</w:t>
      </w:r>
      <w:r>
        <w:rPr>
          <w:rFonts w:ascii="Times New Roman" w:hAnsi="Times New Roman" w:cs="Times New Roman"/>
          <w:sz w:val="24"/>
          <w:szCs w:val="24"/>
        </w:rPr>
        <w:t xml:space="preserve">ировать квалифицированный персонал Исполнителя или его представителя о дефектах в работе техники, проводить консультации по вопросам </w:t>
      </w:r>
      <w:r>
        <w:rPr>
          <w:rFonts w:ascii="Times New Roman" w:hAnsi="Times New Roman" w:cs="Times New Roman"/>
          <w:sz w:val="24"/>
          <w:szCs w:val="24"/>
        </w:rPr>
        <w:t xml:space="preserve">эксплуатации техники. Контактные телефоны должны функционировать в рабочее время Заказчика. Рабочее время Заказчика – с 8:0</w:t>
      </w:r>
      <w:r>
        <w:rPr>
          <w:rFonts w:ascii="Times New Roman" w:hAnsi="Times New Roman" w:cs="Times New Roman"/>
          <w:sz w:val="24"/>
          <w:szCs w:val="24"/>
        </w:rPr>
        <w:t xml:space="preserve">0 до 17:00 (время местное) с понедельника по пятницу за исключением общегосударственных выходных и праздничных дней.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ремонтно-восстановительных работ Исполнитель оформляет Акт о результатах ремонта (обслуживания) оборудования, картриджей предс</w:t>
      </w:r>
      <w:r>
        <w:rPr>
          <w:rFonts w:ascii="Times New Roman" w:hAnsi="Times New Roman" w:cs="Times New Roman"/>
          <w:sz w:val="24"/>
          <w:szCs w:val="24"/>
        </w:rPr>
        <w:t xml:space="preserve">тавляемого на техническое обслуживание и ремонтно-восстановительные работы. Результаты оказанных услуг отражаются в Акте, Акт заверяется подписью представителя Заказчика, получившим оборудование, картриджи и представителем Исполнителя, один экземпляр остае</w:t>
      </w:r>
      <w:r>
        <w:rPr>
          <w:rFonts w:ascii="Times New Roman" w:hAnsi="Times New Roman" w:cs="Times New Roman"/>
          <w:sz w:val="24"/>
          <w:szCs w:val="24"/>
        </w:rPr>
        <w:t xml:space="preserve">тся у Исполнителя, второй – передается представителю Заказчика, получившему оборудование, картриджи.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когда восстановление работоспособности оборудования, картриджей нецелесообразно в связи с его предельным износом, Исполнитель информирует об этом</w:t>
      </w:r>
      <w:r>
        <w:rPr>
          <w:rFonts w:ascii="Times New Roman" w:hAnsi="Times New Roman" w:cs="Times New Roman"/>
          <w:sz w:val="24"/>
          <w:szCs w:val="24"/>
        </w:rPr>
        <w:t xml:space="preserve"> Заказчика, если указанный факт выявлен сразу при первичном осмотре. Заказчик, в свою очередь, имеет право отказаться от ремонта, либо запросить проведение диагностики, сделав соответствующую запись в Акте. В случае, когда нецелесообразность проведения раб</w:t>
      </w:r>
      <w:r>
        <w:rPr>
          <w:rFonts w:ascii="Times New Roman" w:hAnsi="Times New Roman" w:cs="Times New Roman"/>
          <w:sz w:val="24"/>
          <w:szCs w:val="24"/>
        </w:rPr>
        <w:t xml:space="preserve">от выявлена не сразу, а после согласия Заказчика на ремонт, так как причины неисправности носят сложный характер, Исполнитель отражает проведенную диагностику в Акте. Форму Акта разрабатывает Исполнитель.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по ремонту оргтехники </w:t>
      </w:r>
      <w:r>
        <w:rPr>
          <w:rFonts w:ascii="Times New Roman" w:hAnsi="Times New Roman" w:cs="Times New Roman"/>
          <w:sz w:val="24"/>
          <w:szCs w:val="24"/>
        </w:rPr>
        <w:t xml:space="preserve"> включают в себя:</w:t>
      </w:r>
      <w:r>
        <w:rPr>
          <w:rFonts w:ascii="Times New Roman" w:hAnsi="Times New Roman" w:cs="Times New Roman"/>
          <w:sz w:val="24"/>
          <w:szCs w:val="24"/>
        </w:rPr>
        <w:t xml:space="preserve"> диагностику профилактику и чистку оборудования, и ремонтные работы.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– осмотр техники, выявление неисправности, рекомендации по устранению неисправности (заключение по результатам диагностики, ремонт без замены запасных частей, расходных матери</w:t>
      </w:r>
      <w:r>
        <w:rPr>
          <w:rFonts w:ascii="Times New Roman" w:hAnsi="Times New Roman" w:cs="Times New Roman"/>
          <w:sz w:val="24"/>
          <w:szCs w:val="24"/>
        </w:rPr>
        <w:t xml:space="preserve">алов) </w:t>
      </w:r>
    </w:p>
    <w:p>
      <w:pPr>
        <w:pStyle w:val="aff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Профилактика на рабочем месте клиента (смазка шестерней, устранение пыли с оптических элементов, калибровка устройства)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Ремонтные работы – это комплекс работ по устранению отказов, неисправностей или отклонений в работе техники и приведение ее в раб</w:t>
      </w:r>
      <w:r>
        <w:rPr>
          <w:rFonts w:ascii="Times New Roman" w:hAnsi="Times New Roman" w:cs="Times New Roman"/>
          <w:sz w:val="24"/>
          <w:szCs w:val="24"/>
        </w:rPr>
        <w:t xml:space="preserve">отоспособное состояние (восстановление технических характеристик до первоначального уровня или до уровня, обеспечивающего штатное использование техники по её прямому назначению) с заменой вышедших из строя деталей, узлов, запасных частей техники.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</w:t>
      </w:r>
      <w:r>
        <w:rPr>
          <w:rFonts w:ascii="Times New Roman" w:hAnsi="Times New Roman" w:cs="Times New Roman"/>
          <w:sz w:val="24"/>
          <w:szCs w:val="24"/>
        </w:rPr>
        <w:t xml:space="preserve">ведения ремонта оборудование Заказчика должно быть в технически исправном состоянии. Исполнитель при оказании услуг должен использовать запасные части, расходные материалы надлежащего качества. Исполнитель должен гарантировать качество замененных запасных </w:t>
      </w:r>
      <w:r>
        <w:rPr>
          <w:rFonts w:ascii="Times New Roman" w:hAnsi="Times New Roman" w:cs="Times New Roman"/>
          <w:sz w:val="24"/>
          <w:szCs w:val="24"/>
        </w:rPr>
        <w:t xml:space="preserve">частей, их надлежащее функционирование не менее ресурса, установленного производителем.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Запасные части, используемые при ремонте должны быть новыми, не восстановленными. Заменяемые в ходе ремонта запчасти должны быть ввезены в Российскую Федерацию официал</w:t>
      </w:r>
      <w:r>
        <w:rPr>
          <w:rFonts w:ascii="Times New Roman" w:hAnsi="Times New Roman" w:cs="Times New Roman"/>
          <w:sz w:val="24"/>
          <w:szCs w:val="24"/>
        </w:rPr>
        <w:t xml:space="preserve">ьно и иметь все необходимые документы.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осуществлении ремонта картриджей Исполнитель должен выполнить следующие операции: присвоить индивидуальный номер картриджа по которому Заказчик может отследить все виды работ, которые были произведены данному кар</w:t>
      </w:r>
      <w:r>
        <w:rPr>
          <w:rFonts w:ascii="Times New Roman" w:hAnsi="Times New Roman" w:cs="Times New Roman"/>
          <w:sz w:val="24"/>
          <w:szCs w:val="24"/>
        </w:rPr>
        <w:t xml:space="preserve">триджу; предварительное тестирование картриджа; полная разборка картриджа, очистка от остатков тонера и пыли на специальном оборудовании, снятие остаточного напряжения; заправить тонером (при необходимости); заменить чип, если таковой предусмотрен конструк</w:t>
      </w:r>
      <w:r>
        <w:rPr>
          <w:rFonts w:ascii="Times New Roman" w:hAnsi="Times New Roman" w:cs="Times New Roman"/>
          <w:sz w:val="24"/>
          <w:szCs w:val="24"/>
        </w:rPr>
        <w:t xml:space="preserve">цией картриджа; заменить фоторецептор (при необходимости), ролик заряда (при необходимости), магнитный ролик (при необходимости), дозирующего лезвия (при необходимости), ракель (при необходимости), замена корпуса (при необходимости); картридж должен содерж</w:t>
      </w:r>
      <w:r>
        <w:rPr>
          <w:rFonts w:ascii="Times New Roman" w:hAnsi="Times New Roman" w:cs="Times New Roman"/>
          <w:sz w:val="24"/>
          <w:szCs w:val="24"/>
        </w:rPr>
        <w:t xml:space="preserve">ать наклейку с проведенными работами (Заправка, Замена ФБ, Замена МВ, и т.д.), наименованием Исполнителя, выполнившего работы по их заправке и ремонту; индивидуальный номер картриджа; собрать картридж.</w:t>
      </w:r>
    </w:p>
    <w:p>
      <w:pPr>
        <w:pStyle w:val="aff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должен обеспечить проведение ремонта и тех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нического обслуживания многофункциональных устройств для обеспечения эффективной и бесперебойной работы оборудования, в соответствии с нормами и правилами, определёнными в технической документации фирмы-изготовителя, а также ГОСТ18322-78 «Система техническ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 обслуживания и ремонта техники», ГОСТ 28470-90 «Система технического обслуживания и ремонта технических средств вычислительной техники и информатики».</w:t>
      </w:r>
    </w:p>
    <w:p>
      <w:pPr>
        <w:pStyle w:val="aff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Согласно ГОСТ18322-78, Ремонт – это комплекс операций по восстановлению исправности или работоспособн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ости изделий и восстановлению ресурсов изделий или их составных частей.</w:t>
      </w:r>
    </w:p>
    <w:p>
      <w:pPr>
        <w:pStyle w:val="aff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Согласно ГОСТ18322-78, Техническое обслуживание – это комплекс операций или операция по поддержанию работоспособности или исправности изделия при использовании по назначению, ожидании,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хранении и транспортировании. Задачей технического обслуживания является обеспечение надежной (правильной и бесперебойной) работы оборудования. Техническое обслуживание включает в себя: разборку техники, чистку и смазку всех узлов и компонентов (смазка ис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пользуется специальная для каждого вида техники, согласно рекомендациям производителя), протяжка узлов и компонентов (со временем все элементы имеют свойство ослаблять крепления), проверка и настройка рабочих параметров техники.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Вся  техника переданная в р</w:t>
      </w:r>
      <w:r>
        <w:rPr>
          <w:rFonts w:ascii="Times New Roman" w:hAnsi="Times New Roman" w:cs="Times New Roman"/>
          <w:sz w:val="24"/>
          <w:szCs w:val="24"/>
        </w:rPr>
        <w:t xml:space="preserve">емонт  должна быть возвращена в работоспособном состоянии.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проведения технического обслуживания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Специалисты Исполнителя проводят обязательную диагностику и ремонт в сервисных центрах, не зависимо от сроков и причины поломки или неисправности. Техническое обслуживание крупногабаритного оборудования, выполняемое на территории Заказчика, производится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графиком, предоставляемым Заказчиком. График технического обслуживания крупногабаритного оборудования предоставляется Заказчиком после подписания контракта.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Специалист Исполнителя прибывает на объект Заказчика в соответствии с утвержденн</w:t>
      </w:r>
      <w:r>
        <w:rPr>
          <w:rFonts w:ascii="Times New Roman" w:hAnsi="Times New Roman" w:cs="Times New Roman"/>
          <w:sz w:val="24"/>
          <w:szCs w:val="24"/>
        </w:rPr>
        <w:t xml:space="preserve">ой датой проведения технического обслуживания крупногабаритного оборудования.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выполнения технического обслуживания, специалист Исполнителя подписывает Сведения о видах работ по ремонту, реконструкции, модернизации, дооборудовании и расходах на</w:t>
      </w:r>
      <w:r>
        <w:rPr>
          <w:rFonts w:ascii="Times New Roman" w:hAnsi="Times New Roman" w:cs="Times New Roman"/>
          <w:sz w:val="24"/>
          <w:szCs w:val="24"/>
        </w:rPr>
        <w:t xml:space="preserve"> их проведение, который так же заверяется подписью представителя Заказчика, получившего оборудование.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услуг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услуг соответствует требованиям качества, безопасности жизни и здоровья, требованиям сертификации безопасности.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</w:t>
      </w:r>
      <w:r>
        <w:rPr>
          <w:rFonts w:ascii="Times New Roman" w:hAnsi="Times New Roman" w:cs="Times New Roman"/>
          <w:sz w:val="24"/>
          <w:szCs w:val="24"/>
        </w:rPr>
        <w:t xml:space="preserve">Т 13.0.002-84 «Репрография. Термины и определения»,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13.1.701-95 «Репрография. Микрография. Тест-объекты для контроля качества микроизображения. Типы. Методы контроля»,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13.2.001-2001 «Репрография. Копирография. Аппараты копировальные электрофото</w:t>
      </w:r>
      <w:r>
        <w:rPr>
          <w:rFonts w:ascii="Times New Roman" w:hAnsi="Times New Roman" w:cs="Times New Roman"/>
          <w:sz w:val="24"/>
          <w:szCs w:val="24"/>
        </w:rPr>
        <w:t xml:space="preserve">графические. Общие технические требования»,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13.2.013-93 «Репрография. Копирография. Тест-оригиналы для контроля качества копий. Основные параметры и размеры»,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13.2.014-2001 «Репрография. Копирография. Метод испытаний сухих тонеров для электрофотографических аппаратов по качеству воспроизведения изображения на копиях»,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13.2.015-2001 «Репрография. Копирография. Метод определения расхода тонера при прояв</w:t>
      </w:r>
      <w:r>
        <w:rPr>
          <w:rFonts w:ascii="Times New Roman" w:hAnsi="Times New Roman" w:cs="Times New Roman"/>
          <w:sz w:val="24"/>
          <w:szCs w:val="24"/>
        </w:rPr>
        <w:t xml:space="preserve">лении в электрофотографических аппаратах»,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Восстановленный картридж не имеет следов вскрытия, механических повреждений и высыпания тонера.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видов услуг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Плановые услуги.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Плановая диагностика оборудования с выдачей рекомендаций по эксплуатации и с </w:t>
      </w:r>
      <w:r>
        <w:rPr>
          <w:rFonts w:ascii="Times New Roman" w:hAnsi="Times New Roman" w:cs="Times New Roman"/>
          <w:sz w:val="24"/>
          <w:szCs w:val="24"/>
        </w:rPr>
        <w:t xml:space="preserve">устранением возможных выявленных диагностикой проблем до повышения их критичности.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Профилактическое обслуживание оборудования по методикам, указанным в технической документации оборудования.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Консультационные услуги.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по вопросам конфигурировани</w:t>
      </w:r>
      <w:r>
        <w:rPr>
          <w:rFonts w:ascii="Times New Roman" w:hAnsi="Times New Roman" w:cs="Times New Roman"/>
          <w:sz w:val="24"/>
          <w:szCs w:val="24"/>
        </w:rPr>
        <w:t xml:space="preserve">я и эксплуатации оборудования.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по проведению превентивных мер для недопущения аварийных ситуаций.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по диагностике и локализации возникшей неисправности на оборудовании.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по вопросам расширения и модернизации.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Другие тех</w:t>
      </w:r>
      <w:r>
        <w:rPr>
          <w:rFonts w:ascii="Times New Roman" w:hAnsi="Times New Roman" w:cs="Times New Roman"/>
          <w:sz w:val="24"/>
          <w:szCs w:val="24"/>
        </w:rPr>
        <w:t xml:space="preserve">нические вопросы, связанные с функционированием оборудования.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по восстановлению работоспособности оборудования.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Дистанционная диагностика предполагаемой неисправности оборудовании с привлечением специалистов заказчика.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Консультационная поддержка спе</w:t>
      </w:r>
      <w:r>
        <w:rPr>
          <w:rFonts w:ascii="Times New Roman" w:hAnsi="Times New Roman" w:cs="Times New Roman"/>
          <w:sz w:val="24"/>
          <w:szCs w:val="24"/>
        </w:rPr>
        <w:t xml:space="preserve">циалистов на местах в процессе устранения неисправности на оборудовании.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Устранение неисправностей путём замены (обновления) микропрограммного обеспечения в оборудовании.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по оперативной замене вышедшего из строя оборудования или его комплектующих.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слуги по техническому обслуживанию и ремонту картриджей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 картриджа (замена фоторецептора);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 картриджа (замена электролизатора);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 картриджа (замена ракельного ножа);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 картриджа (замена магнитного вала);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 картриджа (замена чипа)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видов услуг по техническому обслуживанию и ремонту компьютерной техники, средств печати и копирования, в том числе ремонт и заправка картриджей приведен в Приложении № 2 к Техническому заданию.</w:t>
      </w:r>
    </w:p>
    <w:p>
      <w:pPr>
        <w:pStyle w:val="aff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услугам по ремонту оборудования,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картриджей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по ремонту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 к Техническому заданию) должны предоставляться с использованием только сертифицированных запасных частей, комплектующих и расходных материалов производителей оборудования согласно перечню, указанному в Приложении</w:t>
      </w:r>
      <w:r>
        <w:rPr>
          <w:rFonts w:ascii="Times New Roman" w:hAnsi="Times New Roman" w:cs="Times New Roman"/>
          <w:sz w:val="24"/>
          <w:szCs w:val="24"/>
        </w:rPr>
        <w:t xml:space="preserve"> №1 к Техническому заданию.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завершения ремонта производится тестирование оборудования, позволяющее убедиться в его работоспособности.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предоставления услуг по ремонту, вышедшие из строя компоненты оборудования остаются у Исполнителя и утилизирую</w:t>
      </w:r>
      <w:r>
        <w:rPr>
          <w:rFonts w:ascii="Times New Roman" w:hAnsi="Times New Roman" w:cs="Times New Roman"/>
          <w:sz w:val="24"/>
          <w:szCs w:val="24"/>
        </w:rPr>
        <w:t xml:space="preserve">тся за счет Исполнителя.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предоставляет Заказчику заключение о неисправностях в оборудовании (согласно ГОСТ № 21552-84 (СТ СЭВ 3185-81)).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производит обновление программного обеспечения оборудования до последней версии (если существуе</w:t>
      </w:r>
      <w:r>
        <w:rPr>
          <w:rFonts w:ascii="Times New Roman" w:hAnsi="Times New Roman" w:cs="Times New Roman"/>
          <w:sz w:val="24"/>
          <w:szCs w:val="24"/>
        </w:rPr>
        <w:t xml:space="preserve">т фактическая возможность).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по ремонту оборудования должны включать в себя диагностику аппаратной части оборудования: механических и электрических узлов и соединений, охлаждающих систем и систем нагрева, узлов подачи и других неотъемлемых частей обо</w:t>
      </w:r>
      <w:r>
        <w:rPr>
          <w:rFonts w:ascii="Times New Roman" w:hAnsi="Times New Roman" w:cs="Times New Roman"/>
          <w:sz w:val="24"/>
          <w:szCs w:val="24"/>
        </w:rPr>
        <w:t xml:space="preserve">рудования.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оказании услуг по ремонту и заправке картриджей используемые Исполнителем запасные части, комплектующие и расходные материалы должны соответствовать государственным стандартам или техническим условиям, действующим в Российской Федерации (гар</w:t>
      </w:r>
      <w:r>
        <w:rPr>
          <w:rFonts w:ascii="Times New Roman" w:hAnsi="Times New Roman" w:cs="Times New Roman"/>
          <w:sz w:val="24"/>
          <w:szCs w:val="24"/>
        </w:rPr>
        <w:t xml:space="preserve">антирующие качество и безопасность товаров), иметь товарный знак (при наличии).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гарантирует, что передаваемые заказчику картриджи являются полностью заправленными новым тонером и отремонтированными посредством замены дефектных деталей новыми (н</w:t>
      </w:r>
      <w:r>
        <w:rPr>
          <w:rFonts w:ascii="Times New Roman" w:hAnsi="Times New Roman" w:cs="Times New Roman"/>
          <w:sz w:val="24"/>
          <w:szCs w:val="24"/>
        </w:rPr>
        <w:t xml:space="preserve">е бывшими в эксплуатации, не восстановленными) запасными частями.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Отремонтированные картриджи должны обеспечивать качественную работу, сформированное изображения на бумаге должно быть ярким, четким, символы не должны быть деформированными, на бумаге не дол</w:t>
      </w:r>
      <w:r>
        <w:rPr>
          <w:rFonts w:ascii="Times New Roman" w:hAnsi="Times New Roman" w:cs="Times New Roman"/>
          <w:sz w:val="24"/>
          <w:szCs w:val="24"/>
        </w:rPr>
        <w:t xml:space="preserve">жно присутствовать точек, линий, фона, волн и иных отпечатков, указывающих на неправильную работу картриджа. Отремонтированный картридж должен обеспечивать хорошее качество печати до следующего ремонта минимум 3 (три) заправки. Если в этот период качество </w:t>
      </w:r>
      <w:r>
        <w:rPr>
          <w:rFonts w:ascii="Times New Roman" w:hAnsi="Times New Roman" w:cs="Times New Roman"/>
          <w:sz w:val="24"/>
          <w:szCs w:val="24"/>
        </w:rPr>
        <w:t xml:space="preserve">печати ухудшится, исполнитель обязан произвести ремонт такого картриджа за свой счет.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картридж должен быть упакован в светонепроницаемый, герметичный пакет с тестовым листом. Пакет должен иметь этикетку с наименованием картриджа и моделями оборудова</w:t>
      </w:r>
      <w:r>
        <w:rPr>
          <w:rFonts w:ascii="Times New Roman" w:hAnsi="Times New Roman" w:cs="Times New Roman"/>
          <w:sz w:val="24"/>
          <w:szCs w:val="24"/>
        </w:rPr>
        <w:t xml:space="preserve">ния, для которого он предназначен.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требованию Заказчика Исполнитель обязан предоставить информацию по произведенным работам по индивидуальным номерам.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передачей картриджей на ремонт Заказчик распечатывает на каждом картридже «тестовую» страницу. </w:t>
      </w:r>
      <w:r>
        <w:rPr>
          <w:rFonts w:ascii="Times New Roman" w:hAnsi="Times New Roman" w:cs="Times New Roman"/>
          <w:sz w:val="24"/>
          <w:szCs w:val="24"/>
        </w:rPr>
        <w:t xml:space="preserve">Картриджи, которые нуждаются в ремонте, Заказчик передает Исполнителю со вторым экземпляром распечатанной «тестовой» страницы, на которой видны дефекты печати: продольная темная полоса по краю листа, поперечные повторяющиеся темные полосы, серый фон на все</w:t>
      </w:r>
      <w:r>
        <w:rPr>
          <w:rFonts w:ascii="Times New Roman" w:hAnsi="Times New Roman" w:cs="Times New Roman"/>
          <w:sz w:val="24"/>
          <w:szCs w:val="24"/>
        </w:rPr>
        <w:t xml:space="preserve">м листе и прочее.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передает картриджи Исполнителю согласно Ведомости приема-передачи на заправку (обслуживание) картриджей (Приложение №1.1. к настоящему Техническому заданию), в котором указано: количество; модели картриджей; отмечены те, что нужд</w:t>
      </w:r>
      <w:r>
        <w:rPr>
          <w:rFonts w:ascii="Times New Roman" w:hAnsi="Times New Roman" w:cs="Times New Roman"/>
          <w:sz w:val="24"/>
          <w:szCs w:val="24"/>
        </w:rPr>
        <w:t xml:space="preserve">аются в ремонте.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экземпляр списка передается Исполнителю, второй остается у Заказчика.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возвращает отремонтированные картриджи Заказчику вместе с заполненной Ведомостью приема-передачи на заправку (обслуживание) картриджей (Приложение №1.1.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заданию).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принимает отремонтированные картриджи и в присутствии представителя Исполнителя распечатывает «тестовую» страницу каждого полученного картриджа. В случае обнаружения дефектов печати, Заказчик возвращает такие к</w:t>
      </w:r>
      <w:r>
        <w:rPr>
          <w:rFonts w:ascii="Times New Roman" w:hAnsi="Times New Roman" w:cs="Times New Roman"/>
          <w:sz w:val="24"/>
          <w:szCs w:val="24"/>
        </w:rPr>
        <w:t xml:space="preserve">артриджи Исполнителю для устранения дефектов без дополнительной оплаты.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вправе осуществлять контроль за оказанием услуг путем направления своего представителя в сервисный центр Исполнителя для наблюдения за процессом ремонта картриджей.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Подвижные </w:t>
      </w:r>
      <w:r>
        <w:rPr>
          <w:rFonts w:ascii="Times New Roman" w:hAnsi="Times New Roman" w:cs="Times New Roman"/>
          <w:sz w:val="24"/>
          <w:szCs w:val="24"/>
        </w:rPr>
        <w:t xml:space="preserve">элементы картриджей после ремонта должны легко перемещаться, без перекосов и заеданий.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приступает к ремонтно-восстановительным работам, которые не могут превышать следующие сроки: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мелкого ремонта при наличии необходимых комплектующи</w:t>
      </w:r>
      <w:r>
        <w:rPr>
          <w:rFonts w:ascii="Times New Roman" w:hAnsi="Times New Roman" w:cs="Times New Roman"/>
          <w:sz w:val="24"/>
          <w:szCs w:val="24"/>
        </w:rPr>
        <w:t xml:space="preserve">х - 8 часа;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заправки исправного картриджа, не требующего ремонта рабочих узлов – 4 часа;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сложного, требующего замены или ремонта особо важных технологических узлов, при наличии необходимых комплектующих - 2 рабочих дня;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течение</w:t>
      </w:r>
      <w:r>
        <w:rPr>
          <w:rFonts w:ascii="Times New Roman" w:hAnsi="Times New Roman" w:cs="Times New Roman"/>
          <w:sz w:val="24"/>
          <w:szCs w:val="24"/>
        </w:rPr>
        <w:t xml:space="preserve"> 2 (двух) рабочих дней после заправки или ремонта Заказчиком будут выявлены дефекты при использовании картриджей в работе (качество печати хуже качества эталонной копии, наличие загрязнений подающего тракта принтера тонером, отсутствие печати), 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обязан устранить дефекты за свой счет в течение 1 (одного) рабочего дня с момента заявления о них Заказчиком.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нецелесообразности дальнейшего ремонта картриджа, Исполнитель обязан составить и предоставить Заказчику акт диагностики картриджа с</w:t>
      </w:r>
      <w:r>
        <w:rPr>
          <w:rFonts w:ascii="Times New Roman" w:hAnsi="Times New Roman" w:cs="Times New Roman"/>
          <w:sz w:val="24"/>
          <w:szCs w:val="24"/>
        </w:rPr>
        <w:t xml:space="preserve"> экспертной оценкой о невозможности его дальнейшего использования.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качеству и безопасности услуг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услуг должно соответствовать санитарно-эпидемиологическим нормам, а также иным требованиям качества, безопасности жизни и здоровья, </w:t>
      </w:r>
      <w:r>
        <w:rPr>
          <w:rFonts w:ascii="Times New Roman" w:hAnsi="Times New Roman" w:cs="Times New Roman"/>
          <w:sz w:val="24"/>
          <w:szCs w:val="24"/>
        </w:rPr>
        <w:t xml:space="preserve">требованиям сертификации, безопасности (государственным стандартам и т.п.), лицензирования, если такие требования предъявляются действующим законодательством Российской Федерации или производителем.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не имеет права разглашать конфиденциальную ин</w:t>
      </w:r>
      <w:r>
        <w:rPr>
          <w:rFonts w:ascii="Times New Roman" w:hAnsi="Times New Roman" w:cs="Times New Roman"/>
          <w:sz w:val="24"/>
          <w:szCs w:val="24"/>
        </w:rPr>
        <w:t xml:space="preserve">формацию, ставшую ему известной при выполнении технического обслуживания и ремонта оргтехники Заказчика.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обязуется соблюдать все правила, которые действуют на территории Заказчика, в том числе требования к технике безопасности и пожарной безоп</w:t>
      </w:r>
      <w:r>
        <w:rPr>
          <w:rFonts w:ascii="Times New Roman" w:hAnsi="Times New Roman" w:cs="Times New Roman"/>
          <w:sz w:val="24"/>
          <w:szCs w:val="24"/>
        </w:rPr>
        <w:t xml:space="preserve">асности при оказании услуг.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несет материальную ответственность за случайное или преднамеренное повреждение оргтехники или утрату оргтехники (отдельных ее частей), переданной на ремонт.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соблюдение мер безопа</w:t>
      </w:r>
      <w:r>
        <w:rPr>
          <w:rFonts w:ascii="Times New Roman" w:hAnsi="Times New Roman" w:cs="Times New Roman"/>
          <w:sz w:val="24"/>
          <w:szCs w:val="24"/>
        </w:rPr>
        <w:t xml:space="preserve">сности в соответствии с нормативными документами, правилами и стандартами, регулирующими данные правоотношения.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Вся  техника переданная в ремонт  должна быть возвращена в работоспособном состоянии.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завершения ремонта производится тестирование </w:t>
      </w:r>
      <w:r>
        <w:rPr>
          <w:rFonts w:ascii="Times New Roman" w:hAnsi="Times New Roman" w:cs="Times New Roman"/>
          <w:sz w:val="24"/>
          <w:szCs w:val="24"/>
        </w:rPr>
        <w:t xml:space="preserve">оборудования, позволяющее убедиться в его работоспособности.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предоставления услуг по ремонту, вышедшие из строя компоненты оборудования остаются у Исполнителя и утилизируются за счет Исполнителя.</w:t>
      </w:r>
    </w:p>
    <w:p>
      <w:pPr>
        <w:pStyle w:val="aff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гарантийному сроку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Гарантийный срок оказ</w:t>
      </w:r>
      <w:r>
        <w:rPr>
          <w:rFonts w:ascii="Times New Roman" w:hAnsi="Times New Roman" w:cs="Times New Roman"/>
          <w:sz w:val="24"/>
          <w:szCs w:val="24"/>
        </w:rPr>
        <w:t xml:space="preserve">анной услуги должен быть не менее 12 (двенадцати) месяцев с даты подписания акта оказанных услуг.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Гарантийный срок распространяется на произведенные работы и ресурс работы замененных в ходе работ запасных частей и комплектующих. 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оказания услуг Исполнитель в течение гарантийного срока обязуется устранить причину некачественной работы оборудования. Транспортировка оргтехники в случаях, признаваемых гарантийными, также должна осуществляться за счет Исполнителя услуг.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по технич</w:t>
      </w:r>
      <w:r>
        <w:rPr>
          <w:rFonts w:ascii="Times New Roman" w:hAnsi="Times New Roman" w:cs="Times New Roman"/>
          <w:sz w:val="24"/>
          <w:szCs w:val="24"/>
        </w:rPr>
        <w:t xml:space="preserve">ескому обслуживанию, проводимые Исполнителем на гарантийном оборудовании, не должны повлечь за собой утрату гарантийных обязательств со стороны производителей (поставщиков) оборудования, не должны производиться с нарушением гарантийных пломб и этикеток, а </w:t>
      </w:r>
      <w:r>
        <w:rPr>
          <w:rFonts w:ascii="Times New Roman" w:hAnsi="Times New Roman" w:cs="Times New Roman"/>
          <w:sz w:val="24"/>
          <w:szCs w:val="24"/>
        </w:rPr>
        <w:t xml:space="preserve">также должны строго соответствовать требованиям производителей оборудования установленными на период гарантийных обязательств.</w:t>
      </w:r>
    </w:p>
    <w:p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отказе производителя (уполномоченного сервисного центра производителя) оборудования в исполнении своих гарантийных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 по причине нарушения Исполнителем условий гарантии восстановление работоспособности данного оборудования осуществляется за счет Исполнителя.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Приёмка товара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принимает  оказанные услуги от Исполнителя  на основании полученного акта выполненных р</w:t>
      </w:r>
      <w:r>
        <w:rPr>
          <w:rFonts w:ascii="Times New Roman" w:hAnsi="Times New Roman" w:cs="Times New Roman"/>
          <w:sz w:val="24"/>
          <w:szCs w:val="24"/>
        </w:rPr>
        <w:t xml:space="preserve">абот и счета. Датой оказания услуг считается дата подписания акта выполненных работ.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и условия оплаты</w:t>
      </w:r>
    </w:p>
    <w:p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предоставляет счет и акт выполненных работ, на основании полученных документов   Заказчик осуществляет окончательный расчёт после по</w:t>
      </w:r>
      <w:r>
        <w:rPr>
          <w:rFonts w:ascii="Times New Roman" w:hAnsi="Times New Roman" w:cs="Times New Roman"/>
          <w:sz w:val="24"/>
          <w:szCs w:val="24"/>
        </w:rPr>
        <w:t xml:space="preserve">дписания акта выполненных работ в течение 7 банковских дней. </w:t>
      </w:r>
    </w:p>
    <w:p>
      <w:pPr>
        <w:pStyle w:val="aff"/>
        <w:ind w:firstLine="708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В стоимость работ должны быть включены все налоги, пошлины, и прочие сборы, стоимость расходных материалов и оборудования необходимых для выполнения работ.</w:t>
      </w:r>
    </w:p>
    <w:p>
      <w:pPr>
        <w:pStyle w:val="aff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Заказчик считается исполнившим свои 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обязательства по оплате выполненных работ с момента поступления денежных средств на расчетный счет Исполнителя.</w:t>
      </w:r>
    </w:p>
    <w:p>
      <w:pPr>
        <w:pStyle w:val="aff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Расчеты между Сторонами осуществляются безналичным (платежным поручением) путем перечисления денежных средств на расчетный счет Исполнителя.</w:t>
      </w:r>
    </w:p>
    <w:p>
      <w:pPr>
        <w:pStyle w:val="aff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pStyle w:val="aff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Гл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авный инженер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Калининского филиала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ФГБУ «Управление «Кубаньмелиоводхоз»                                           С. В. Поскребышев</w:t>
      </w:r>
    </w:p>
    <w:p>
      <w:pPr>
        <w:pStyle w:val="aff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>
      <w:pPr>
        <w:pStyle w:val="aff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pStyle w:val="aff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Главный гидротехник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Калининского филиала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ФГБУ «Управление «Кубаньмелиоводхоз»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Е.Г. Ядрышникова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>
      <w:pPr>
        <w:pStyle w:val="af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Техническому заданию от </w:t>
      </w:r>
      <w:r>
        <w:rPr>
          <w:rFonts w:ascii="Times New Roman" w:hAnsi="Times New Roman" w:cs="Times New Roman"/>
          <w:sz w:val="20"/>
          <w:szCs w:val="20"/>
        </w:rPr>
        <w:t xml:space="preserve">04</w:t>
      </w:r>
      <w:r>
        <w:rPr>
          <w:rFonts w:ascii="Times New Roman" w:hAnsi="Times New Roman" w:cs="Times New Roman"/>
          <w:sz w:val="20"/>
          <w:szCs w:val="20"/>
        </w:rPr>
        <w:t xml:space="preserve">.0</w:t>
      </w:r>
      <w:r>
        <w:rPr>
          <w:rFonts w:ascii="Times New Roman" w:hAnsi="Times New Roman" w:cs="Times New Roman"/>
          <w:sz w:val="20"/>
          <w:szCs w:val="20"/>
        </w:rPr>
        <w:t xml:space="preserve">8</w:t>
      </w:r>
      <w:r>
        <w:rPr>
          <w:rFonts w:ascii="Times New Roman" w:hAnsi="Times New Roman" w:cs="Times New Roman"/>
          <w:sz w:val="20"/>
          <w:szCs w:val="20"/>
        </w:rPr>
        <w:t xml:space="preserve">.2026г.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КОМПЬЮТЕРНОЙ ТЕХНИКИ, СРЕДСТВ ПЕЧАТИ И КОПИРОВАНИЯ, КАРТРИДЖЕЙ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Печатное и копировально-множительное оборудование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15"/>
        <w:gridCol w:w="5656"/>
        <w:gridCol w:w="1417"/>
      </w:tblGrid>
      <w:tr>
        <w:trPr>
          <w:trHeight w:val="170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</w:t>
            </w:r>
          </w:p>
        </w:tc>
        <w:tc>
          <w:tcPr>
            <w:tcW w:w="1715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</w:p>
        </w:tc>
        <w:tc>
          <w:tcPr>
            <w:tcW w:w="5656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</w:t>
            </w:r>
          </w:p>
        </w:tc>
        <w:tc>
          <w:tcPr>
            <w:tcW w:w="1417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</w:p>
        </w:tc>
      </w:tr>
      <w:tr>
        <w:trPr>
          <w:trHeight w:val="170"/>
        </w:trPr>
        <w:tc>
          <w:tcPr>
            <w:tcW w:w="866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1715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Принтер  </w:t>
            </w:r>
          </w:p>
        </w:tc>
        <w:tc>
          <w:tcPr>
            <w:tcW w:w="5656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Canon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LBR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6020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инвентарный номер 21013400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</w:p>
        </w:tc>
        <w:tc>
          <w:tcPr>
            <w:tcW w:w="1417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ед.</w:t>
            </w:r>
          </w:p>
        </w:tc>
      </w:tr>
      <w:tr>
        <w:trPr>
          <w:trHeight w:val="170"/>
        </w:trPr>
        <w:tc>
          <w:tcPr>
            <w:tcW w:w="866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1715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истемн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ый блок</w:t>
            </w:r>
          </w:p>
        </w:tc>
        <w:tc>
          <w:tcPr>
            <w:tcW w:w="5656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системного блока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Core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i 6100/H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11/4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GdDDR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TdHDD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DVDRW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/450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ATXWin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H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OfficeHBis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</w:t>
            </w:r>
          </w:p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инвентарный номер 2101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340203</w:t>
            </w:r>
          </w:p>
        </w:tc>
        <w:tc>
          <w:tcPr>
            <w:tcW w:w="1417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pStyle w:val="a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ед.</w:t>
            </w:r>
          </w:p>
        </w:tc>
      </w:tr>
    </w:tbl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картриджей, подлежащих ремонту</w:t>
      </w:r>
    </w:p>
    <w:tbl>
      <w:tblPr>
        <w:tblW w:w="965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65"/>
        <w:gridCol w:w="4956"/>
        <w:gridCol w:w="2416"/>
        <w:gridCol w:w="1417"/>
      </w:tblGrid>
      <w:tr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</w:t>
            </w:r>
          </w:p>
        </w:tc>
        <w:tc>
          <w:tcPr>
            <w:tcW w:w="4956" w:type="dxa"/>
            <w:shd w:val="clear" w:color="auto" w:fill="auto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</w:p>
        </w:tc>
        <w:tc>
          <w:tcPr>
            <w:tcW w:w="2416" w:type="dxa"/>
            <w:shd w:val="clear" w:color="auto" w:fill="auto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ОКПД2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изм.</w:t>
            </w:r>
          </w:p>
        </w:tc>
      </w:tr>
      <w:tr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4956" w:type="dxa"/>
            <w:shd w:val="clear" w:color="auto" w:fill="auto"/>
            <w:vAlign w:val="center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Тонер-картридж для HP LazerJet Pro Р1102</w:t>
            </w:r>
          </w:p>
        </w:tc>
        <w:tc>
          <w:tcPr>
            <w:tcW w:w="2416" w:type="dxa"/>
            <w:shd w:val="clear" w:color="auto" w:fill="auto"/>
            <w:vAlign w:val="center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f1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 xml:space="preserve">95.11.10.130</w:t>
            </w: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 xml:space="preserve">. </w:t>
            </w:r>
          </w:p>
        </w:tc>
        <w:tc>
          <w:tcPr>
            <w:tcW w:w="1417" w:type="dxa"/>
            <w:shd w:val="clear" w:color="auto" w:fill="auto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шт.</w:t>
            </w:r>
          </w:p>
        </w:tc>
      </w:tr>
      <w:tr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4956" w:type="dxa"/>
            <w:shd w:val="clear" w:color="auto" w:fill="auto"/>
            <w:vAlign w:val="center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Тонер-картридж для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Canon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LBP</w:t>
            </w:r>
            <w:r>
              <w:rPr>
                <w:rFonts w:ascii="Times New Roman" w:hAnsi="Times New Roman" w:cs="Times New Roman"/>
                <w:sz w:val="24"/>
              </w:rPr>
              <w:t xml:space="preserve">6020</w:t>
            </w:r>
          </w:p>
        </w:tc>
        <w:tc>
          <w:tcPr>
            <w:tcW w:w="2416" w:type="dxa"/>
            <w:shd w:val="clear" w:color="auto" w:fill="auto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f1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 xml:space="preserve">95.11.10.130</w:t>
            </w: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 xml:space="preserve">. </w:t>
            </w:r>
          </w:p>
        </w:tc>
        <w:tc>
          <w:tcPr>
            <w:tcW w:w="1417" w:type="dxa"/>
            <w:shd w:val="clear" w:color="auto" w:fill="auto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шт.</w:t>
            </w:r>
          </w:p>
        </w:tc>
      </w:tr>
      <w:tr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tcW w:w="4956" w:type="dxa"/>
            <w:shd w:val="clear" w:color="auto" w:fill="auto"/>
            <w:vAlign w:val="center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Тонер-картридж для Canon 3010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LBP</w:t>
            </w:r>
          </w:p>
        </w:tc>
        <w:tc>
          <w:tcPr>
            <w:tcW w:w="2416" w:type="dxa"/>
            <w:shd w:val="clear" w:color="auto" w:fill="auto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f1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 xml:space="preserve">95.11.10.130</w:t>
            </w: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 xml:space="preserve">. </w:t>
            </w:r>
          </w:p>
        </w:tc>
        <w:tc>
          <w:tcPr>
            <w:tcW w:w="1417" w:type="dxa"/>
            <w:shd w:val="clear" w:color="auto" w:fill="auto"/>
          </w:tcPr>
          <w:p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шт.</w:t>
            </w:r>
          </w:p>
        </w:tc>
      </w:tr>
    </w:tbl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работ</w:t>
      </w:r>
    </w:p>
    <w:tbl>
      <w:tblPr>
        <w:tblW w:w="965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5664"/>
        <w:gridCol w:w="2274"/>
        <w:gridCol w:w="850"/>
      </w:tblGrid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64" w:type="dxa"/>
            <w:shd w:val="clear" w:color="auto" w:fill="auto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</w:p>
        </w:tc>
        <w:tc>
          <w:tcPr>
            <w:tcW w:w="2274" w:type="dxa"/>
            <w:shd w:val="clear" w:color="auto" w:fill="auto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ОКПД2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изм.</w:t>
            </w:r>
          </w:p>
        </w:tc>
      </w:tr>
      <w:tr>
        <w:trPr>
          <w:trHeight w:val="20"/>
        </w:trPr>
        <w:tc>
          <w:tcPr>
            <w:tcW w:w="9654" w:type="dxa"/>
            <w:gridSpan w:val="4"/>
            <w:shd w:val="clear" w:color="auto" w:fill="auto"/>
            <w:vAlign w:val="center"/>
          </w:tcPr>
          <w:p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системного блока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Core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6100/H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11/4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GdDDR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TdHDD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DVDRW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/450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ATXWin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H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OfficeHBis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</w:t>
            </w:r>
          </w:p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инвентарный номер 2101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340203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том числе: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566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Чистка от пыли</w:t>
            </w:r>
          </w:p>
        </w:tc>
        <w:tc>
          <w:tcPr>
            <w:tcW w:w="227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95.11.10.110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566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Установка программ</w:t>
            </w:r>
          </w:p>
        </w:tc>
        <w:tc>
          <w:tcPr>
            <w:tcW w:w="227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35.12.29.900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tcW w:w="566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Замена  жесткого диска  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en-US" w:eastAsia="zh-CN"/>
              </w:rPr>
              <w:t xml:space="preserve">SSD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  240 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en-US" w:eastAsia="zh-CN"/>
              </w:rPr>
              <w:t xml:space="preserve">Gb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7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566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Замена термопа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en-US" w:eastAsia="zh-CN"/>
              </w:rPr>
              <w:t xml:space="preserve">c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ты</w:t>
            </w:r>
          </w:p>
        </w:tc>
        <w:tc>
          <w:tcPr>
            <w:tcW w:w="227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26.20.40.130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tcW w:w="566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en-US" w:eastAsia="zh-CN"/>
              </w:rPr>
              <w:t xml:space="preserve">П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а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en-US" w:eastAsia="zh-CN"/>
              </w:rPr>
              <w:t xml:space="preserve">мять</w:t>
            </w:r>
          </w:p>
        </w:tc>
        <w:tc>
          <w:tcPr>
            <w:tcW w:w="227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9654" w:type="dxa"/>
            <w:gridSpan w:val="4"/>
            <w:shd w:val="clear" w:color="auto" w:fill="auto"/>
            <w:vAlign w:val="center"/>
          </w:tcPr>
          <w:p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Принтер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Canon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LBR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6020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инвентарный номер 21013400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5664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Canon Насадки на ролик захвата i-SENSYS MF  237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</w:t>
            </w:r>
          </w:p>
        </w:tc>
        <w:tc>
          <w:tcPr>
            <w:tcW w:w="227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95.11.10.110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5664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Canon Тормозная площадка i-SENSYS MF  237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</w:t>
            </w:r>
          </w:p>
        </w:tc>
        <w:tc>
          <w:tcPr>
            <w:tcW w:w="227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35.12.29.900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tcW w:w="5664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Canon Вал резиновый нижний i-SENSYS MF 237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</w:t>
            </w:r>
          </w:p>
        </w:tc>
        <w:tc>
          <w:tcPr>
            <w:tcW w:w="2274" w:type="dxa"/>
            <w:shd w:val="clear" w:color="auto" w:fill="auto"/>
          </w:tcPr>
          <w:p>
            <w:pPr>
              <w:pStyle w:val="aff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  <w:t xml:space="preserve"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</w:p>
        </w:tc>
      </w:tr>
    </w:tbl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18"/>
          <w:szCs w:val="18"/>
        </w:rPr>
        <w:t xml:space="preserve">В соответствии с п. 1 ч. 1 ст. 33 Федерального Закона от 05.04.2013 № 44-ФЗ «О контрактной системе в сфере закупок товаров, работ, услуг для обеспечения </w:t>
      </w:r>
      <w:r>
        <w:rPr>
          <w:rFonts w:ascii="Times New Roman" w:hAnsi="Times New Roman" w:cs="Times New Roman"/>
          <w:sz w:val="18"/>
          <w:szCs w:val="18"/>
        </w:rPr>
        <w:t xml:space="preserve">государственных и муниципальных нужд», указание товарного знака без сопровождения его словами «или эквивалент» обусловлено необходимостью совместимости приобретаемых в соответствии с настоящим Техническим заданием запасных частей, комплектующих и расходных</w:t>
      </w:r>
      <w:r>
        <w:rPr>
          <w:rFonts w:ascii="Times New Roman" w:hAnsi="Times New Roman" w:cs="Times New Roman"/>
          <w:sz w:val="18"/>
          <w:szCs w:val="18"/>
        </w:rPr>
        <w:t xml:space="preserve"> материалов с оборудованием, используемым Заказчиком.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1.1 </w:t>
      </w:r>
    </w:p>
    <w:p>
      <w:pPr>
        <w:pStyle w:val="af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Техническому заданию от </w:t>
      </w:r>
      <w:r>
        <w:rPr>
          <w:rFonts w:ascii="Times New Roman" w:hAnsi="Times New Roman" w:cs="Times New Roman"/>
          <w:sz w:val="20"/>
          <w:szCs w:val="20"/>
        </w:rPr>
        <w:t xml:space="preserve">04</w:t>
      </w:r>
      <w:r>
        <w:rPr>
          <w:rFonts w:ascii="Times New Roman" w:hAnsi="Times New Roman" w:cs="Times New Roman"/>
          <w:sz w:val="20"/>
          <w:szCs w:val="20"/>
        </w:rPr>
        <w:t xml:space="preserve">.0</w:t>
      </w:r>
      <w:r>
        <w:rPr>
          <w:rFonts w:ascii="Times New Roman" w:hAnsi="Times New Roman" w:cs="Times New Roman"/>
          <w:sz w:val="20"/>
          <w:szCs w:val="20"/>
        </w:rPr>
        <w:t xml:space="preserve">8</w:t>
      </w:r>
      <w:r>
        <w:rPr>
          <w:rFonts w:ascii="Times New Roman" w:hAnsi="Times New Roman" w:cs="Times New Roman"/>
          <w:sz w:val="20"/>
          <w:szCs w:val="20"/>
        </w:rPr>
        <w:t xml:space="preserve">.2026г. 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ВЕДОМОСТЬ</w:t>
      </w:r>
    </w:p>
    <w:p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приема-передачи на заправку (обслуживание) картриджей </w:t>
      </w:r>
    </w:p>
    <w:p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____. ______г.</w:t>
      </w: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97"/>
        <w:gridCol w:w="2121"/>
        <w:gridCol w:w="1572"/>
        <w:gridCol w:w="1599"/>
        <w:gridCol w:w="1475"/>
        <w:gridCol w:w="1950"/>
      </w:tblGrid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</w:t>
            </w: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</w:t>
            </w: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</w:t>
            </w: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</w:t>
            </w: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997" w:type="dxa"/>
            <w:tcBorders>
              <w:top w:val="single" w:color="auto" w:sz="4" w:space="0"/>
              <w:left w:val="none"/>
              <w:bottom w:val="none"/>
              <w:right w:val="none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</w:t>
            </w:r>
          </w:p>
        </w:tc>
        <w:tc>
          <w:tcPr>
            <w:tcW w:w="2173" w:type="dxa"/>
            <w:tcBorders>
              <w:top w:val="single" w:color="auto" w:sz="4" w:space="0"/>
              <w:left w:val="none"/>
              <w:bottom w:val="single" w:color="auto" w:sz="4" w:space="0"/>
              <w:right w:val="none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one"/>
              <w:bottom w:val="none"/>
              <w:right w:val="none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Передал</w:t>
            </w:r>
          </w:p>
        </w:tc>
        <w:tc>
          <w:tcPr>
            <w:tcW w:w="1613" w:type="dxa"/>
            <w:tcBorders>
              <w:top w:val="single" w:color="auto" w:sz="4" w:space="0"/>
              <w:left w:val="none"/>
              <w:bottom w:val="single" w:color="auto" w:sz="4" w:space="0"/>
              <w:right w:val="none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none"/>
              <w:bottom w:val="none"/>
              <w:right w:val="none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none"/>
              <w:bottom w:val="none"/>
              <w:right w:val="none"/>
            </w:tcBorders>
            <w:shd w:val="clear" w:color="auto" w:fill="auto"/>
          </w:tcPr>
          <w:p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568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Verdana">
    <w:panose1 w:val="020B0604030504040204"/>
  </w:font>
  <w:font w:name="Symbol">
    <w:panose1 w:val="05010000000000000000"/>
  </w:font>
  <w:font w:name="Calibri">
    <w:panose1 w:val="020F0502020204030204"/>
  </w:font>
  <w:font w:name="Courier New">
    <w:panose1 w:val="02070309020205020404"/>
  </w:font>
  <w:font w:name="Mangal">
    <w:panose1 w:val="0204050305040603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Microsoft YaHei">
    <w:panose1 w:val="020B0503020203020204"/>
  </w:font>
  <w:font w:name="Times New Roman">
    <w:panose1 w:val="02020603050405020304"/>
  </w:font>
  <w:font w:name="Calibri Light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 w:line="240" w:lineRule="auto"/>
      <w:outlineLvl w:val="0"/>
    </w:pPr>
    <w:rPr>
      <w:rFonts w:ascii="Calibri Light" w:hAnsi="Calibri Light" w:eastAsia="Times New Roman" w:cs="Times New Roman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numPr>
        <w:numId w:val="1"/>
        <w:ilvl w:val="2"/>
      </w:numPr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pPr>
      <w:keepNext/>
      <w:numPr>
        <w:numId w:val="1"/>
        <w:ilvl w:val="3"/>
      </w:numPr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zh-C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footnote reference"/>
    <w:unhideWhenUsed/>
    <w:qFormat/>
    <w:rPr>
      <w:vertAlign w:val="superscript"/>
    </w:rPr>
  </w:style>
  <w:style w:type="character" w:styleId="a4">
    <w:name w:val="endnote reference"/>
    <w:qFormat/>
    <w:rPr>
      <w:vertAlign w:val="superscript"/>
    </w:rPr>
  </w:style>
  <w:style w:type="character" w:styleId="a5">
    <w:name w:val="Hyperlink"/>
    <w:qFormat/>
    <w:rPr>
      <w:color w:val="0000ff"/>
      <w:u w:val="single"/>
    </w:rPr>
  </w:style>
  <w:style w:type="paragraph" w:styleId="a6">
    <w:name w:val="Balloon Text"/>
    <w:basedOn w:val="a"/>
    <w:link w:val="a7"/>
    <w:qFormat/>
    <w:pPr>
      <w:spacing w:after="0" w:line="240" w:lineRule="auto"/>
    </w:pPr>
    <w:rPr>
      <w:rFonts w:ascii="Tahoma" w:hAnsi="Tahoma" w:eastAsia="Times New Roman" w:cs="Tahoma"/>
      <w:sz w:val="16"/>
      <w:szCs w:val="16"/>
      <w:lang w:eastAsia="zh-CN"/>
    </w:rPr>
  </w:style>
  <w:style w:type="paragraph" w:styleId="21">
    <w:name w:val="envelope return"/>
    <w:basedOn w:val="a"/>
    <w:qFormat/>
    <w:pPr>
      <w:spacing w:after="60" w:line="240" w:lineRule="auto"/>
      <w:jc w:val="both"/>
    </w:pPr>
    <w:rPr>
      <w:rFonts w:ascii="Arial" w:hAnsi="Arial" w:eastAsia="Times New Roman" w:cs="Arial"/>
      <w:sz w:val="20"/>
      <w:szCs w:val="20"/>
      <w:lang w:eastAsia="zh-CN"/>
    </w:rPr>
  </w:style>
  <w:style w:type="paragraph" w:styleId="a8">
    <w:name w:val="caption"/>
    <w:basedOn w:val="a"/>
    <w:qFormat/>
    <w:pPr>
      <w:suppressLineNumber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styleId="a9">
    <w:name w:val="annotation text"/>
    <w:basedOn w:val="a"/>
    <w:link w:val="1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12"/>
    <w:next w:val="12"/>
    <w:link w:val="13"/>
    <w:qFormat/>
    <w:rPr>
      <w:b/>
      <w:bCs/>
    </w:rPr>
  </w:style>
  <w:style w:type="paragraph" w:styleId="12" w:customStyle="1">
    <w:name w:val="Текст примечания1"/>
    <w:basedOn w:val="a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ab">
    <w:name w:val="footnote text"/>
    <w:basedOn w:val="a"/>
    <w:link w:val="ac"/>
    <w:unhideWhenUsed/>
    <w:qFormat/>
    <w:pPr>
      <w:spacing w:after="0" w:line="240" w:lineRule="auto"/>
    </w:pPr>
    <w:rPr>
      <w:sz w:val="20"/>
      <w:szCs w:val="20"/>
    </w:rPr>
  </w:style>
  <w:style w:type="paragraph" w:styleId="ad">
    <w:name w:val="Body Text"/>
    <w:basedOn w:val="a"/>
    <w:link w:val="ae"/>
    <w:qFormat/>
    <w:pPr>
      <w:spacing w:after="140" w:line="288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14">
    <w:name w:val="toc 1"/>
    <w:basedOn w:val="a"/>
    <w:next w:val="a"/>
    <w:qFormat/>
    <w:pPr>
      <w:spacing w:before="120" w:after="120" w:line="240" w:lineRule="auto"/>
    </w:pPr>
    <w:rPr>
      <w:rFonts w:ascii="Times New Roman" w:hAnsi="Times New Roman" w:eastAsia="Times New Roman" w:cs="Times New Roman"/>
      <w:b/>
      <w:bCs/>
      <w:caps/>
      <w:sz w:val="20"/>
      <w:szCs w:val="20"/>
      <w:lang w:eastAsia="zh-CN"/>
    </w:rPr>
  </w:style>
  <w:style w:type="paragraph" w:styleId="af">
    <w:name w:val="Body Text Indent"/>
    <w:basedOn w:val="a"/>
    <w:link w:val="af0"/>
    <w:qFormat/>
    <w:pPr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f1">
    <w:name w:val="List"/>
    <w:basedOn w:val="ad"/>
    <w:qFormat/>
    <w:rPr>
      <w:rFonts w:ascii="Arial" w:hAnsi="Arial" w:cs="Mangal"/>
    </w:rPr>
  </w:style>
  <w:style w:type="paragraph" w:styleId="af2">
    <w:name w:val="Normal (Web)"/>
    <w:basedOn w:val="a"/>
    <w:qFormat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af3">
    <w:name w:val="Table Grid"/>
    <w:basedOn w:val="a1"/>
    <w:uiPriority w:val="59"/>
    <w:qFormat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 w:customStyle="1">
    <w:name w:val="Текст сноски Знак"/>
    <w:basedOn w:val="a0"/>
    <w:link w:val="ab"/>
    <w:qFormat/>
    <w:rPr>
      <w:sz w:val="20"/>
      <w:szCs w:val="20"/>
    </w:rPr>
  </w:style>
  <w:style w:type="character" w:styleId="10" w:customStyle="1">
    <w:name w:val="Заголовок 1 Знак"/>
    <w:basedOn w:val="a0"/>
    <w:link w:val="1"/>
    <w:qFormat/>
    <w:rPr>
      <w:rFonts w:ascii="Calibri Light" w:hAnsi="Calibri Light" w:eastAsia="Times New Roman" w:cs="Times New Roman"/>
      <w:b/>
      <w:bCs/>
      <w:sz w:val="32"/>
      <w:szCs w:val="32"/>
      <w:lang w:eastAsia="zh-CN"/>
    </w:rPr>
  </w:style>
  <w:style w:type="character" w:styleId="30" w:customStyle="1">
    <w:name w:val="Заголовок 3 Знак"/>
    <w:basedOn w:val="a0"/>
    <w:link w:val="3"/>
    <w:qFormat/>
    <w:rPr>
      <w:rFonts w:ascii="Arial" w:hAnsi="Arial" w:eastAsia="Times New Roman" w:cs="Arial"/>
      <w:b/>
      <w:bCs/>
      <w:sz w:val="26"/>
      <w:szCs w:val="26"/>
      <w:lang w:eastAsia="zh-CN"/>
    </w:rPr>
  </w:style>
  <w:style w:type="character" w:styleId="40" w:customStyle="1">
    <w:name w:val="Заголовок 4 Знак"/>
    <w:basedOn w:val="a0"/>
    <w:link w:val="4"/>
    <w:qFormat/>
    <w:rPr>
      <w:rFonts w:ascii="Times New Roman" w:hAnsi="Times New Roman" w:eastAsia="Times New Roman" w:cs="Times New Roman"/>
      <w:b/>
      <w:bCs/>
      <w:sz w:val="28"/>
      <w:szCs w:val="28"/>
      <w:lang w:eastAsia="zh-CN"/>
    </w:rPr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hint="default" w:ascii="Symbol" w:hAnsi="Symbol" w:cs="Symbol"/>
      <w:color w:val="000099"/>
      <w:sz w:val="24"/>
      <w:szCs w:val="24"/>
    </w:rPr>
  </w:style>
  <w:style w:type="character" w:styleId="WW8Num2z1" w:customStyle="1">
    <w:name w:val="WW8Num2z1"/>
    <w:qFormat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  <w:qFormat/>
  </w:style>
  <w:style w:type="character" w:styleId="WW8Num2z5" w:customStyle="1">
    <w:name w:val="WW8Num2z5"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</w:style>
  <w:style w:type="character" w:styleId="WW8Num3z0" w:customStyle="1">
    <w:name w:val="WW8Num3z0"/>
    <w:qFormat/>
  </w:style>
  <w:style w:type="character" w:styleId="WW8Num3z1" w:customStyle="1">
    <w:name w:val="WW8Num3z1"/>
    <w:qFormat/>
  </w:style>
  <w:style w:type="character" w:styleId="WW8Num3z2" w:customStyle="1">
    <w:name w:val="WW8Num3z2"/>
    <w:qFormat/>
  </w:style>
  <w:style w:type="character" w:styleId="WW8Num3z3" w:customStyle="1">
    <w:name w:val="WW8Num3z3"/>
  </w:style>
  <w:style w:type="character" w:styleId="WW8Num3z4" w:customStyle="1">
    <w:name w:val="WW8Num3z4"/>
  </w:style>
  <w:style w:type="character" w:styleId="WW8Num3z5" w:customStyle="1">
    <w:name w:val="WW8Num3z5"/>
    <w:qFormat/>
  </w:style>
  <w:style w:type="character" w:styleId="WW8Num3z6" w:customStyle="1">
    <w:name w:val="WW8Num3z6"/>
    <w:qFormat/>
  </w:style>
  <w:style w:type="character" w:styleId="WW8Num3z7" w:customStyle="1">
    <w:name w:val="WW8Num3z7"/>
    <w:qFormat/>
  </w:style>
  <w:style w:type="character" w:styleId="WW8Num3z8" w:customStyle="1">
    <w:name w:val="WW8Num3z8"/>
    <w:qFormat/>
  </w:style>
  <w:style w:type="character" w:styleId="WW8Num4z0" w:customStyle="1">
    <w:name w:val="WW8Num4z0"/>
    <w:qFormat/>
  </w:style>
  <w:style w:type="character" w:styleId="WW8Num4z1" w:customStyle="1">
    <w:name w:val="WW8Num4z1"/>
  </w:style>
  <w:style w:type="character" w:styleId="WW8Num4z2" w:customStyle="1">
    <w:name w:val="WW8Num4z2"/>
    <w:qFormat/>
  </w:style>
  <w:style w:type="character" w:styleId="WW8Num4z3" w:customStyle="1">
    <w:name w:val="WW8Num4z3"/>
    <w:qFormat/>
  </w:style>
  <w:style w:type="character" w:styleId="WW8Num4z4" w:customStyle="1">
    <w:name w:val="WW8Num4z4"/>
  </w:style>
  <w:style w:type="character" w:styleId="WW8Num4z5" w:customStyle="1">
    <w:name w:val="WW8Num4z5"/>
    <w:qFormat/>
  </w:style>
  <w:style w:type="character" w:styleId="WW8Num4z6" w:customStyle="1">
    <w:name w:val="WW8Num4z6"/>
    <w:qFormat/>
  </w:style>
  <w:style w:type="character" w:styleId="WW8Num4z7" w:customStyle="1">
    <w:name w:val="WW8Num4z7"/>
  </w:style>
  <w:style w:type="character" w:styleId="WW8Num4z8" w:customStyle="1">
    <w:name w:val="WW8Num4z8"/>
    <w:qFormat/>
  </w:style>
  <w:style w:type="character" w:styleId="WW8Num5z0" w:customStyle="1">
    <w:name w:val="WW8Num5z0"/>
    <w:qFormat/>
    <w:rPr>
      <w:rFonts w:hint="default" w:ascii="Symbol" w:hAnsi="Symbol" w:cs="Symbol"/>
      <w:color w:val="000099"/>
      <w:sz w:val="24"/>
      <w:szCs w:val="24"/>
    </w:rPr>
  </w:style>
  <w:style w:type="character" w:styleId="WW8Num5z1" w:customStyle="1">
    <w:name w:val="WW8Num5z1"/>
    <w:qFormat/>
  </w:style>
  <w:style w:type="character" w:styleId="WW8Num5z2" w:customStyle="1">
    <w:name w:val="WW8Num5z2"/>
    <w:qFormat/>
  </w:style>
  <w:style w:type="character" w:styleId="WW8Num5z3" w:customStyle="1">
    <w:name w:val="WW8Num5z3"/>
  </w:style>
  <w:style w:type="character" w:styleId="WW8Num5z4" w:customStyle="1">
    <w:name w:val="WW8Num5z4"/>
    <w:qFormat/>
  </w:style>
  <w:style w:type="character" w:styleId="WW8Num5z5" w:customStyle="1">
    <w:name w:val="WW8Num5z5"/>
    <w:qFormat/>
  </w:style>
  <w:style w:type="character" w:styleId="WW8Num5z6" w:customStyle="1">
    <w:name w:val="WW8Num5z6"/>
    <w:qFormat/>
  </w:style>
  <w:style w:type="character" w:styleId="WW8Num5z7" w:customStyle="1">
    <w:name w:val="WW8Num5z7"/>
    <w:qFormat/>
  </w:style>
  <w:style w:type="character" w:styleId="WW8Num5z8" w:customStyle="1">
    <w:name w:val="WW8Num5z8"/>
  </w:style>
  <w:style w:type="character" w:styleId="WW8Num6z0" w:customStyle="1">
    <w:name w:val="WW8Num6z0"/>
    <w:qFormat/>
    <w:rPr>
      <w:rFonts w:hint="default"/>
    </w:rPr>
  </w:style>
  <w:style w:type="character" w:styleId="WW8Num6z1" w:customStyle="1">
    <w:name w:val="WW8Num6z1"/>
    <w:qFormat/>
  </w:style>
  <w:style w:type="character" w:styleId="WW8Num6z2" w:customStyle="1">
    <w:name w:val="WW8Num6z2"/>
    <w:qFormat/>
  </w:style>
  <w:style w:type="character" w:styleId="WW8Num6z3" w:customStyle="1">
    <w:name w:val="WW8Num6z3"/>
  </w:style>
  <w:style w:type="character" w:styleId="WW8Num6z4" w:customStyle="1">
    <w:name w:val="WW8Num6z4"/>
  </w:style>
  <w:style w:type="character" w:styleId="WW8Num6z5" w:customStyle="1">
    <w:name w:val="WW8Num6z5"/>
    <w:qFormat/>
  </w:style>
  <w:style w:type="character" w:styleId="WW8Num6z6" w:customStyle="1">
    <w:name w:val="WW8Num6z6"/>
    <w:qFormat/>
  </w:style>
  <w:style w:type="character" w:styleId="WW8Num6z7" w:customStyle="1">
    <w:name w:val="WW8Num6z7"/>
    <w:qFormat/>
  </w:style>
  <w:style w:type="character" w:styleId="WW8Num6z8" w:customStyle="1">
    <w:name w:val="WW8Num6z8"/>
    <w:qFormat/>
  </w:style>
  <w:style w:type="character" w:styleId="WW8Num7z0" w:customStyle="1">
    <w:name w:val="WW8Num7z0"/>
    <w:qFormat/>
  </w:style>
  <w:style w:type="character" w:styleId="WW8Num7z1" w:customStyle="1">
    <w:name w:val="WW8Num7z1"/>
  </w:style>
  <w:style w:type="character" w:styleId="WW8Num7z2" w:customStyle="1">
    <w:name w:val="WW8Num7z2"/>
    <w:qFormat/>
  </w:style>
  <w:style w:type="character" w:styleId="WW8Num7z3" w:customStyle="1">
    <w:name w:val="WW8Num7z3"/>
    <w:qFormat/>
  </w:style>
  <w:style w:type="character" w:styleId="WW8Num7z4" w:customStyle="1">
    <w:name w:val="WW8Num7z4"/>
  </w:style>
  <w:style w:type="character" w:styleId="WW8Num7z5" w:customStyle="1">
    <w:name w:val="WW8Num7z5"/>
    <w:qFormat/>
  </w:style>
  <w:style w:type="character" w:styleId="WW8Num7z6" w:customStyle="1">
    <w:name w:val="WW8Num7z6"/>
    <w:qFormat/>
  </w:style>
  <w:style w:type="character" w:styleId="WW8Num7z7" w:customStyle="1">
    <w:name w:val="WW8Num7z7"/>
    <w:qFormat/>
  </w:style>
  <w:style w:type="character" w:styleId="WW8Num7z8" w:customStyle="1">
    <w:name w:val="WW8Num7z8"/>
    <w:qFormat/>
  </w:style>
  <w:style w:type="character" w:styleId="15" w:customStyle="1">
    <w:name w:val="Основной шрифт абзаца1"/>
    <w:qFormat/>
  </w:style>
  <w:style w:type="character" w:styleId="spanheaderlot21" w:customStyle="1">
    <w:name w:val="span_header_lot_21"/>
    <w:qFormat/>
    <w:rPr>
      <w:b/>
      <w:bCs/>
      <w:sz w:val="20"/>
      <w:szCs w:val="20"/>
    </w:rPr>
  </w:style>
  <w:style w:type="character" w:styleId="labeltextlot21" w:customStyle="1">
    <w:name w:val="label_text_lot_21"/>
    <w:qFormat/>
    <w:rPr>
      <w:color w:val="0000ff"/>
      <w:sz w:val="20"/>
      <w:szCs w:val="20"/>
    </w:rPr>
  </w:style>
  <w:style w:type="character" w:styleId="labelbodytext11" w:customStyle="1">
    <w:name w:val="label_body_text_11"/>
    <w:qFormat/>
    <w:rPr>
      <w:color w:val="0000ff"/>
      <w:sz w:val="20"/>
      <w:szCs w:val="20"/>
    </w:rPr>
  </w:style>
  <w:style w:type="character" w:styleId="spanbodytext21" w:customStyle="1">
    <w:name w:val="span_body_text_21"/>
    <w:qFormat/>
    <w:rPr>
      <w:sz w:val="20"/>
      <w:szCs w:val="20"/>
    </w:rPr>
  </w:style>
  <w:style w:type="character" w:styleId="af4" w:customStyle="1">
    <w:name w:val="Символ сноски"/>
    <w:qFormat/>
    <w:rPr>
      <w:rFonts w:hint="default" w:ascii="Times New Roman" w:hAnsi="Times New Roman" w:cs="Times New Roman"/>
      <w:vertAlign w:val="superscript"/>
    </w:rPr>
  </w:style>
  <w:style w:type="character" w:styleId="16" w:customStyle="1">
    <w:name w:val="Знак примечания1"/>
    <w:qFormat/>
    <w:rPr>
      <w:sz w:val="16"/>
      <w:szCs w:val="16"/>
    </w:rPr>
  </w:style>
  <w:style w:type="character" w:styleId="af5" w:customStyle="1">
    <w:name w:val="Текст примечания Знак"/>
    <w:basedOn w:val="15"/>
    <w:qFormat/>
  </w:style>
  <w:style w:type="character" w:styleId="af6" w:customStyle="1">
    <w:name w:val="Тема примечания Знак"/>
    <w:qFormat/>
    <w:rPr>
      <w:b/>
      <w:bCs/>
    </w:rPr>
  </w:style>
  <w:style w:type="character" w:styleId="af7" w:customStyle="1">
    <w:name w:val="Символы концевой сноски"/>
    <w:qFormat/>
    <w:rPr>
      <w:vertAlign w:val="superscript"/>
    </w:rPr>
  </w:style>
  <w:style w:type="character" w:styleId="WW-" w:customStyle="1">
    <w:name w:val="WW-Символы концевой сноски"/>
    <w:qFormat/>
  </w:style>
  <w:style w:type="paragraph" w:styleId="af8" w:customStyle="1">
    <w:name w:val="Заголовок"/>
    <w:basedOn w:val="a"/>
    <w:next w:val="ad"/>
    <w:qFormat/>
    <w:pPr>
      <w:keepNext/>
      <w:spacing w:before="240" w:after="120" w:line="240" w:lineRule="auto"/>
    </w:pPr>
    <w:rPr>
      <w:rFonts w:ascii="Arial" w:hAnsi="Arial" w:eastAsia="Microsoft YaHei" w:cs="Mangal"/>
      <w:sz w:val="28"/>
      <w:szCs w:val="28"/>
      <w:lang w:eastAsia="zh-CN"/>
    </w:rPr>
  </w:style>
  <w:style w:type="character" w:styleId="ae" w:customStyle="1">
    <w:name w:val="Основной текст Знак"/>
    <w:basedOn w:val="a0"/>
    <w:link w:val="ad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17" w:customStyle="1">
    <w:name w:val="Указатель1"/>
    <w:basedOn w:val="a"/>
    <w:qFormat/>
    <w:pPr>
      <w:suppressLineNumber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zh-CN"/>
    </w:rPr>
  </w:style>
  <w:style w:type="character" w:styleId="af0" w:customStyle="1">
    <w:name w:val="Основной текст с отступом Знак"/>
    <w:basedOn w:val="a0"/>
    <w:link w:val="af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f9" w:customStyle="1">
    <w:name w:val="Знак"/>
    <w:basedOn w:val="a"/>
    <w:qFormat/>
    <w:pPr>
      <w:spacing w:after="160" w:line="240" w:lineRule="exact"/>
    </w:pPr>
    <w:rPr>
      <w:rFonts w:ascii="Verdana" w:hAnsi="Verdana" w:eastAsia="Times New Roman" w:cs="Verdana"/>
      <w:sz w:val="20"/>
      <w:szCs w:val="20"/>
      <w:lang w:val="en-US" w:eastAsia="zh-CN"/>
    </w:rPr>
  </w:style>
  <w:style w:type="paragraph" w:styleId="afa" w:customStyle="1">
    <w:name w:val="Знак Знак Знак Знак"/>
    <w:basedOn w:val="a"/>
    <w:qFormat/>
    <w:pPr>
      <w:spacing w:after="160" w:line="240" w:lineRule="exact"/>
    </w:pPr>
    <w:rPr>
      <w:rFonts w:ascii="Verdana" w:hAnsi="Verdana" w:eastAsia="Times New Roman" w:cs="Verdana"/>
      <w:sz w:val="20"/>
      <w:szCs w:val="20"/>
      <w:lang w:val="en-US" w:eastAsia="zh-CN"/>
    </w:rPr>
  </w:style>
  <w:style w:type="character" w:styleId="a7" w:customStyle="1">
    <w:name w:val="Текст выноски Знак"/>
    <w:basedOn w:val="a0"/>
    <w:link w:val="a6"/>
    <w:qFormat/>
    <w:rPr>
      <w:rFonts w:ascii="Tahoma" w:hAnsi="Tahoma" w:eastAsia="Times New Roman" w:cs="Tahoma"/>
      <w:sz w:val="16"/>
      <w:szCs w:val="16"/>
      <w:lang w:eastAsia="zh-CN"/>
    </w:rPr>
  </w:style>
  <w:style w:type="paragraph" w:styleId="afb">
    <w:name w:val="List Paragraph"/>
    <w:basedOn w:val="a"/>
    <w:link w:val="afc"/>
    <w:uiPriority w:val="34"/>
    <w:qFormat/>
    <w:pPr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ConsPlusNormal" w:customStyle="1">
    <w:name w:val="ConsPlusNormal"/>
    <w:qFormat/>
    <w:pPr>
      <w:widowControl w:val="off"/>
      <w:ind w:firstLine="720"/>
    </w:pPr>
    <w:rPr>
      <w:rFonts w:ascii="Arial" w:hAnsi="Arial" w:eastAsia="Times New Roman" w:cs="Arial"/>
      <w:lang w:eastAsia="zh-CN"/>
    </w:rPr>
  </w:style>
  <w:style w:type="character" w:styleId="11" w:customStyle="1">
    <w:name w:val="Текст примечания Знак1"/>
    <w:basedOn w:val="a0"/>
    <w:link w:val="a9"/>
    <w:uiPriority w:val="99"/>
    <w:semiHidden/>
    <w:qFormat/>
    <w:rPr>
      <w:sz w:val="20"/>
      <w:szCs w:val="20"/>
    </w:rPr>
  </w:style>
  <w:style w:type="character" w:styleId="13" w:customStyle="1">
    <w:name w:val="Тема примечания Знак1"/>
    <w:basedOn w:val="11"/>
    <w:link w:val="aa"/>
    <w:qFormat/>
    <w:rPr>
      <w:rFonts w:ascii="Times New Roman" w:hAnsi="Times New Roman" w:eastAsia="Times New Roman" w:cs="Times New Roman"/>
      <w:b/>
      <w:bCs/>
      <w:sz w:val="20"/>
      <w:szCs w:val="20"/>
      <w:lang w:eastAsia="zh-CN"/>
    </w:rPr>
  </w:style>
  <w:style w:type="paragraph" w:styleId="afd" w:customStyle="1">
    <w:name w:val="Содержимое таблицы"/>
    <w:basedOn w:val="a"/>
    <w:qFormat/>
    <w:pPr>
      <w:suppressLineNumber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fe" w:customStyle="1">
    <w:name w:val="Заголовок таблицы"/>
    <w:basedOn w:val="afd"/>
    <w:qFormat/>
    <w:pPr>
      <w:jc w:val="center"/>
    </w:pPr>
    <w:rPr>
      <w:b/>
      <w:bCs/>
    </w:rPr>
  </w:style>
  <w:style w:type="table" w:styleId="18" w:customStyle="1">
    <w:name w:val="Сетка таблицы1"/>
    <w:basedOn w:val="a1"/>
    <w:uiPriority w:val="59"/>
    <w:qFormat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f">
    <w:name w:val="No Spacing"/>
    <w:link w:val="aff0"/>
    <w:uiPriority w:val="1"/>
    <w:qFormat/>
    <w:rPr>
      <w:sz w:val="22"/>
      <w:szCs w:val="22"/>
      <w:lang w:eastAsia="en-US"/>
    </w:rPr>
  </w:style>
  <w:style w:type="character" w:styleId="afc" w:customStyle="1">
    <w:name w:val="Абзац списка Знак"/>
    <w:link w:val="afb"/>
    <w:uiPriority w:val="34"/>
    <w:qFormat/>
    <w:locked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20" w:customStyle="1">
    <w:name w:val="Заголовок 2 Знак"/>
    <w:basedOn w:val="a0"/>
    <w:link w:val="2"/>
    <w:uiPriority w:val="9"/>
    <w:semiHidden/>
    <w:qFormat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item-with-dotstext" w:customStyle="1">
    <w:name w:val="item-with-dots__text"/>
    <w:basedOn w:val="a0"/>
    <w:qFormat/>
  </w:style>
  <w:style w:type="character" w:styleId="item-with-dotstext-with-divider" w:customStyle="1">
    <w:name w:val="item-with-dots__text-with-divider"/>
    <w:basedOn w:val="a0"/>
    <w:qFormat/>
  </w:style>
  <w:style w:type="character" w:styleId="ea" w:customStyle="1">
    <w:name w:val="ea"/>
    <w:basedOn w:val="a0"/>
    <w:qFormat/>
  </w:style>
  <w:style w:type="character" w:styleId="fa" w:customStyle="1">
    <w:name w:val="fa"/>
    <w:basedOn w:val="a0"/>
    <w:qFormat/>
  </w:style>
  <w:style w:type="paragraph" w:styleId="Standard" w:customStyle="1">
    <w:name w:val="Standard"/>
    <w:qFormat/>
    <w:pPr>
      <w:widowControl w:val="off"/>
    </w:pPr>
    <w:rPr>
      <w:rFonts w:ascii="Arial" w:hAnsi="Arial" w:eastAsia="Arial Unicode MS" w:cs="Tahoma"/>
      <w:szCs w:val="24"/>
    </w:rPr>
  </w:style>
  <w:style w:type="paragraph" w:styleId="ConsPlusCell" w:customStyle="1">
    <w:name w:val="ConsPlusCell"/>
    <w:uiPriority w:val="99"/>
    <w:qFormat/>
    <w:rPr>
      <w:rFonts w:ascii="Times New Roman" w:hAnsi="Times New Roman" w:eastAsia="Calibri" w:cs="Times New Roman"/>
    </w:rPr>
  </w:style>
  <w:style w:type="character" w:styleId="aff0" w:customStyle="1">
    <w:name w:val="Без интервала Знак"/>
    <w:link w:val="aff"/>
    <w:qFormat/>
  </w:style>
  <w:style w:type="paragraph" w:styleId="19" w:customStyle="1">
    <w:name w:val="Абзац списка1"/>
    <w:basedOn w:val="a"/>
    <w:qFormat/>
    <w:pPr>
      <w:spacing w:after="0" w:line="240" w:lineRule="auto"/>
      <w:ind w:left="708"/>
    </w:pPr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SL" w:customStyle="1">
    <w:name w:val="SL_Программный код"/>
    <w:basedOn w:val="a"/>
    <w:next w:val="a"/>
    <w:link w:val="SL0"/>
    <w:qFormat/>
    <w:pPr>
      <w:spacing w:before="240" w:after="240" w:line="360" w:lineRule="auto"/>
      <w:jc w:val="both"/>
    </w:pPr>
    <w:rPr>
      <w:rFonts w:ascii="Courier New" w:hAnsi="Courier New" w:eastAsia="Times New Roman" w:cs="Times New Roman"/>
      <w:lang w:val="zh-CN"/>
    </w:rPr>
  </w:style>
  <w:style w:type="character" w:styleId="SL0" w:customStyle="1">
    <w:name w:val="SL_Программный код Знак"/>
    <w:link w:val="SL"/>
    <w:qFormat/>
    <w:locked/>
    <w:rPr>
      <w:rFonts w:ascii="Courier New" w:hAnsi="Courier New" w:eastAsia="Times New Roman" w:cs="Times New Roman"/>
      <w:lang w:val="zh-CN"/>
    </w:rPr>
  </w:style>
  <w:style w:type="character" w:styleId="aff1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A0101-FF89-4826-8B18-DE092CD5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19148</Characters>
  <CharactersWithSpaces>22463</CharactersWithSpaces>
  <Company/>
  <DocSecurity>0</DocSecurity>
  <HyperlinksChanged>false</HyperlinksChanged>
  <Lines>159</Lines>
  <LinksUpToDate>false</LinksUpToDate>
  <Pages>8</Pages>
  <Paragraphs>44</Paragraphs>
  <ScaleCrop>false</ScaleCrop>
  <SharedDoc>false</SharedDoc>
  <Template>Normal</Template>
  <TotalTime>4</TotalTime>
  <Words>3359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Ловыгина Наталья Борисовна</dc:creator>
  <cp:lastModifiedBy>u434</cp:lastModifiedBy>
  <cp:revision>3</cp:revision>
  <cp:lastPrinted>2026-08-05T13:01:00Z</cp:lastPrinted>
  <dcterms:created xsi:type="dcterms:W3CDTF">2026-08-05T13:01:00Z</dcterms:created>
  <dcterms:modified xsi:type="dcterms:W3CDTF">2026-08-05T13:05:00Z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19CD08A7D468443986732DC2D5E2CE90_13</vt:lpwstr>
  </property>
</Properties>
</file>