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ИКЗ 26 1 5003022210 771701001 0015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eastAsia="Calibri" w:cs="Times New Roman" w:ascii="Times New Roman" w:hAnsi="Times New Roman"/>
          <w:sz w:val="28"/>
          <w:szCs w:val="28"/>
          <w:lang w:eastAsia="ar-SA"/>
        </w:rPr>
        <w:t xml:space="preserve">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 (далее – ФКУ «Центр физической подготовки и спорта МЧС России», выступающее от имени Российской Федерации, в лице __________________________________, </w:t>
      </w:r>
      <w:r>
        <w:rPr>
          <w:rFonts w:cs="Times New Roman" w:ascii="Times New Roman" w:hAnsi="Times New Roman"/>
          <w:sz w:val="28"/>
          <w:szCs w:val="28"/>
        </w:rPr>
        <w:t xml:space="preserve">действующего на основании Доверенности № _____ от 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«Исполнитель»</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 5 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1"/>
        <w:widowControl w:val="false"/>
        <w:numPr>
          <w:ilvl w:val="0"/>
          <w:numId w:val="4"/>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по заданию Заказчика обязуется в установленный Контрактом срок оказать услуги по организации проведения соревнований по легкой атлетике (предоставление в пользование спортивного сооружения) (далее - Услуги) согласно Приложениям № 1 и Приложению № 2 к настоящему Контракту.</w:t>
      </w:r>
    </w:p>
    <w:p>
      <w:pPr>
        <w:pStyle w:val="Style31"/>
        <w:widowControl w:val="fals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1"/>
        <w:widowControl w:val="false"/>
        <w:numPr>
          <w:ilvl w:val="0"/>
          <w:numId w:val="4"/>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ОКАЗАНИЯ УСЛУГ</w:t>
      </w:r>
    </w:p>
    <w:p>
      <w:pPr>
        <w:pStyle w:val="Style31"/>
        <w:widowControl w:val="false"/>
        <w:numPr>
          <w:ilvl w:val="1"/>
          <w:numId w:val="4"/>
        </w:numPr>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Оказание услуг осуществляется Исполнителем в соответствии с требованиями технического задания (Приложение № 1), являющегося неотъемлемой частью настоящего Контракта.</w:t>
      </w:r>
    </w:p>
    <w:p>
      <w:pPr>
        <w:pStyle w:val="Normal"/>
        <w:widowControl w:val="false"/>
        <w:bidi w:val="0"/>
        <w:spacing w:lineRule="auto" w:line="240" w:before="0" w:after="0"/>
        <w:ind w:firstLine="85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2.2. Количество и вид Услуг определяется в соответствии с потребностью Заказчика. По заявке Заказчика, направленной письменно, по электронной почте, либо посредством телефонной связи, Исполнитель производит оказание необходимых услуг.</w:t>
      </w:r>
    </w:p>
    <w:p>
      <w:pPr>
        <w:pStyle w:val="Style31"/>
        <w:widowControl w:val="fals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1"/>
        <w:widowControl w:val="false"/>
        <w:numPr>
          <w:ilvl w:val="0"/>
          <w:numId w:val="4"/>
        </w:numPr>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Исполнитель вправе:</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Исполнителем не освобождает Исполнителя от выполнения условий Контракта; </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Исполнитель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оказать Услуги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Исполнителя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Исполнителя;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оказанич услуг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оказанные Услуги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оказанных услуг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1"/>
        <w:widowControl w:val="false"/>
        <w:numPr>
          <w:ilvl w:val="0"/>
          <w:numId w:val="4"/>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ОКАЗАНИЯ УСЛУГ</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cs="Times New Roman" w:ascii="Times New Roman" w:hAnsi="Times New Roman"/>
          <w:sz w:val="28"/>
          <w:szCs w:val="28"/>
        </w:rPr>
        <w:t>Срок оказания Услуг: с 11 по 12 августа 2026.</w:t>
      </w:r>
    </w:p>
    <w:p>
      <w:pPr>
        <w:pStyle w:val="Normal"/>
        <w:widowControl w:val="false"/>
        <w:suppressLineNumbers/>
        <w:suppressAutoHyphens w:val="true"/>
        <w:bidi w:val="0"/>
        <w:spacing w:lineRule="auto" w:line="240" w:before="0" w:after="0"/>
        <w:ind w:firstLine="85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Место оказания услуг: г. Иркутск, ул. Лермонтова, 83.</w:t>
      </w:r>
    </w:p>
    <w:p>
      <w:pPr>
        <w:pStyle w:val="Normal"/>
        <w:widowControl w:val="false"/>
        <w:numPr>
          <w:ilvl w:val="1"/>
          <w:numId w:val="4"/>
        </w:numPr>
        <w:suppressLineNumbers/>
        <w:suppressAutoHyphens w:val="true"/>
        <w:spacing w:lineRule="auto" w:line="240" w:before="0" w:after="0"/>
        <w:ind w:firstLine="851" w:start="0"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Исполнителем обязательств по настоящему Контракту считается дата подписания Сторонами акта приема-сдачи оказанных Услуг.</w:t>
      </w:r>
    </w:p>
    <w:p>
      <w:pPr>
        <w:pStyle w:val="Style31"/>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1"/>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5.1. Исполнитель представляет Заказчику документы о приемке оказанных Услуг в 2 экземплярах. К документам о приемке оказанных Услуг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 15 (пятнадцати) календарных дней со дня получения оригиналов документов о приемке оказанных Услуг, документов, указанных в пунктах 5.1, настоящего Контракта, осуществляет проверку оказанных Услуг Исполнителем по Контракту на предмет соответствия оказываемых Услуг требованиям и условиям Контракта, принимает Услуги, передает Исполнителю подписанные со своей стороны документы о приемке оказанных Услуг по Контракту или отказывает в приемке, направляя мотивированный отказ от приемки оказанных Услуг.</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Услуг и подписания акта приема–сдачи Услуг, Заказчик составляет и подписывает электронными подписями Акт приемки товаров, работ, услуг (код формы 0510452) для проведения оплаты оказанных Услуг и направляет Исполнителю для подписания по электронной почте, указанной в разделе 14 Контракта. Исполнитель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w:t>
        <w:br/>
        <w:t>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Исполнителем своих обязательств, установленных Контрактом, к Акту приемки товаров, работ, услуг (код формы 0510452) оформляется приложение «Расчет неустойки, пени»</w:t>
        <w:br/>
        <w:t xml:space="preserve">в соответствии с разделом </w:t>
      </w:r>
      <w:r>
        <w:rPr>
          <w:rFonts w:eastAsia="Times New Roman" w:cs="Times New Roman" w:ascii="Times New Roman" w:hAnsi="Times New Roman"/>
          <w:b/>
          <w:bCs/>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Для проверки результатов оказания Услуг в части их соответствия условиям Контракта Заказчик проводит экспертизу. Экспертиза проводиться своими силами или с привлечением независимых экспертов на основании контрактов, заключенных в соответствии с Федеральным законом № 44-ФЗ</w:t>
        <w:br/>
        <w:t>в срок, установленный пунктом 5.2 настоящего Контракта, с занесением соответствующей записи в документы о приемке оказанных Услуг</w:t>
        <w:br/>
        <w:t>и/или составления акта по результатом проведенной экспертизы Заказчиком.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В случае отказа Заказчика от приемки оказанных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1"/>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КОНТРАКТА И</w:t>
      </w:r>
      <w:r>
        <w:rPr>
          <w:rFonts w:eastAsia="Times New Roman" w:cs="Times New Roman" w:ascii="Times New Roman" w:hAnsi="Times New Roman"/>
          <w:b/>
          <w:caps/>
          <w:sz w:val="28"/>
          <w:szCs w:val="26"/>
          <w:lang w:eastAsia="ru-RU"/>
        </w:rPr>
        <w:t xml:space="preserve"> порядок расчетов.</w:t>
      </w:r>
    </w:p>
    <w:p>
      <w:pPr>
        <w:pStyle w:val="Style31"/>
        <w:widowControl w:val="false"/>
        <w:numPr>
          <w:ilvl w:val="1"/>
          <w:numId w:val="5"/>
        </w:numPr>
        <w:suppressLineNumbers/>
        <w:suppressAutoHyphens w:val="true"/>
        <w:spacing w:lineRule="auto" w:line="240" w:before="0" w:after="0"/>
        <w:ind w:firstLine="851" w:start="0" w:end="0"/>
        <w:contextualSpacing/>
        <w:jc w:val="both"/>
        <w:rPr>
          <w:rFonts w:eastAsia="Arial"/>
          <w:sz w:val="28"/>
          <w:szCs w:val="28"/>
        </w:rPr>
      </w:pPr>
      <w:r>
        <w:rPr>
          <w:rFonts w:eastAsia="Arial" w:cs="Times New Roman" w:ascii="Times New Roman" w:hAnsi="Times New Roman"/>
          <w:sz w:val="28"/>
          <w:szCs w:val="28"/>
          <w:lang w:eastAsia="ar-SA"/>
        </w:rPr>
        <w:t xml:space="preserve">Цена настоящего Контракта составляет ___________ (______________________) рублей ___ копеек, в т.ч. НДС ____ процентов, </w:t>
        <w:br/>
        <w:t>(или НДС не облагается на основании ст. 149 НК РФ.).</w:t>
      </w:r>
    </w:p>
    <w:p>
      <w:pPr>
        <w:pStyle w:val="BodyTextIndent"/>
        <w:widowControl w:val="false"/>
        <w:suppressLineNumbers/>
        <w:ind w:firstLine="567" w:start="0" w:end="0"/>
        <w:jc w:val="both"/>
        <w:rPr>
          <w:bCs/>
          <w:sz w:val="28"/>
          <w:szCs w:val="28"/>
        </w:rPr>
      </w:pPr>
      <w:r>
        <w:rPr>
          <w:rFonts w:eastAsia="Arial"/>
          <w:sz w:val="28"/>
          <w:szCs w:val="28"/>
        </w:rPr>
        <w:t>Ц</w:t>
      </w:r>
      <w:r>
        <w:rPr>
          <w:sz w:val="28"/>
          <w:szCs w:val="28"/>
        </w:rPr>
        <w:t>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pPr>
        <w:pStyle w:val="BodyTextIndent"/>
        <w:widowControl w:val="false"/>
        <w:suppressLineNumbers/>
        <w:ind w:firstLine="567" w:start="0" w:end="0"/>
        <w:jc w:val="both"/>
        <w:rPr>
          <w:sz w:val="28"/>
          <w:szCs w:val="28"/>
        </w:rPr>
      </w:pPr>
      <w:r>
        <w:rPr>
          <w:bCs/>
          <w:sz w:val="28"/>
          <w:szCs w:val="28"/>
        </w:rPr>
        <w:t xml:space="preserve">Цена контракта включает в себя: все расходы </w:t>
      </w:r>
      <w:r>
        <w:rPr>
          <w:sz w:val="28"/>
          <w:szCs w:val="28"/>
        </w:rPr>
        <w:t>Исполнителя, необходимые для исполнения им своих обязательств по Контракту в полном объеме</w:t>
        <w:br/>
        <w:t>и с надлежащим качеством, а также всех иных накладных расходов</w:t>
      </w:r>
      <w:r>
        <w:rPr>
          <w:bCs/>
          <w:sz w:val="28"/>
          <w:szCs w:val="28"/>
        </w:rPr>
        <w:t>,</w:t>
      </w:r>
      <w:r>
        <w:rPr>
          <w:sz w:val="28"/>
          <w:szCs w:val="28"/>
        </w:rPr>
        <w:t xml:space="preserve"> расходов на уплату</w:t>
      </w:r>
      <w:r>
        <w:rPr>
          <w:sz w:val="28"/>
          <w:szCs w:val="28"/>
          <w:lang w:val="ru-RU"/>
        </w:rPr>
        <w:t>.</w:t>
      </w:r>
    </w:p>
    <w:p>
      <w:pPr>
        <w:pStyle w:val="BodyTextIndent"/>
        <w:widowControl w:val="false"/>
        <w:numPr>
          <w:ilvl w:val="1"/>
          <w:numId w:val="3"/>
        </w:numPr>
        <w:suppressLineNumbers/>
        <w:ind w:firstLine="851" w:start="0" w:end="0"/>
        <w:jc w:val="both"/>
        <w:rPr>
          <w:sz w:val="28"/>
          <w:szCs w:val="28"/>
        </w:rPr>
      </w:pPr>
      <w:r>
        <w:rPr>
          <w:sz w:val="28"/>
          <w:szCs w:val="28"/>
        </w:rPr>
        <w:t>Цена настоящего Контракта может быть снижена по соглашению Сторон без изменения</w:t>
      </w:r>
      <w:r>
        <w:rPr>
          <w:sz w:val="28"/>
          <w:szCs w:val="28"/>
          <w:lang w:val="ru-RU"/>
        </w:rPr>
        <w:t>,</w:t>
      </w:r>
      <w:r>
        <w:rPr>
          <w:sz w:val="28"/>
          <w:szCs w:val="28"/>
        </w:rPr>
        <w:t xml:space="preserve"> предусмотренных Контрактом объема и качества оказываемых Услуг и иных условий Контракта.</w:t>
      </w:r>
    </w:p>
    <w:p>
      <w:pPr>
        <w:pStyle w:val="BodyTextIndent"/>
        <w:widowControl w:val="false"/>
        <w:numPr>
          <w:ilvl w:val="1"/>
          <w:numId w:val="3"/>
        </w:numPr>
        <w:suppressLineNumbers/>
        <w:ind w:firstLine="851" w:start="0" w:end="0"/>
        <w:jc w:val="both"/>
        <w:rPr>
          <w:sz w:val="28"/>
          <w:szCs w:val="28"/>
        </w:rPr>
      </w:pPr>
      <w:r>
        <w:rPr>
          <w:sz w:val="28"/>
          <w:szCs w:val="28"/>
        </w:rPr>
        <w:t xml:space="preserve">Источник финансирования настоящего Контракта - Федеральный бюджет. </w:t>
      </w:r>
    </w:p>
    <w:p>
      <w:pPr>
        <w:pStyle w:val="BodyTextIndent"/>
        <w:widowControl w:val="false"/>
        <w:numPr>
          <w:ilvl w:val="1"/>
          <w:numId w:val="3"/>
        </w:numPr>
        <w:suppressLineNumbers/>
        <w:ind w:firstLine="851" w:start="0" w:end="0"/>
        <w:jc w:val="both"/>
        <w:rPr>
          <w:sz w:val="28"/>
          <w:szCs w:val="28"/>
        </w:rPr>
      </w:pPr>
      <w:r>
        <w:rPr>
          <w:sz w:val="28"/>
          <w:szCs w:val="28"/>
        </w:rPr>
        <w:t xml:space="preserve">Расчеты между Заказчиком и Исполнителем за оказанные Услуги производятся </w:t>
      </w:r>
      <w:r>
        <w:rPr>
          <w:b/>
          <w:bCs/>
          <w:sz w:val="28"/>
          <w:szCs w:val="28"/>
        </w:rPr>
        <w:t>не позднее 7 (семи) рабочих дней</w:t>
      </w:r>
      <w:r>
        <w:rPr>
          <w:sz w:val="28"/>
          <w:szCs w:val="28"/>
        </w:rPr>
        <w:t xml:space="preserve"> с даты подписания Сторонами акта сдачи-приемки оказанных Услуг.</w:t>
      </w:r>
    </w:p>
    <w:p>
      <w:pPr>
        <w:pStyle w:val="BodyTextIndent"/>
        <w:widowControl w:val="false"/>
        <w:numPr>
          <w:ilvl w:val="1"/>
          <w:numId w:val="3"/>
        </w:numPr>
        <w:suppressLineNumbers/>
        <w:ind w:firstLine="851" w:start="0" w:end="0"/>
        <w:jc w:val="both"/>
        <w:rPr>
          <w:sz w:val="28"/>
          <w:szCs w:val="28"/>
        </w:rPr>
      </w:pPr>
      <w:r>
        <w:rPr>
          <w:sz w:val="28"/>
          <w:szCs w:val="28"/>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w:t>
        <w:br/>
        <w:t>В случае изменения расчетного счета Исполнитель обязан в однодневный срок</w:t>
        <w:br/>
        <w:t>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BodyTextIndent"/>
        <w:widowControl w:val="false"/>
        <w:numPr>
          <w:ilvl w:val="1"/>
          <w:numId w:val="3"/>
        </w:numPr>
        <w:suppressLineNumbers/>
        <w:ind w:firstLine="851" w:start="0" w:end="0"/>
        <w:jc w:val="both"/>
        <w:rPr>
          <w:rFonts w:ascii="PT Astra Serif;Times New Roman" w:hAnsi="PT Astra Serif;Times New Roman" w:cs="PT Astra Serif;Times New Roman"/>
          <w:sz w:val="28"/>
          <w:szCs w:val="28"/>
          <w:lang w:eastAsia="ru-RU"/>
        </w:rPr>
      </w:pPr>
      <w:r>
        <w:rPr>
          <w:sz w:val="28"/>
          <w:szCs w:val="28"/>
        </w:rPr>
        <w:t>Заказчик уменьшает суммы, подлежащие уплате Заказчиком Исполнителю, на размер налогов, сборов и иных обязательных платежей</w:t>
        <w:br/>
        <w:t>в бюджеты бюджетной системы Российской Федерации, связанных с оплатой Контракта, если в соответствии с законодательством Российской Федерации</w:t>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Indent"/>
        <w:widowControl w:val="false"/>
        <w:numPr>
          <w:ilvl w:val="1"/>
          <w:numId w:val="3"/>
        </w:numPr>
        <w:suppressLineNumbers/>
        <w:ind w:firstLine="851" w:start="0" w:end="0"/>
        <w:jc w:val="both"/>
        <w:rPr>
          <w:rFonts w:ascii="Times New Roman" w:hAnsi="Times New Roman" w:eastAsia="Times New Roman" w:cs="Times New Roman"/>
          <w:sz w:val="28"/>
          <w:szCs w:val="28"/>
          <w:lang w:val="ru-RU" w:eastAsia="ar-SA"/>
        </w:rPr>
      </w:pPr>
      <w:r>
        <w:rPr>
          <w:rFonts w:cs="PT Astra Serif;Times New Roman" w:ascii="PT Astra Serif;Times New Roman" w:hAnsi="PT Astra Serif;Times New Roman"/>
          <w:sz w:val="28"/>
          <w:szCs w:val="28"/>
          <w:lang w:eastAsia="ru-RU"/>
        </w:rPr>
        <w:t>Оплата оказанных Услуг, в случае если окончание оказания Услуги  приходится на дату с 1 по 20 декабря 2026 года включительно, осуществляется</w:t>
        <w:br/>
        <w:t>в соответствующем финансовом году в пределах лимитов бюджетных обязательств, доведенных до Заказчика на указанный финансовый год,</w:t>
        <w:br/>
        <w:t>и не позднее чем за один рабочий день до окончания этого финансового года.</w:t>
      </w:r>
    </w:p>
    <w:p>
      <w:pPr>
        <w:pStyle w:val="Normal"/>
        <w:widowControl w:val="false"/>
        <w:suppressLineNumbers/>
        <w:suppressAutoHyphens w:val="true"/>
        <w:spacing w:lineRule="auto" w:line="240" w:before="0" w:after="0"/>
        <w:ind w:firstLine="567" w:end="0"/>
        <w:rPr>
          <w:rFonts w:ascii="Times New Roman" w:hAnsi="Times New Roman" w:eastAsia="Times New Roman" w:cs="Times New Roman"/>
          <w:sz w:val="28"/>
          <w:szCs w:val="28"/>
          <w:lang w:val="ru-RU" w:eastAsia="ar-SA"/>
        </w:rPr>
      </w:pPr>
      <w:r>
        <w:rPr>
          <w:rFonts w:eastAsia="Times New Roman" w:cs="Times New Roman" w:ascii="Times New Roman" w:hAnsi="Times New Roman"/>
          <w:sz w:val="28"/>
          <w:szCs w:val="28"/>
          <w:lang w:val="ru-RU" w:eastAsia="ar-SA"/>
        </w:rPr>
      </w:r>
    </w:p>
    <w:p>
      <w:pPr>
        <w:pStyle w:val="Style31"/>
        <w:widowControl w:val="false"/>
        <w:numPr>
          <w:ilvl w:val="0"/>
          <w:numId w:val="8"/>
        </w:numPr>
        <w:suppressLineNumbers/>
        <w:suppressAutoHyphens w:val="true"/>
        <w:spacing w:lineRule="auto" w:line="240" w:before="0" w:after="0"/>
        <w:ind w:firstLine="567"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Normal"/>
        <w:widowControl w:val="false"/>
        <w:suppressLineNumbers/>
        <w:tabs>
          <w:tab w:val="clear" w:pos="708"/>
          <w:tab w:val="left" w:pos="-3969" w:leader="none"/>
        </w:tabs>
        <w:suppressAutoHyphens w:val="true"/>
        <w:spacing w:lineRule="auto" w:line="240" w:before="0" w:after="0"/>
        <w:ind w:firstLine="567" w:end="0"/>
        <w:jc w:val="both"/>
        <w:rPr>
          <w:rFonts w:ascii="Times New Roman" w:hAnsi="Times New Roman" w:cs="Times New Roman"/>
          <w:sz w:val="28"/>
          <w:szCs w:val="28"/>
        </w:rPr>
      </w:pPr>
      <w:r>
        <w:rPr>
          <w:rFonts w:cs="Times New Roman" w:ascii="Times New Roman" w:hAnsi="Times New Roman"/>
          <w:sz w:val="28"/>
          <w:szCs w:val="28"/>
        </w:rPr>
        <w:t>7.1. Услуги оказываются в соответствии с законодательством Российской Федерации. Исполнитель гарантирует качество оказываемых услуг и соблюдение надлежащих условий.</w:t>
      </w:r>
    </w:p>
    <w:p>
      <w:pPr>
        <w:pStyle w:val="Normal"/>
        <w:widowControl w:val="false"/>
        <w:suppressLineNumbers/>
        <w:tabs>
          <w:tab w:val="clear" w:pos="708"/>
          <w:tab w:val="left" w:pos="-3969" w:leader="none"/>
        </w:tabs>
        <w:suppressAutoHyphens w:val="true"/>
        <w:spacing w:lineRule="auto" w:line="240" w:before="0" w:after="0"/>
        <w:ind w:firstLine="709" w:end="0"/>
        <w:jc w:val="both"/>
        <w:rPr>
          <w:rFonts w:ascii="Times New Roman" w:hAnsi="Times New Roman" w:cs="Times New Roman"/>
          <w:sz w:val="28"/>
          <w:szCs w:val="28"/>
        </w:rPr>
      </w:pPr>
      <w:r>
        <w:rPr>
          <w:rFonts w:cs="Times New Roman" w:ascii="Times New Roman" w:hAnsi="Times New Roman"/>
          <w:sz w:val="28"/>
          <w:szCs w:val="28"/>
        </w:rPr>
      </w:r>
    </w:p>
    <w:p>
      <w:pPr>
        <w:pStyle w:val="Style31"/>
        <w:widowControl w:val="false"/>
        <w:numPr>
          <w:ilvl w:val="0"/>
          <w:numId w:val="6"/>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1"/>
        <w:widowControl w:val="false"/>
        <w:numPr>
          <w:ilvl w:val="1"/>
          <w:numId w:val="6"/>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1"/>
        <w:widowControl w:val="false"/>
        <w:numPr>
          <w:ilvl w:val="1"/>
          <w:numId w:val="6"/>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Исполнителем обязательств (в том числе гарантийного обязательства), предусмотренных Контрактом, а также</w:t>
        <w:br/>
        <w:t>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Style31"/>
        <w:widowControl w:val="false"/>
        <w:numPr>
          <w:ilvl w:val="1"/>
          <w:numId w:val="6"/>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Style31"/>
        <w:widowControl w:val="false"/>
        <w:numPr>
          <w:ilvl w:val="1"/>
          <w:numId w:val="6"/>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8.9. Заказчик вправе удержать с Исполнителя начисленную неустойку (штраф, пени) за неисполнение или ненадлежащее исполнение Исполнителем обязательств, предусмотренных Контрактом, путем выплаты Исполнителю причитающейся  суммы за оказанные Услуги, уменьшенной на сумму неустойки (штрафов, пени), перечисляемой в установленном порядке в доход федерального бюджета.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8.10. Общая сумма начисленной неустойки (штрафов, пени)</w:t>
        <w:br/>
        <w:t>за ненадлежащее исполнение Заказчиком обязательств, предусмотренных Контрактом, не может превышать цену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8.11.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br/>
        <w:t>или по вине другой стороны.</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8.12. Выплата неустойки не освобождает Стороны от исполнения своих обязательств по настоящему Контракту.</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8.13. Исполнитель</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color w:val="000000"/>
          <w:sz w:val="28"/>
          <w:szCs w:val="28"/>
          <w:highlight w:val="white"/>
          <w:lang w:eastAsia="ar-SA"/>
        </w:rPr>
      </w:pPr>
      <w:r>
        <w:rPr>
          <w:rFonts w:eastAsia="Times New Roman" w:cs="Times New Roman" w:ascii="Times New Roman" w:hAnsi="Times New Roman"/>
          <w:sz w:val="28"/>
          <w:szCs w:val="28"/>
          <w:lang w:eastAsia="ar-SA"/>
        </w:rPr>
        <w:t>8.14. Ущерб, нанесенный имуществу Заказчика или иные убытки, причиненные вследствие ненадлежащего исполнения Исполнителем обязательств по Контракту, подлежит компенсации за счет средств Исполнителя. Способ компенсации выбирается по согласованию обеих сторон.</w:t>
      </w:r>
    </w:p>
    <w:p>
      <w:pPr>
        <w:pStyle w:val="Normal"/>
        <w:widowControl w:val="false"/>
        <w:suppressLineNumbers/>
        <w:tabs>
          <w:tab w:val="clear" w:pos="708"/>
          <w:tab w:val="left" w:pos="0" w:leader="none"/>
        </w:tabs>
        <w:suppressAutoHyphens w:val="true"/>
        <w:spacing w:lineRule="auto" w:line="240" w:before="0" w:after="0"/>
        <w:ind w:firstLine="709" w:end="0"/>
        <w:jc w:val="both"/>
        <w:rPr>
          <w:color w:val="000000"/>
          <w:sz w:val="28"/>
          <w:szCs w:val="28"/>
          <w:highlight w:val="white"/>
        </w:rPr>
      </w:pPr>
      <w:r>
        <w:rPr>
          <w:rFonts w:eastAsia="Times New Roman" w:cs="Times New Roman" w:ascii="Times New Roman" w:hAnsi="Times New Roman"/>
          <w:color w:val="000000"/>
          <w:sz w:val="28"/>
          <w:szCs w:val="28"/>
          <w:highlight w:val="white"/>
          <w:lang w:eastAsia="ar-SA"/>
        </w:rPr>
        <w:t xml:space="preserve">8.15. </w:t>
      </w: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color w:val="000000"/>
          <w:sz w:val="28"/>
          <w:szCs w:val="28"/>
          <w:highlight w:val="white"/>
        </w:rPr>
      </w:pPr>
      <w:r>
        <w:rPr>
          <w:color w:val="000000"/>
          <w:sz w:val="28"/>
          <w:szCs w:val="28"/>
          <w:highlight w:val="white"/>
        </w:rPr>
        <w:t xml:space="preserve">ФКУ «Центр физической подготовки и спорта МЧС России» </w:t>
      </w:r>
    </w:p>
    <w:p>
      <w:pPr>
        <w:pStyle w:val="Standard"/>
        <w:spacing w:before="0" w:after="0"/>
        <w:rPr>
          <w:color w:val="000000"/>
          <w:sz w:val="28"/>
          <w:szCs w:val="28"/>
          <w:highlight w:val="white"/>
        </w:rPr>
      </w:pPr>
      <w:r>
        <w:rPr>
          <w:color w:val="000000"/>
          <w:sz w:val="28"/>
          <w:szCs w:val="28"/>
          <w:highlight w:val="white"/>
        </w:rPr>
        <w:t>ИНН -5003022210, КПП -771701001,</w:t>
      </w:r>
    </w:p>
    <w:p>
      <w:pPr>
        <w:pStyle w:val="Standard"/>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
        <w:spacing w:before="0" w:after="0"/>
        <w:rPr>
          <w:color w:val="000000"/>
          <w:sz w:val="28"/>
          <w:szCs w:val="28"/>
          <w:shd w:fill="FFFFFF" w:val="clear"/>
        </w:rPr>
      </w:pPr>
      <w:r>
        <w:rPr>
          <w:color w:val="000000"/>
          <w:sz w:val="28"/>
          <w:szCs w:val="28"/>
          <w:shd w:fill="FFFFFF" w:val="clear"/>
        </w:rPr>
        <w:t>ОКТМО- 45358000</w:t>
      </w:r>
    </w:p>
    <w:p>
      <w:pPr>
        <w:pStyle w:val="Standard"/>
        <w:spacing w:before="0" w:after="0"/>
        <w:rPr>
          <w:color w:val="000000"/>
          <w:sz w:val="28"/>
          <w:szCs w:val="28"/>
          <w:shd w:fill="FFFFFF" w:val="clear"/>
        </w:rPr>
      </w:pPr>
      <w:r>
        <w:rPr>
          <w:color w:val="000000"/>
          <w:sz w:val="28"/>
          <w:szCs w:val="28"/>
          <w:shd w:fill="FFFFFF" w:val="clear"/>
        </w:rPr>
        <w:t>ОКФС-12, ОКОПФ-75104</w:t>
      </w:r>
    </w:p>
    <w:p>
      <w:pPr>
        <w:pStyle w:val="Standard"/>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
        <w:spacing w:before="0" w:after="0"/>
        <w:rPr>
          <w:color w:val="000000"/>
          <w:sz w:val="28"/>
          <w:szCs w:val="28"/>
          <w:shd w:fill="FFFFFF" w:val="clear"/>
        </w:rPr>
      </w:pPr>
      <w:r>
        <w:rPr>
          <w:color w:val="000000"/>
          <w:sz w:val="28"/>
          <w:szCs w:val="28"/>
          <w:shd w:fill="FFFFFF" w:val="clear"/>
        </w:rPr>
        <w:t>помещ.IX,VII,XIV,XX</w:t>
      </w:r>
    </w:p>
    <w:p>
      <w:pPr>
        <w:pStyle w:val="Standard"/>
        <w:spacing w:before="0" w:after="0"/>
        <w:rPr>
          <w:rFonts w:ascii="Times New Roman" w:hAnsi="Times New Roman" w:eastAsia="Times New Roman" w:cs="Times New Roman"/>
          <w:b w:val="false"/>
          <w:bCs w:val="false"/>
          <w:color w:val="000000"/>
          <w:sz w:val="28"/>
          <w:szCs w:val="28"/>
          <w:highlight w:val="white"/>
          <w:lang w:eastAsia="ar-SA"/>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1"/>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w:t>
        <w:br/>
        <w:t>не вправе требовать возмещения убытков.</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w:t>
        <w:br/>
        <w:t>и их продолжительности является соответствующее письменное свидетельство уполномоченных органов или уполномоченных организаций.</w:t>
      </w:r>
    </w:p>
    <w:p>
      <w:pPr>
        <w:pStyle w:val="Style31"/>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1"/>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w:t>
        <w:br/>
        <w:t>и действует по 30 декабря 2026 года, а в части взаиморасчетов до полного исполнения Сторонами обязательств по Контракту.</w:t>
      </w:r>
    </w:p>
    <w:p>
      <w:pPr>
        <w:pStyle w:val="Style31"/>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1"/>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1"/>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1"/>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Исполнителю, второй находятся у Заказчика.</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1"/>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1"/>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1"/>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p>
      <w:pPr>
        <w:pStyle w:val="Style31"/>
        <w:widowControl w:val="false"/>
        <w:suppressLineNumbers/>
        <w:suppressAutoHyphens w:val="true"/>
        <w:spacing w:lineRule="auto" w:line="240" w:before="0" w:after="0"/>
        <w:ind w:hanging="0" w:start="0" w:end="0"/>
        <w:contextualSpacing/>
        <w:rPr>
          <w:rFonts w:ascii="Times New Roman" w:hAnsi="Times New Roman" w:cs="Times New Roman"/>
          <w:b/>
          <w:sz w:val="28"/>
          <w:szCs w:val="28"/>
        </w:rPr>
      </w:pPr>
      <w:r>
        <w:rPr>
          <w:rFonts w:cs="Times New Roman" w:ascii="Times New Roman" w:hAnsi="Times New Roman"/>
          <w:b/>
          <w:sz w:val="28"/>
          <w:szCs w:val="28"/>
        </w:rPr>
      </w:r>
    </w:p>
    <w:tbl>
      <w:tblPr>
        <w:tblW w:w="9825" w:type="dxa"/>
        <w:jc w:val="center"/>
        <w:tblInd w:w="0" w:type="dxa"/>
        <w:tblLayout w:type="fixed"/>
        <w:tblCellMar>
          <w:top w:w="0" w:type="dxa"/>
          <w:start w:w="108" w:type="dxa"/>
          <w:bottom w:w="0" w:type="dxa"/>
          <w:end w:w="108" w:type="dxa"/>
        </w:tblCellMar>
      </w:tblPr>
      <w:tblGrid>
        <w:gridCol w:w="1083"/>
        <w:gridCol w:w="3405"/>
        <w:gridCol w:w="5337"/>
      </w:tblGrid>
      <w:tr>
        <w:trPr>
          <w:trHeight w:val="493" w:hRule="atLeast"/>
        </w:trPr>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0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bl>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1"/>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ar-SA"/>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ar-SA"/>
              </w:rPr>
              <w:t>e-mail: zakupki@cfps.mchs.gov.ru</w:t>
            </w:r>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Normal"/>
              <w:widowControl w:val="false"/>
              <w:suppressLineNumbers/>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Cs/>
                <w:sz w:val="28"/>
                <w:szCs w:val="28"/>
                <w:lang w:eastAsia="ar-SA"/>
              </w:rPr>
              <w:t>_____________</w:t>
            </w:r>
            <w:r>
              <w:rPr>
                <w:rFonts w:eastAsia="Times New Roman" w:cs="Times New Roman" w:ascii="Times New Roman" w:hAnsi="Times New Roman"/>
                <w:b/>
                <w:sz w:val="28"/>
                <w:szCs w:val="28"/>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r>
        <w:br w:type="page"/>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bCs/>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uppressAutoHyphens w:val="true"/>
        <w:spacing w:lineRule="auto" w:line="240" w:before="0" w:after="120"/>
        <w:ind w:firstLine="851" w:end="-1"/>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bookmarkStart w:id="0" w:name="_Hlk163807075"/>
      <w:bookmarkStart w:id="1" w:name="_Hlk163807075"/>
      <w:bookmarkEnd w:id="1"/>
    </w:p>
    <w:p>
      <w:pPr>
        <w:pStyle w:val="BodyText"/>
        <w:ind w:firstLine="851" w:end="-1"/>
        <w:jc w:val="center"/>
        <w:rPr>
          <w:rFonts w:ascii="Liberation Serif;Times New Roman" w:hAnsi="Liberation Serif;Times New Roman" w:cs="Liberation Serif;Times New Roman"/>
          <w:b/>
          <w:color w:val="000000"/>
          <w:sz w:val="28"/>
          <w:szCs w:val="28"/>
          <w:shd w:fill="FFFFFF" w:val="clear"/>
        </w:rPr>
      </w:pPr>
      <w:r>
        <w:rPr>
          <w:rFonts w:cs="Times New Roman" w:ascii="Times New Roman" w:hAnsi="Times New Roman"/>
          <w:b/>
          <w:bCs/>
          <w:sz w:val="28"/>
          <w:szCs w:val="28"/>
        </w:rPr>
        <w:t>ТЕХНИЧЕСКОЕ ЗАДАНИЕ</w:t>
      </w:r>
    </w:p>
    <w:p>
      <w:pPr>
        <w:pStyle w:val="Normal"/>
        <w:spacing w:lineRule="auto" w:line="240" w:before="0" w:after="0"/>
        <w:jc w:val="center"/>
        <w:rPr>
          <w:rFonts w:ascii="Liberation Serif;Times New Roman" w:hAnsi="Liberation Serif;Times New Roman" w:cs="Liberation Serif;Times New Roman"/>
          <w:b/>
          <w:color w:val="000000"/>
          <w:sz w:val="28"/>
          <w:szCs w:val="28"/>
          <w:shd w:fill="FFFFFF" w:val="clear"/>
        </w:rPr>
      </w:pPr>
      <w:r>
        <w:rPr>
          <w:rFonts w:cs="Liberation Serif;Times New Roman" w:ascii="Liberation Serif;Times New Roman" w:hAnsi="Liberation Serif;Times New Roman"/>
          <w:b/>
          <w:color w:val="000000"/>
          <w:sz w:val="28"/>
          <w:szCs w:val="28"/>
          <w:shd w:fill="FFFFFF" w:val="clear"/>
        </w:rPr>
        <w:t>на оказание услуг по организации проведения соревнований по легкой атлетике (предоставление в пользование спортивного сооружения)</w:t>
      </w:r>
    </w:p>
    <w:p>
      <w:pPr>
        <w:pStyle w:val="Normal"/>
        <w:tabs>
          <w:tab w:val="clear" w:pos="708"/>
          <w:tab w:val="left" w:pos="6411" w:leader="none"/>
        </w:tabs>
        <w:spacing w:lineRule="auto" w:line="240" w:before="0" w:after="0"/>
        <w:rPr>
          <w:rFonts w:ascii="Times New Roman" w:hAnsi="Times New Roman" w:cs="Times New Roman"/>
          <w:sz w:val="27"/>
          <w:szCs w:val="27"/>
        </w:rPr>
      </w:pPr>
      <w:r>
        <w:rPr>
          <w:rFonts w:cs="Liberation Serif;Times New Roman" w:ascii="Liberation Serif;Times New Roman" w:hAnsi="Liberation Serif;Times New Roman"/>
          <w:b/>
          <w:color w:val="000000"/>
          <w:sz w:val="28"/>
          <w:szCs w:val="28"/>
          <w:shd w:fill="FFFFFF" w:val="clear"/>
        </w:rPr>
        <w:tab/>
      </w:r>
    </w:p>
    <w:p>
      <w:pPr>
        <w:pStyle w:val="51"/>
        <w:ind w:firstLine="426" w:end="0"/>
        <w:jc w:val="both"/>
        <w:rPr>
          <w:rFonts w:ascii="Times New Roman" w:hAnsi="Times New Roman" w:cs="Times New Roman"/>
          <w:sz w:val="27"/>
          <w:szCs w:val="27"/>
        </w:rPr>
      </w:pPr>
      <w:r>
        <w:rPr>
          <w:rFonts w:cs="Times New Roman" w:ascii="Times New Roman" w:hAnsi="Times New Roman"/>
          <w:sz w:val="27"/>
          <w:szCs w:val="27"/>
        </w:rPr>
        <w:t xml:space="preserve">Сроки оказания услуг: </w:t>
      </w:r>
      <w:r>
        <w:rPr>
          <w:rFonts w:cs="Times New Roman" w:ascii="Times New Roman" w:hAnsi="Times New Roman"/>
          <w:sz w:val="27"/>
          <w:szCs w:val="27"/>
          <w:u w:val="single"/>
        </w:rPr>
        <w:t xml:space="preserve">11 августа 2026 г. - 12 августа 2026 г. </w:t>
      </w:r>
    </w:p>
    <w:p>
      <w:pPr>
        <w:pStyle w:val="51"/>
        <w:ind w:firstLine="426" w:end="0"/>
        <w:jc w:val="both"/>
        <w:rPr>
          <w:rFonts w:ascii="Times New Roman" w:hAnsi="Times New Roman" w:cs="Times New Roman"/>
          <w:sz w:val="27"/>
          <w:szCs w:val="27"/>
        </w:rPr>
      </w:pPr>
      <w:r>
        <w:rPr>
          <w:rFonts w:cs="Times New Roman" w:ascii="Times New Roman" w:hAnsi="Times New Roman"/>
          <w:sz w:val="27"/>
          <w:szCs w:val="27"/>
        </w:rPr>
        <w:t>Место оказания услуг: г. Иркутск, ул. Лермонтова, 83.</w:t>
      </w:r>
    </w:p>
    <w:p>
      <w:pPr>
        <w:pStyle w:val="51"/>
        <w:ind w:firstLine="426" w:end="0"/>
        <w:jc w:val="both"/>
        <w:rPr>
          <w:rFonts w:ascii="Times New Roman" w:hAnsi="Times New Roman" w:cs="Times New Roman"/>
          <w:sz w:val="27"/>
          <w:szCs w:val="27"/>
        </w:rPr>
      </w:pPr>
      <w:r>
        <w:rPr>
          <w:rFonts w:cs="Times New Roman" w:ascii="Times New Roman" w:hAnsi="Times New Roman"/>
          <w:sz w:val="27"/>
          <w:szCs w:val="27"/>
        </w:rPr>
        <w:t xml:space="preserve">Количество команд – 8. </w:t>
      </w:r>
    </w:p>
    <w:p>
      <w:pPr>
        <w:pStyle w:val="51"/>
        <w:ind w:firstLine="426" w:end="0"/>
        <w:jc w:val="both"/>
        <w:rPr>
          <w:rFonts w:ascii="Times New Roman" w:hAnsi="Times New Roman" w:cs="Times New Roman"/>
          <w:sz w:val="27"/>
          <w:szCs w:val="27"/>
        </w:rPr>
      </w:pPr>
      <w:r>
        <w:rPr>
          <w:rFonts w:cs="Times New Roman" w:ascii="Times New Roman" w:hAnsi="Times New Roman"/>
          <w:sz w:val="27"/>
          <w:szCs w:val="27"/>
        </w:rPr>
        <w:t xml:space="preserve">Состав команды – 7 человек. </w:t>
      </w:r>
    </w:p>
    <w:p>
      <w:pPr>
        <w:pStyle w:val="51"/>
        <w:ind w:firstLine="426" w:end="0"/>
        <w:jc w:val="both"/>
        <w:rPr>
          <w:rFonts w:ascii="Times New Roman" w:hAnsi="Times New Roman" w:cs="Times New Roman"/>
          <w:spacing w:val="4"/>
          <w:sz w:val="27"/>
          <w:szCs w:val="27"/>
        </w:rPr>
      </w:pPr>
      <w:r>
        <w:rPr>
          <w:rFonts w:cs="Times New Roman" w:ascii="Times New Roman" w:hAnsi="Times New Roman"/>
          <w:sz w:val="27"/>
          <w:szCs w:val="27"/>
        </w:rPr>
        <w:t>Общее количество участников – 56 человек.</w:t>
      </w:r>
    </w:p>
    <w:p>
      <w:pPr>
        <w:pStyle w:val="51"/>
        <w:ind w:firstLine="426" w:end="0"/>
        <w:jc w:val="both"/>
        <w:rPr>
          <w:rFonts w:ascii="Times New Roman" w:hAnsi="Times New Roman" w:eastAsia="Times New Roman" w:cs="Times New Roman"/>
          <w:sz w:val="27"/>
          <w:szCs w:val="27"/>
          <w:u w:val="single"/>
          <w:lang w:eastAsia="ru-RU"/>
        </w:rPr>
      </w:pPr>
      <w:r>
        <w:rPr>
          <w:rFonts w:cs="Times New Roman" w:ascii="Times New Roman" w:hAnsi="Times New Roman"/>
          <w:spacing w:val="4"/>
          <w:sz w:val="27"/>
          <w:szCs w:val="27"/>
        </w:rPr>
        <w:t xml:space="preserve">Условия </w:t>
      </w:r>
      <w:r>
        <w:rPr>
          <w:rFonts w:cs="Times New Roman" w:ascii="Times New Roman" w:hAnsi="Times New Roman"/>
          <w:sz w:val="27"/>
          <w:szCs w:val="27"/>
        </w:rPr>
        <w:t xml:space="preserve">выполнения, оказания услуг по организации и проведению спортивных соревнований </w:t>
      </w:r>
      <w:r>
        <w:rPr>
          <w:rFonts w:cs="Times New Roman" w:ascii="Times New Roman" w:hAnsi="Times New Roman"/>
          <w:b/>
          <w:sz w:val="27"/>
          <w:szCs w:val="27"/>
        </w:rPr>
        <w:t xml:space="preserve">Спартакиады МЧС России среди территориальных органов МЧС России </w:t>
      </w:r>
      <w:r>
        <w:rPr>
          <w:rFonts w:eastAsia="Times New Roman" w:cs="Times New Roman" w:ascii="Times New Roman" w:hAnsi="Times New Roman"/>
          <w:b/>
          <w:sz w:val="27"/>
          <w:szCs w:val="27"/>
          <w:lang w:eastAsia="ru-RU"/>
        </w:rPr>
        <w:t>федеральных округов Российской Федерации</w:t>
      </w:r>
      <w:r>
        <w:rPr>
          <w:rFonts w:eastAsia="Times New Roman" w:cs="Times New Roman" w:ascii="Times New Roman" w:hAnsi="Times New Roman"/>
          <w:sz w:val="27"/>
          <w:szCs w:val="27"/>
          <w:lang w:eastAsia="ru-RU"/>
        </w:rPr>
        <w:t xml:space="preserve"> </w:t>
      </w:r>
      <w:r>
        <w:rPr>
          <w:rFonts w:cs="Times New Roman" w:ascii="Times New Roman" w:hAnsi="Times New Roman"/>
          <w:b/>
          <w:sz w:val="27"/>
          <w:szCs w:val="27"/>
        </w:rPr>
        <w:t xml:space="preserve">по легкой атлетике </w:t>
      </w:r>
      <w:r>
        <w:rPr>
          <w:rFonts w:cs="Times New Roman" w:ascii="Times New Roman" w:hAnsi="Times New Roman"/>
          <w:sz w:val="27"/>
          <w:szCs w:val="27"/>
        </w:rPr>
        <w:t>(далее – соревнования).</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u w:val="single"/>
          <w:lang w:eastAsia="ru-RU"/>
        </w:rPr>
      </w:pPr>
      <w:r>
        <w:rPr>
          <w:rFonts w:eastAsia="Times New Roman" w:cs="Times New Roman" w:ascii="Times New Roman" w:hAnsi="Times New Roman"/>
          <w:sz w:val="27"/>
          <w:szCs w:val="27"/>
          <w:u w:val="single"/>
          <w:lang w:eastAsia="ru-RU"/>
        </w:rPr>
        <w:t>1.</w:t>
        <w:tab/>
        <w:t>Предоставление места для проведения соревнований:</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u w:val="single"/>
          <w:lang w:eastAsia="ru-RU"/>
        </w:rPr>
        <w:t>11 августа 2026 года с 13.00 до 19.00:</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1.1.</w:t>
        <w:tab/>
        <w:t xml:space="preserve"> санитарные бытовые помещения;</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u w:val="single"/>
          <w:lang w:eastAsia="ru-RU"/>
        </w:rPr>
      </w:pPr>
      <w:r>
        <w:rPr>
          <w:rFonts w:eastAsia="Times New Roman" w:cs="Times New Roman" w:ascii="Times New Roman" w:hAnsi="Times New Roman"/>
          <w:sz w:val="27"/>
          <w:szCs w:val="27"/>
          <w:lang w:eastAsia="ru-RU"/>
        </w:rPr>
        <w:t>1.2.</w:t>
        <w:tab/>
        <w:t xml:space="preserve"> объект спорта открытого типа (открытый стадион).</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u w:val="single"/>
          <w:lang w:eastAsia="ru-RU"/>
        </w:rPr>
        <w:t>12 августа 2026 года с 08.00 до 16.00:</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1.3. открытая площадка для проведения церемонии торжественного открытия, награждения и закрытия соревнований;</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1.4.</w:t>
        <w:tab/>
        <w:t xml:space="preserve"> санитарные бытовые помещения;</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1.5.</w:t>
        <w:tab/>
        <w:t xml:space="preserve"> помещение для судейской коллегии;</w:t>
      </w:r>
    </w:p>
    <w:p>
      <w:pPr>
        <w:pStyle w:val="Normal"/>
        <w:shd w:val="clear" w:fill="FFFFFF"/>
        <w:tabs>
          <w:tab w:val="clear" w:pos="708"/>
          <w:tab w:val="left" w:pos="851" w:leader="none"/>
          <w:tab w:val="left" w:pos="9639" w:leader="none"/>
          <w:tab w:val="left" w:pos="9720" w:leader="underscore"/>
        </w:tabs>
        <w:spacing w:lineRule="auto" w:line="240" w:before="0" w:after="0"/>
        <w:ind w:firstLine="426" w:end="0"/>
        <w:jc w:val="both"/>
        <w:rPr>
          <w:rFonts w:ascii="Times New Roman" w:hAnsi="Times New Roman" w:eastAsia="Times New Roman" w:cs="Times New Roman"/>
          <w:sz w:val="27"/>
          <w:szCs w:val="27"/>
          <w:u w:val="single"/>
          <w:lang w:eastAsia="ru-RU"/>
        </w:rPr>
      </w:pPr>
      <w:r>
        <w:rPr>
          <w:rFonts w:eastAsia="Times New Roman" w:cs="Times New Roman" w:ascii="Times New Roman" w:hAnsi="Times New Roman"/>
          <w:sz w:val="27"/>
          <w:szCs w:val="27"/>
          <w:lang w:eastAsia="ru-RU"/>
        </w:rPr>
        <w:t>1.6.</w:t>
        <w:tab/>
        <w:t xml:space="preserve"> объект спорта открытого типа (открытый стадион).</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u w:val="single"/>
          <w:lang w:eastAsia="ru-RU"/>
        </w:rPr>
        <w:t>2.</w:t>
        <w:tab/>
        <w:t>Обеспечение спортивного объекта:</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2.1.</w:t>
        <w:tab/>
        <w:t xml:space="preserve"> открытая площадка для проведения церемонии торжественного открытия, награждения и закрытия соревнований с</w:t>
      </w:r>
      <w:r>
        <w:rPr>
          <w:rFonts w:eastAsia="Times New Roman" w:cs="Times New Roman" w:ascii="Times New Roman" w:hAnsi="Times New Roman"/>
          <w:bCs/>
          <w:iCs/>
          <w:color w:val="000000"/>
          <w:sz w:val="27"/>
          <w:szCs w:val="27"/>
          <w:lang w:eastAsia="ru-RU"/>
        </w:rPr>
        <w:t xml:space="preserve"> пьедесталом почета для торжественной церемонии награждения спортсменов, наличие трибун для зрителей (не менее 200 мест)</w:t>
      </w:r>
      <w:r>
        <w:rPr>
          <w:rFonts w:eastAsia="Times New Roman" w:cs="Times New Roman" w:ascii="Times New Roman" w:hAnsi="Times New Roman"/>
          <w:sz w:val="27"/>
          <w:szCs w:val="27"/>
          <w:lang w:eastAsia="ru-RU"/>
        </w:rPr>
        <w:t>;</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2.2.</w:t>
        <w:tab/>
        <w:t xml:space="preserve"> санитарные бытовые помещения: раздельные раздевалки для мужчин и женщин с оборудованными местами для хранения одежды, душем, умывальниками и туалетными комнатами;</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2.3. Помещение для работы судейской коллегии: оборудовано 2 письменными столами, 4 стульями или офисными креслами;</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2.4. Открытый стадион, имеющий</w:t>
      </w:r>
      <w:r>
        <w:rPr>
          <w:rFonts w:eastAsia="Times New Roman" w:cs="Times New Roman" w:ascii="Times New Roman" w:hAnsi="Times New Roman"/>
          <w:b/>
          <w:i/>
          <w:sz w:val="27"/>
          <w:szCs w:val="27"/>
          <w:lang w:eastAsia="ru-RU"/>
        </w:rPr>
        <w:t xml:space="preserve"> </w:t>
      </w:r>
      <w:r>
        <w:rPr>
          <w:rFonts w:eastAsia="Times New Roman" w:cs="Times New Roman" w:ascii="Times New Roman" w:hAnsi="Times New Roman"/>
          <w:sz w:val="27"/>
          <w:szCs w:val="27"/>
          <w:lang w:eastAsia="ru-RU"/>
        </w:rPr>
        <w:t>не менее 6 беговых дорожек с резиновым покрытием, длина первой дорожки 400 метров, ширина каждой дорожки – не менее 100 см, ширина линии, ограничивающей дорожку – 5 см, нанесение разметки: линия финиша и старта для дистанции 3000 метров и 1000 метров;</w:t>
      </w:r>
    </w:p>
    <w:p>
      <w:pPr>
        <w:pStyle w:val="Normal"/>
        <w:widowControl w:val="false"/>
        <w:tabs>
          <w:tab w:val="clear" w:pos="708"/>
          <w:tab w:val="left" w:pos="851" w:leader="none"/>
        </w:tabs>
        <w:spacing w:lineRule="auto" w:line="240" w:before="0" w:after="0"/>
        <w:ind w:firstLine="426" w:end="0"/>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3.</w:t>
        <w:tab/>
        <w:t>Обеспечение безопасности участников и зрителей;</w:t>
      </w:r>
    </w:p>
    <w:p>
      <w:pPr>
        <w:pStyle w:val="Normal"/>
        <w:tabs>
          <w:tab w:val="clear" w:pos="708"/>
          <w:tab w:val="left" w:pos="851" w:leader="none"/>
        </w:tabs>
        <w:spacing w:lineRule="auto" w:line="240" w:before="0" w:after="0"/>
        <w:ind w:firstLine="426" w:end="0"/>
        <w:jc w:val="both"/>
        <w:rPr>
          <w:rFonts w:ascii="Times New Roman" w:hAnsi="Times New Roman" w:eastAsia="Times New Roman" w:cs="Times New Roman"/>
          <w:color w:val="000000"/>
          <w:sz w:val="27"/>
          <w:szCs w:val="27"/>
          <w:lang w:eastAsia="ru-RU"/>
        </w:rPr>
      </w:pPr>
      <w:r>
        <w:rPr>
          <w:rFonts w:eastAsia="Times New Roman" w:cs="Times New Roman" w:ascii="Times New Roman" w:hAnsi="Times New Roman"/>
          <w:sz w:val="27"/>
          <w:szCs w:val="27"/>
          <w:lang w:eastAsia="ru-RU"/>
        </w:rPr>
        <w:t>4.</w:t>
        <w:tab/>
        <w:t>Предоставление возможности вести видео – фото съемку.</w:t>
      </w:r>
    </w:p>
    <w:p>
      <w:pPr>
        <w:pStyle w:val="Normal"/>
        <w:tabs>
          <w:tab w:val="clear" w:pos="708"/>
          <w:tab w:val="left" w:pos="851" w:leader="none"/>
        </w:tabs>
        <w:spacing w:lineRule="auto" w:line="240" w:before="0" w:after="0"/>
        <w:ind w:firstLine="426" w:end="0"/>
        <w:jc w:val="both"/>
        <w:rPr>
          <w:rFonts w:ascii="Times New Roman" w:hAnsi="Times New Roman" w:eastAsia="Times New Roman" w:cs="Times New Roman"/>
          <w:color w:val="000000"/>
          <w:sz w:val="27"/>
          <w:szCs w:val="27"/>
          <w:lang w:eastAsia="ru-RU"/>
        </w:rPr>
      </w:pPr>
      <w:r>
        <w:rPr>
          <w:rFonts w:eastAsia="Times New Roman" w:cs="Times New Roman" w:ascii="Times New Roman" w:hAnsi="Times New Roman"/>
          <w:color w:val="000000"/>
          <w:sz w:val="27"/>
          <w:szCs w:val="27"/>
          <w:lang w:eastAsia="ru-RU"/>
        </w:rPr>
      </w:r>
    </w:p>
    <w:p>
      <w:pPr>
        <w:pStyle w:val="Normal"/>
        <w:tabs>
          <w:tab w:val="clear" w:pos="708"/>
          <w:tab w:val="left" w:pos="709" w:leader="none"/>
        </w:tabs>
        <w:spacing w:lineRule="auto" w:line="240" w:before="0" w:after="0"/>
        <w:jc w:val="center"/>
        <w:rPr>
          <w:rFonts w:ascii="Times New Roman" w:hAnsi="Times New Roman" w:eastAsia="Times New Roman" w:cs="Times New Roman"/>
          <w:b w:val="false"/>
          <w:bCs w:val="false"/>
          <w:color w:val="000000"/>
          <w:sz w:val="27"/>
          <w:szCs w:val="27"/>
          <w:shd w:fill="FFFFFF" w:val="clear"/>
          <w:lang w:eastAsia="ru-RU"/>
        </w:rPr>
      </w:pPr>
      <w:r>
        <w:rPr>
          <w:rFonts w:eastAsia="Times New Roman" w:cs="Times New Roman" w:ascii="Times New Roman" w:hAnsi="Times New Roman"/>
          <w:b/>
          <w:bCs/>
          <w:sz w:val="27"/>
          <w:szCs w:val="27"/>
          <w:lang w:eastAsia="ru-RU"/>
        </w:rPr>
        <w:t>Требования к исполнителю</w:t>
      </w:r>
    </w:p>
    <w:p>
      <w:pPr>
        <w:pStyle w:val="Normal"/>
        <w:spacing w:lineRule="auto" w:line="240" w:before="0" w:after="0"/>
        <w:ind w:firstLine="284" w:end="0"/>
        <w:jc w:val="both"/>
        <w:rPr>
          <w:rFonts w:ascii="Times New Roman" w:hAnsi="Times New Roman" w:eastAsia="Times New Roman" w:cs="Times New Roman"/>
          <w:b/>
          <w:bCs/>
          <w:sz w:val="26"/>
          <w:szCs w:val="26"/>
          <w:lang w:eastAsia="ru-RU"/>
        </w:rPr>
      </w:pPr>
      <w:bookmarkStart w:id="2" w:name="_Hlk163807075_Копия_1"/>
      <w:bookmarkEnd w:id="2"/>
      <w:r>
        <w:rPr>
          <w:rFonts w:eastAsia="Times New Roman" w:cs="Times New Roman" w:ascii="Times New Roman" w:hAnsi="Times New Roman"/>
          <w:b w:val="false"/>
          <w:bCs w:val="false"/>
          <w:color w:val="000000"/>
          <w:sz w:val="27"/>
          <w:szCs w:val="27"/>
          <w:shd w:fill="FFFFFF" w:val="clear"/>
          <w:lang w:eastAsia="ru-RU"/>
        </w:rPr>
        <w:t>Все помещения должны соответствовать требованием охраны труда.</w:t>
      </w:r>
    </w:p>
    <w:p>
      <w:pPr>
        <w:pStyle w:val="Normal"/>
        <w:widowControl w:val="false"/>
        <w:suppressLineNumbers/>
        <w:tabs>
          <w:tab w:val="clear" w:pos="708"/>
          <w:tab w:val="left" w:pos="9638" w:leader="none"/>
        </w:tabs>
        <w:suppressAutoHyphens w:val="true"/>
        <w:spacing w:lineRule="auto" w:line="240" w:before="0" w:after="0"/>
        <w:ind w:firstLine="851" w:end="-1"/>
        <w:jc w:val="both"/>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 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br w:type="page"/>
      </w: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cs="Times New Roman"/>
          <w:b/>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10150" w:type="dxa"/>
        <w:jc w:val="start"/>
        <w:tblInd w:w="108" w:type="dxa"/>
        <w:tblLayout w:type="fixed"/>
        <w:tblCellMar>
          <w:top w:w="0" w:type="dxa"/>
          <w:start w:w="108" w:type="dxa"/>
          <w:bottom w:w="0" w:type="dxa"/>
          <w:end w:w="108" w:type="dxa"/>
        </w:tblCellMar>
      </w:tblPr>
      <w:tblGrid>
        <w:gridCol w:w="735"/>
        <w:gridCol w:w="3403"/>
        <w:gridCol w:w="1362"/>
        <w:gridCol w:w="1075"/>
        <w:gridCol w:w="1587"/>
        <w:gridCol w:w="1987"/>
      </w:tblGrid>
      <w:tr>
        <w:trPr>
          <w:trHeight w:val="450" w:hRule="atLeast"/>
        </w:trPr>
        <w:tc>
          <w:tcPr>
            <w:tcW w:w="735"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 xml:space="preserve">№ </w:t>
            </w:r>
            <w:r>
              <w:rPr>
                <w:rFonts w:eastAsia="Times New Roman" w:cs="Times New Roman" w:ascii="Times New Roman" w:hAnsi="Times New Roman"/>
                <w:b/>
                <w:sz w:val="26"/>
                <w:szCs w:val="26"/>
                <w:lang w:eastAsia="ru-RU"/>
              </w:rPr>
              <w:t>п\п</w:t>
            </w:r>
          </w:p>
        </w:tc>
        <w:tc>
          <w:tcPr>
            <w:tcW w:w="34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Наименование</w:t>
            </w:r>
          </w:p>
        </w:tc>
        <w:tc>
          <w:tcPr>
            <w:tcW w:w="1362"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Ед. изм</w:t>
            </w:r>
            <w:r>
              <w:rPr>
                <w:rFonts w:eastAsia="Times New Roman" w:cs="Times New Roman" w:ascii="Times New Roman" w:hAnsi="Times New Roman"/>
                <w:b/>
                <w:sz w:val="26"/>
                <w:szCs w:val="26"/>
                <w:lang w:val="en-US" w:eastAsia="ru-RU"/>
              </w:rPr>
              <w:t>.</w:t>
            </w:r>
          </w:p>
        </w:tc>
        <w:tc>
          <w:tcPr>
            <w:tcW w:w="1075"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b/>
                <w:sz w:val="26"/>
                <w:szCs w:val="26"/>
                <w:lang w:eastAsia="ru-RU"/>
              </w:rPr>
              <w:t>Кол</w:t>
            </w:r>
            <w:r>
              <w:rPr>
                <w:rFonts w:eastAsia="Times New Roman" w:cs="Times New Roman" w:ascii="Times New Roman" w:hAnsi="Times New Roman"/>
                <w:b/>
                <w:sz w:val="26"/>
                <w:szCs w:val="26"/>
                <w:lang w:val="en-US" w:eastAsia="ru-RU"/>
              </w:rPr>
              <w:t>-</w:t>
            </w:r>
            <w:r>
              <w:rPr>
                <w:rFonts w:eastAsia="Times New Roman" w:cs="Times New Roman" w:ascii="Times New Roman" w:hAnsi="Times New Roman"/>
                <w:b/>
                <w:sz w:val="26"/>
                <w:szCs w:val="26"/>
                <w:lang w:eastAsia="ru-RU"/>
              </w:rPr>
              <w:t>во</w:t>
            </w:r>
          </w:p>
        </w:tc>
        <w:tc>
          <w:tcPr>
            <w:tcW w:w="1587" w:type="dxa"/>
            <w:tcBorders>
              <w:top w:val="single" w:sz="4" w:space="0" w:color="000000"/>
              <w:bottom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Цена за ед.изм.</w:t>
            </w:r>
          </w:p>
        </w:tc>
        <w:tc>
          <w:tcPr>
            <w:tcW w:w="1987"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Сумма</w:t>
            </w:r>
          </w:p>
        </w:tc>
      </w:tr>
      <w:tr>
        <w:trPr>
          <w:trHeight w:val="240" w:hRule="atLeast"/>
        </w:trPr>
        <w:tc>
          <w:tcPr>
            <w:tcW w:w="735" w:type="dxa"/>
            <w:tcBorders>
              <w:top w:val="single" w:sz="4" w:space="0" w:color="000000"/>
              <w:start w:val="single" w:sz="4" w:space="0" w:color="000000"/>
              <w:bottom w:val="single" w:sz="4" w:space="0" w:color="000000"/>
              <w:end w:val="single" w:sz="8" w:space="0" w:color="000000"/>
            </w:tcBorders>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34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sz w:val="28"/>
                <w:szCs w:val="28"/>
                <w:lang w:eastAsia="ru-RU"/>
              </w:rPr>
              <w:t>организация проведения соревнований по легкой атлетике (предоставление в пользование спортивного сооружения)</w:t>
            </w:r>
          </w:p>
        </w:tc>
        <w:tc>
          <w:tcPr>
            <w:tcW w:w="1362"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pPr>
            <w:r>
              <w:rPr>
                <w:rFonts w:cs="Times New Roman" w:ascii="Times New Roman" w:hAnsi="Times New Roman"/>
                <w:sz w:val="28"/>
                <w:szCs w:val="28"/>
                <w:lang w:val="ru-RU"/>
              </w:rPr>
              <w:t>у</w:t>
            </w:r>
            <w:r>
              <w:rPr>
                <w:rFonts w:cs="Times New Roman" w:ascii="Times New Roman" w:hAnsi="Times New Roman"/>
                <w:sz w:val="28"/>
                <w:szCs w:val="28"/>
              </w:rPr>
              <w:t>сл. ед.</w:t>
            </w:r>
          </w:p>
        </w:tc>
        <w:tc>
          <w:tcPr>
            <w:tcW w:w="1075" w:type="dxa"/>
            <w:tcBorders>
              <w:top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1587" w:type="dxa"/>
            <w:tcBorders>
              <w:top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87" w:type="dxa"/>
            <w:tcBorders>
              <w:top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540" w:hRule="atLeast"/>
        </w:trPr>
        <w:tc>
          <w:tcPr>
            <w:tcW w:w="657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Итого:</w:t>
            </w:r>
          </w:p>
        </w:tc>
        <w:tc>
          <w:tcPr>
            <w:tcW w:w="357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ar-SA"/>
              </w:rPr>
              <w:t>ЗАКАЗЧИК:</w:t>
            </w:r>
          </w:p>
          <w:p>
            <w:pPr>
              <w:pStyle w:val="Normal"/>
              <w:widowControl w:val="false"/>
              <w:suppressLineNumbers/>
              <w:tabs>
                <w:tab w:val="clear" w:pos="708"/>
                <w:tab w:val="left" w:pos="313" w:leader="none"/>
                <w:tab w:val="left" w:pos="5647" w:leader="none"/>
              </w:tab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ИСПОЛНИТЕЛЬ:</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____________________/_____________/</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sectPr>
      <w:headerReference w:type="even" r:id="rId2"/>
      <w:headerReference w:type="default" r:id="rId3"/>
      <w:headerReference w:type="first" r:id="rId4"/>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 w:name="PT Astra Serif">
    <w:altName w:val="Times New Roman"/>
    <w:charset w:val="cc" w:characterSet="windows-1251"/>
    <w:family w:val="roman"/>
    <w:pitch w:val="variable"/>
  </w:font>
  <w:font w:name="PT Astra Serif">
    <w:altName w:val="Times New Roman"/>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6"/>
      <w:numFmt w:val="decimal"/>
      <w:lvlText w:val="%1."/>
      <w:lvlJc w:val="start"/>
      <w:pPr>
        <w:tabs>
          <w:tab w:val="num" w:pos="0"/>
        </w:tabs>
        <w:ind w:start="450" w:hanging="450"/>
      </w:pPr>
      <w:rPr/>
    </w:lvl>
    <w:lvl w:ilvl="1">
      <w:start w:val="2"/>
      <w:numFmt w:val="decimal"/>
      <w:lvlText w:val="%1.%2."/>
      <w:lvlJc w:val="start"/>
      <w:pPr>
        <w:tabs>
          <w:tab w:val="num" w:pos="0"/>
        </w:tabs>
        <w:ind w:start="1647" w:hanging="720"/>
      </w:pPr>
      <w:rPr/>
    </w:lvl>
    <w:lvl w:ilvl="2">
      <w:start w:val="1"/>
      <w:numFmt w:val="decimal"/>
      <w:lvlText w:val="%1.%2.%3."/>
      <w:lvlJc w:val="start"/>
      <w:pPr>
        <w:tabs>
          <w:tab w:val="num" w:pos="0"/>
        </w:tabs>
        <w:ind w:start="2574" w:hanging="720"/>
      </w:pPr>
      <w:rPr/>
    </w:lvl>
    <w:lvl w:ilvl="3">
      <w:start w:val="1"/>
      <w:numFmt w:val="decimal"/>
      <w:lvlText w:val="%1.%2.%3.%4."/>
      <w:lvlJc w:val="start"/>
      <w:pPr>
        <w:tabs>
          <w:tab w:val="num" w:pos="0"/>
        </w:tabs>
        <w:ind w:start="3861" w:hanging="1080"/>
      </w:pPr>
      <w:rPr/>
    </w:lvl>
    <w:lvl w:ilvl="4">
      <w:start w:val="1"/>
      <w:numFmt w:val="decimal"/>
      <w:lvlText w:val="%1.%2.%3.%4.%5."/>
      <w:lvlJc w:val="start"/>
      <w:pPr>
        <w:tabs>
          <w:tab w:val="num" w:pos="0"/>
        </w:tabs>
        <w:ind w:start="4788" w:hanging="1080"/>
      </w:pPr>
      <w:rPr/>
    </w:lvl>
    <w:lvl w:ilvl="5">
      <w:start w:val="1"/>
      <w:numFmt w:val="decimal"/>
      <w:lvlText w:val="%1.%2.%3.%4.%5.%6."/>
      <w:lvlJc w:val="start"/>
      <w:pPr>
        <w:tabs>
          <w:tab w:val="num" w:pos="0"/>
        </w:tabs>
        <w:ind w:start="6075" w:hanging="1440"/>
      </w:pPr>
      <w:rPr/>
    </w:lvl>
    <w:lvl w:ilvl="6">
      <w:start w:val="1"/>
      <w:numFmt w:val="decimal"/>
      <w:lvlText w:val="%1.%2.%3.%4.%5.%6.%7."/>
      <w:lvlJc w:val="start"/>
      <w:pPr>
        <w:tabs>
          <w:tab w:val="num" w:pos="0"/>
        </w:tabs>
        <w:ind w:start="7362" w:hanging="1800"/>
      </w:pPr>
      <w:rPr/>
    </w:lvl>
    <w:lvl w:ilvl="7">
      <w:start w:val="1"/>
      <w:numFmt w:val="decimal"/>
      <w:lvlText w:val="%1.%2.%3.%4.%5.%6.%7.%8."/>
      <w:lvlJc w:val="start"/>
      <w:pPr>
        <w:tabs>
          <w:tab w:val="num" w:pos="0"/>
        </w:tabs>
        <w:ind w:start="8289" w:hanging="1800"/>
      </w:pPr>
      <w:rPr/>
    </w:lvl>
    <w:lvl w:ilvl="8">
      <w:start w:val="1"/>
      <w:numFmt w:val="decimal"/>
      <w:lvlText w:val="%1.%2.%3.%4.%5.%6.%7.%8.%9."/>
      <w:lvlJc w:val="start"/>
      <w:pPr>
        <w:tabs>
          <w:tab w:val="num" w:pos="0"/>
        </w:tabs>
        <w:ind w:start="9576" w:hanging="2160"/>
      </w:pPr>
      <w:rPr/>
    </w:lvl>
  </w:abstractNum>
  <w:abstractNum w:abstractNumId="4">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sz w:val="28"/>
        <w:b w:val="false"/>
        <w:szCs w:val="28"/>
        <w:rFonts w:ascii="Times New Roman" w:hAnsi="Times New Roman" w:cs="Times New Roman"/>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5">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6">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7">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8">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4z0">
    <w:name w:val="WW8Num4z0"/>
    <w:qFormat/>
    <w:rPr>
      <w:b/>
      <w:sz w:val="28"/>
      <w:szCs w:val="28"/>
    </w:rPr>
  </w:style>
  <w:style w:type="character" w:styleId="WW8Num4z1">
    <w:name w:val="WW8Num4z1"/>
    <w:qFormat/>
    <w:rPr>
      <w:rFonts w:ascii="Times New Roman" w:hAnsi="Times New Roman" w:cs="Times New Roman"/>
      <w:b w:val="false"/>
      <w:color w:val="000000"/>
      <w:sz w:val="28"/>
      <w:szCs w:val="28"/>
    </w:rPr>
  </w:style>
  <w:style w:type="character" w:styleId="WW8Num4z2">
    <w:name w:val="WW8Num4z2"/>
    <w:qFormat/>
    <w:rPr/>
  </w:style>
  <w:style w:type="character" w:styleId="WW8Num5z0">
    <w:name w:val="WW8Num5z0"/>
    <w:qFormat/>
    <w:rPr>
      <w:color w:val="000000"/>
    </w:rPr>
  </w:style>
  <w:style w:type="character" w:styleId="WW8Num6z0">
    <w:name w:val="WW8Num6z0"/>
    <w:qFormat/>
    <w:rPr>
      <w:b/>
      <w:sz w:val="28"/>
      <w:szCs w:val="28"/>
    </w:rPr>
  </w:style>
  <w:style w:type="character" w:styleId="WW8Num6z1">
    <w:name w:val="WW8Num6z1"/>
    <w:qFormat/>
    <w:rPr>
      <w:b w:val="false"/>
    </w:rPr>
  </w:style>
  <w:style w:type="character" w:styleId="WW8Num6z2">
    <w:name w:val="WW8Num6z2"/>
    <w:qFormat/>
    <w:rPr/>
  </w:style>
  <w:style w:type="character" w:styleId="WW8Num7z0">
    <w:name w:val="WW8Num7z0"/>
    <w:qFormat/>
    <w:rPr>
      <w:rFonts w:cs="Times New Roman"/>
    </w:rPr>
  </w:style>
  <w:style w:type="character" w:styleId="WW8Num8z0">
    <w:name w:val="WW8Num8z0"/>
    <w:qFormat/>
    <w:rPr>
      <w:b/>
      <w:sz w:val="28"/>
      <w:szCs w:val="28"/>
    </w:rPr>
  </w:style>
  <w:style w:type="character" w:styleId="WW8Num8z1">
    <w:name w:val="WW8Num8z1"/>
    <w:qFormat/>
    <w:rPr>
      <w:b w:val="false"/>
    </w:rPr>
  </w:style>
  <w:style w:type="character" w:styleId="WW8Num8z2">
    <w:name w:val="WW8Num8z2"/>
    <w:qFormat/>
    <w:rPr/>
  </w:style>
  <w:style w:type="character" w:styleId="WW8Num9z0">
    <w:name w:val="WW8Num9z0"/>
    <w:qFormat/>
    <w:rPr>
      <w:rFonts w:ascii="OpenSymbol;Arial Unicode MS" w:hAnsi="OpenSymbol;Arial Unicode MS" w:cs="OpenSymbol;Arial Unicode MS"/>
    </w:rPr>
  </w:style>
  <w:style w:type="character" w:styleId="WW8Num1z0">
    <w:name w:val="WW8Num1z0"/>
    <w:qFormat/>
    <w:rPr>
      <w:b/>
      <w:sz w:val="28"/>
      <w:szCs w:val="28"/>
    </w:rPr>
  </w:style>
  <w:style w:type="character" w:styleId="WW8Num1z1">
    <w:name w:val="WW8Num1z1"/>
    <w:qFormat/>
    <w:rPr>
      <w:b w:val="false"/>
    </w:rPr>
  </w:style>
  <w:style w:type="character" w:styleId="WW8Num1z2">
    <w:name w:val="WW8Num1z2"/>
    <w:qFormat/>
    <w:rPr/>
  </w:style>
  <w:style w:type="character" w:styleId="WW8Num11z1">
    <w:name w:val="WW8Num11z1"/>
    <w:qFormat/>
    <w:rPr>
      <w:rFonts w:cs="Times New Roman"/>
    </w:rPr>
  </w:style>
  <w:style w:type="character" w:styleId="WW8Num12z0">
    <w:name w:val="WW8Num12z0"/>
    <w:qFormat/>
    <w:rPr>
      <w:b/>
      <w:color w:val="000000"/>
      <w:sz w:val="28"/>
      <w:szCs w:val="28"/>
    </w:rPr>
  </w:style>
  <w:style w:type="character" w:styleId="WW8Num13z0">
    <w:name w:val="WW8Num13z0"/>
    <w:qFormat/>
    <w:rPr>
      <w:color w:val="000000"/>
      <w:sz w:val="28"/>
      <w:szCs w:val="28"/>
    </w:rPr>
  </w:style>
  <w:style w:type="character" w:styleId="WW8Num13z1">
    <w:name w:val="WW8Num13z1"/>
    <w:qFormat/>
    <w:rPr>
      <w:color w:val="000000"/>
    </w:rPr>
  </w:style>
  <w:style w:type="character" w:styleId="WW8Num14z0">
    <w:name w:val="WW8Num14z0"/>
    <w:qFormat/>
    <w:rPr/>
  </w:style>
  <w:style w:type="character" w:styleId="WW8Num15z0">
    <w:name w:val="WW8Num15z0"/>
    <w:qFormat/>
    <w:rPr>
      <w:b w:val="false"/>
      <w:color w:val="000000"/>
      <w:sz w:val="20"/>
      <w:szCs w:val="20"/>
    </w:rPr>
  </w:style>
  <w:style w:type="character" w:styleId="WW8Num18z0">
    <w:name w:val="WW8Num18z0"/>
    <w:qFormat/>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b/>
      <w:color w:val="000000"/>
      <w:sz w:val="28"/>
      <w:szCs w:val="28"/>
    </w:rPr>
  </w:style>
  <w:style w:type="character" w:styleId="WW8Num22z0">
    <w:name w:val="WW8Num22z0"/>
    <w:qFormat/>
    <w:rPr>
      <w:b/>
      <w:sz w:val="28"/>
    </w:rPr>
  </w:style>
  <w:style w:type="character" w:styleId="WW8Num23z0">
    <w:name w:val="WW8Num23z0"/>
    <w:qFormat/>
    <w:rPr>
      <w:color w:val="000000"/>
    </w:rPr>
  </w:style>
  <w:style w:type="character" w:styleId="WW8Num24z0">
    <w:name w:val="WW8Num24z0"/>
    <w:qFormat/>
    <w:rPr>
      <w:b/>
      <w:color w:val="000000"/>
      <w:sz w:val="24"/>
      <w:szCs w:val="24"/>
    </w:rPr>
  </w:style>
  <w:style w:type="character" w:styleId="WW8Num25z0">
    <w:name w:val="WW8Num25z0"/>
    <w:qFormat/>
    <w:rPr>
      <w:b/>
      <w:color w:val="000000"/>
      <w:sz w:val="28"/>
      <w:szCs w:val="28"/>
    </w:rPr>
  </w:style>
  <w:style w:type="character" w:styleId="WW8Num29z0">
    <w:name w:val="WW8Num29z0"/>
    <w:qFormat/>
    <w:rPr>
      <w:b/>
      <w:sz w:val="28"/>
      <w:szCs w:val="28"/>
    </w:rPr>
  </w:style>
  <w:style w:type="character" w:styleId="WW8Num29z1">
    <w:name w:val="WW8Num29z1"/>
    <w:qFormat/>
    <w:rPr>
      <w:rFonts w:ascii="Times New Roman" w:hAnsi="Times New Roman" w:cs="Times New Roman"/>
      <w:b w:val="false"/>
      <w:color w:val="000000"/>
      <w:sz w:val="28"/>
      <w:szCs w:val="28"/>
    </w:rPr>
  </w:style>
  <w:style w:type="character" w:styleId="WW8Num29z2">
    <w:name w:val="WW8Num29z2"/>
    <w:qFormat/>
    <w:rPr/>
  </w:style>
  <w:style w:type="character" w:styleId="WW8Num30z0">
    <w:name w:val="WW8Num30z0"/>
    <w:qFormat/>
    <w:rPr>
      <w:b/>
      <w:color w:val="000000"/>
      <w:sz w:val="28"/>
      <w:szCs w:val="28"/>
    </w:rPr>
  </w:style>
  <w:style w:type="character" w:styleId="WW8Num31z0">
    <w:name w:val="WW8Num31z0"/>
    <w:qFormat/>
    <w:rPr>
      <w:color w:val="000000"/>
    </w:rPr>
  </w:style>
  <w:style w:type="character" w:styleId="WW8Num33z0">
    <w:name w:val="WW8Num33z0"/>
    <w:qFormat/>
    <w:rPr>
      <w:b/>
      <w:sz w:val="28"/>
      <w:szCs w:val="28"/>
    </w:rPr>
  </w:style>
  <w:style w:type="character" w:styleId="WW8Num33z1">
    <w:name w:val="WW8Num33z1"/>
    <w:qFormat/>
    <w:rPr>
      <w:b w:val="false"/>
    </w:rPr>
  </w:style>
  <w:style w:type="character" w:styleId="WW8Num33z2">
    <w:name w:val="WW8Num33z2"/>
    <w:qFormat/>
    <w:rPr/>
  </w:style>
  <w:style w:type="character" w:styleId="WW8Num34z0">
    <w:name w:val="WW8Num34z0"/>
    <w:qFormat/>
    <w:rPr>
      <w:rFonts w:cs="Times New Roman"/>
    </w:rPr>
  </w:style>
  <w:style w:type="character" w:styleId="WW8Num35z0">
    <w:name w:val="WW8Num35z0"/>
    <w:qFormat/>
    <w:rPr>
      <w:color w:val="000000"/>
    </w:rPr>
  </w:style>
  <w:style w:type="character" w:styleId="WW8Num36z0">
    <w:name w:val="WW8Num36z0"/>
    <w:qFormat/>
    <w:rPr>
      <w:color w:val="000000"/>
    </w:rPr>
  </w:style>
  <w:style w:type="character" w:styleId="WW8Num37z0">
    <w:name w:val="WW8Num37z0"/>
    <w:qFormat/>
    <w:rPr>
      <w:rFonts w:cs="Times New Roman"/>
    </w:rPr>
  </w:style>
  <w:style w:type="character" w:styleId="WW8Num38z1">
    <w:name w:val="WW8Num38z1"/>
    <w:qFormat/>
    <w:rPr>
      <w:rFonts w:cs="Times New Roman"/>
    </w:rPr>
  </w:style>
  <w:style w:type="character" w:styleId="WW8Num40z0">
    <w:name w:val="WW8Num40z0"/>
    <w:qFormat/>
    <w:rPr>
      <w:b/>
      <w:sz w:val="28"/>
      <w:szCs w:val="28"/>
    </w:rPr>
  </w:style>
  <w:style w:type="character" w:styleId="WW8Num40z1">
    <w:name w:val="WW8Num40z1"/>
    <w:qFormat/>
    <w:rPr>
      <w:b w:val="false"/>
    </w:rPr>
  </w:style>
  <w:style w:type="character" w:styleId="WW8Num40z2">
    <w:name w:val="WW8Num40z2"/>
    <w:qFormat/>
    <w:rPr/>
  </w:style>
  <w:style w:type="character" w:styleId="WW8Num41z0">
    <w:name w:val="WW8Num41z0"/>
    <w:qFormat/>
    <w:rPr>
      <w:rFonts w:eastAsia="Times New Roman"/>
    </w:rPr>
  </w:style>
  <w:style w:type="character" w:styleId="WW8Num42z0">
    <w:name w:val="WW8Num42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user">
    <w:name w:val="Символ сноски (user)"/>
    <w:qFormat/>
    <w:rPr>
      <w:vertAlign w:val="superscript"/>
    </w:rPr>
  </w:style>
  <w:style w:type="character" w:styleId="Hyperlink">
    <w:name w:val="Hyperlink"/>
    <w:rPr>
      <w:color w:val="0000FF"/>
      <w:u w:val="single"/>
    </w:rPr>
  </w:style>
  <w:style w:type="character" w:styleId="Style11">
    <w:name w:val="Знак примечания"/>
    <w:qFormat/>
    <w:rPr>
      <w:sz w:val="16"/>
      <w:szCs w:val="16"/>
    </w:rPr>
  </w:style>
  <w:style w:type="character" w:styleId="Style12">
    <w:name w:val="Текст примечания Знак"/>
    <w:qFormat/>
    <w:rPr>
      <w:sz w:val="20"/>
      <w:szCs w:val="20"/>
    </w:rPr>
  </w:style>
  <w:style w:type="character" w:styleId="Style13">
    <w:name w:val="Тема примечания Знак"/>
    <w:qFormat/>
    <w:rPr>
      <w:b/>
      <w:bCs/>
      <w:sz w:val="20"/>
      <w:szCs w:val="20"/>
    </w:rPr>
  </w:style>
  <w:style w:type="character" w:styleId="Style14">
    <w:name w:val="Текст выноски Знак"/>
    <w:qFormat/>
    <w:rPr>
      <w:rFonts w:ascii="Segoe UI" w:hAnsi="Segoe UI" w:cs="Segoe UI"/>
      <w:sz w:val="18"/>
      <w:szCs w:val="18"/>
    </w:rPr>
  </w:style>
  <w:style w:type="character" w:styleId="Style15">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6">
    <w:name w:val="Абзац списка Знак"/>
    <w:qFormat/>
    <w:rPr/>
  </w:style>
  <w:style w:type="character" w:styleId="Style17">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8">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19">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0">
    <w:name w:val="Знак Знак"/>
    <w:qFormat/>
    <w:rPr>
      <w:rFonts w:ascii="Courier New" w:hAnsi="Courier New" w:cs="Courier New"/>
      <w:b/>
      <w:lang w:val="ru-RU"/>
    </w:rPr>
  </w:style>
  <w:style w:type="character" w:styleId="Style21">
    <w:name w:val="Не вступил в силу"/>
    <w:qFormat/>
    <w:rPr>
      <w:rFonts w:ascii="Times New Roman" w:hAnsi="Times New Roman" w:cs="Times New Roman"/>
      <w:color w:val="008080"/>
      <w:sz w:val="20"/>
    </w:rPr>
  </w:style>
  <w:style w:type="character" w:styleId="Style22">
    <w:name w:val="Без интервала Знак"/>
    <w:qFormat/>
    <w:rPr>
      <w:rFonts w:eastAsia="Times New Roman"/>
      <w:sz w:val="22"/>
      <w:szCs w:val="22"/>
      <w:lang w:bidi="ar-SA"/>
    </w:rPr>
  </w:style>
  <w:style w:type="character" w:styleId="Style23">
    <w:name w:val="Основной шрифт"/>
    <w:qFormat/>
    <w:rPr/>
  </w:style>
  <w:style w:type="character" w:styleId="Style24">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5">
    <w:name w:val="Подзаголовок Знак"/>
    <w:qFormat/>
    <w:rPr>
      <w:rFonts w:ascii="Times New Roman" w:hAnsi="Times New Roman" w:eastAsia="Calibri" w:cs="Times New Roman"/>
      <w:b/>
      <w:sz w:val="24"/>
      <w:szCs w:val="20"/>
    </w:rPr>
  </w:style>
  <w:style w:type="character" w:styleId="Style26">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7">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WW8Num31z1">
    <w:name w:val="WW8Num31z1"/>
    <w:qFormat/>
    <w:rPr/>
  </w:style>
  <w:style w:type="character" w:styleId="Style28">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FollowedHyperlink">
    <w:name w:val="FollowedHyperlink"/>
    <w:rPr>
      <w:color w:val="800080"/>
      <w:u w:val="single"/>
    </w:rPr>
  </w:style>
  <w:style w:type="character" w:styleId="sectioninfo2">
    <w:name w:val="section__info2"/>
    <w:qFormat/>
    <w:rPr>
      <w:vanish w:val="false"/>
    </w:rPr>
  </w:style>
  <w:style w:type="character" w:styleId="user1">
    <w:name w:val="Маркеры (user)"/>
    <w:qFormat/>
    <w:rPr>
      <w:rFonts w:ascii="OpenSymbol;Arial Unicode MS" w:hAnsi="OpenSymbol;Arial Unicode MS" w:eastAsia="OpenSymbol;Arial Unicode MS" w:cs="OpenSymbol;Arial Unicode MS"/>
    </w:rPr>
  </w:style>
  <w:style w:type="paragraph" w:styleId="Style2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user2">
    <w:name w:val="Заголовок (user)"/>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user3">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Style31">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2">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3">
    <w:name w:val="Текст примечания"/>
    <w:basedOn w:val="Normal"/>
    <w:qFormat/>
    <w:pPr>
      <w:spacing w:lineRule="auto" w:line="240"/>
    </w:pPr>
    <w:rPr>
      <w:sz w:val="20"/>
      <w:szCs w:val="20"/>
      <w:lang w:val="ru-RU"/>
    </w:rPr>
  </w:style>
  <w:style w:type="paragraph" w:styleId="Style34">
    <w:name w:val="Тема примечания"/>
    <w:basedOn w:val="Style33"/>
    <w:next w:val="Style33"/>
    <w:qFormat/>
    <w:pPr/>
    <w:rPr>
      <w:b/>
      <w:bCs/>
    </w:rPr>
  </w:style>
  <w:style w:type="paragraph" w:styleId="Style35">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user4">
    <w:name w:val="Колонтитулы (user)"/>
    <w:basedOn w:val="Normal"/>
    <w:qFormat/>
    <w:pPr>
      <w:suppressLineNumbers/>
      <w:tabs>
        <w:tab w:val="clear" w:pos="708"/>
        <w:tab w:val="center" w:pos="4819" w:leader="none"/>
        <w:tab w:val="right" w:pos="9638" w:leader="none"/>
      </w:tabs>
    </w:pPr>
    <w:rPr/>
  </w:style>
  <w:style w:type="paragraph" w:styleId="Style36">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7">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38">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7"/>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7"/>
      </w:numPr>
      <w:ind w:hanging="0" w:start="283" w:end="0"/>
    </w:pPr>
    <w:rPr/>
  </w:style>
  <w:style w:type="paragraph" w:styleId="35">
    <w:name w:val="Стиль3 Знак Знак"/>
    <w:basedOn w:val="25"/>
    <w:qFormat/>
    <w:pPr/>
    <w:rPr>
      <w:szCs w:val="20"/>
    </w:rPr>
  </w:style>
  <w:style w:type="paragraph" w:styleId="Style39">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0">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user5">
    <w:name w:val="Содержимое таблицы (user)"/>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Arial Unicode MS" w:cs="Liberation Serif;Times New Roman"/>
      <w:kern w:val="2"/>
      <w:sz w:val="24"/>
      <w:szCs w:val="24"/>
      <w:lang w:bidi="hi-IN"/>
    </w:rPr>
  </w:style>
  <w:style w:type="paragraph" w:styleId="16">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1">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2">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3">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4">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5">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tru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6">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user6">
    <w:name w:val="Текст (user)"/>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47">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8">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1">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49">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9">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0">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user7">
    <w:name w:val="Заголовок таблицы (user)"/>
    <w:basedOn w:val="user5"/>
    <w:qFormat/>
    <w:pPr>
      <w:suppressLineNumbers/>
      <w:jc w:val="center"/>
    </w:pPr>
    <w:rPr>
      <w:b/>
      <w:bCs/>
    </w:rPr>
  </w:style>
  <w:style w:type="paragraph" w:styleId="51">
    <w:name w:val="Без интервала5"/>
    <w:qFormat/>
    <w:pPr>
      <w:widowControl/>
      <w:suppressAutoHyphens w:val="true"/>
      <w:bidi w:val="0"/>
      <w:spacing w:before="0" w:after="0"/>
      <w:jc w:val="start"/>
    </w:pPr>
    <w:rPr>
      <w:rFonts w:ascii="Calibri" w:hAnsi="Calibri" w:eastAsia="Calibri" w:cs="Calibri"/>
      <w:color w:val="auto"/>
      <w:kern w:val="0"/>
      <w:sz w:val="22"/>
      <w:szCs w:val="22"/>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76</TotalTime>
  <Application>LibreOffice/25.2.7.2$Windows_X86_64 LibreOffice_project/5cbfd1ab6520636bb5f7b99185aa69bd7456825d</Application>
  <AppVersion>15.0000</AppVersion>
  <Pages>13</Pages>
  <Words>3056</Words>
  <Characters>21555</Characters>
  <CharactersWithSpaces>24482</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2025-02-13T12:16:00Z</dcterms:created>
  <dc:creator>Седунова Татьяна Александровна</dc:creator>
  <dc:description/>
  <dc:language>ru-RU</dc:language>
  <cp:lastModifiedBy/>
  <dcterms:modified xsi:type="dcterms:W3CDTF">2026-05-27T10:46:28Z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