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tabs>
          <w:tab w:val="clear" w:pos="708"/>
          <w:tab w:val="left" w:pos="420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11"/>
        <w:tabs>
          <w:tab w:val="clear" w:pos="708"/>
          <w:tab w:val="left" w:pos="420" w:leader="none"/>
        </w:tabs>
        <w:spacing w:lineRule="auto" w:line="240" w:before="0" w:after="0"/>
        <w:ind w:hanging="0" w:left="0" w:right="0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1.Основания на производство работ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1.1.Кадастровые работы выполняются в соответствии с требованиями следующих нормативных документов:</w:t>
      </w:r>
    </w:p>
    <w:p>
      <w:pPr>
        <w:pStyle w:val="ListParagraph11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кодекс Российской Федерации от 25.10.2001 № 136-ФЗ.</w:t>
      </w:r>
    </w:p>
    <w:p>
      <w:pPr>
        <w:pStyle w:val="ListParagraph11"/>
        <w:numPr>
          <w:ilvl w:val="0"/>
          <w:numId w:val="2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25.10.2001 г. № 137-ФЗ «О введении в действие Земельного кодекса Российской Федерации».</w:t>
      </w:r>
    </w:p>
    <w:p>
      <w:pPr>
        <w:pStyle w:val="ListParagraph11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24.07.2007 № 221-ФЗ «О кадастровой деятельности».</w:t>
      </w:r>
    </w:p>
    <w:p>
      <w:pPr>
        <w:pStyle w:val="ListParagraph11"/>
        <w:numPr>
          <w:ilvl w:val="0"/>
          <w:numId w:val="4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13.07.2015 № 218-ФЗ «О государственной регистрации недвижимости».</w:t>
      </w:r>
    </w:p>
    <w:p>
      <w:pPr>
        <w:pStyle w:val="ListParagraph11"/>
        <w:numPr>
          <w:ilvl w:val="0"/>
          <w:numId w:val="5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21.11.2016 №735 «Об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России».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>Приказ Росреестра от 14.12.2021 № П/0592 «Об утверждении формы и состава сведений межевого плана, требований к его подготовке». </w:t>
      </w:r>
    </w:p>
    <w:p>
      <w:pPr>
        <w:pStyle w:val="ListParagraph11"/>
        <w:numPr>
          <w:ilvl w:val="0"/>
          <w:numId w:val="6"/>
        </w:numPr>
        <w:spacing w:lineRule="auto" w:line="240" w:before="0" w:after="0"/>
        <w:ind w:hanging="360" w:left="72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Росреестра от 23.10.2020 № П/0393 «Об утверждении требований к точности </w:t>
        <w:br/>
        <w:t>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ListParagraph11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2.Цели и задачи работы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sz w:val="26"/>
        </w:rPr>
        <w:t>2.1.Раздел земельного участка с кадастровым номером 66:62:0301001:2048 с целью  образования нового земельного участка площадью 1500-2000 кв. м. под объектом расположенным на данном земельном участке с сохранением исходного земельного участка в измененных границах.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2.2.Подготовка межевого плана по разделу земельного участка с кадастровым номером 66:62:0301001:2048 </w:t>
      </w:r>
      <w:r>
        <w:rPr>
          <w:rFonts w:ascii="Times New Roman" w:hAnsi="Times New Roman"/>
          <w:sz w:val="26"/>
        </w:rPr>
        <w:t>с целью  образования нового земельного участка площадью 1500-2000 кв. м. под объектом расположенным на данном земельном участке с сохранением исходного земельного участка в измененных границах.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sz w:val="26"/>
        </w:rPr>
        <w:t>2.3.Представление в орган, осуществляющий государственный кадастровый учет документов, необходимых для проведения государственного кадастрового учета.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sz w:val="26"/>
        </w:rPr>
        <w:t>2.4.Получение выписки из Единого государственного реестра недвижимости, содержащую информацию о постановке на государственный кадастровый учет вновь образованного земельного участка, а также участка с кадастровым номером 66:62:0301001:2048 в измененных границах.</w:t>
      </w:r>
    </w:p>
    <w:p>
      <w:pPr>
        <w:pStyle w:val="BodyText311"/>
        <w:jc w:val="center"/>
        <w:rPr>
          <w:rFonts w:ascii="Times New Roman" w:hAnsi="Times New Roman"/>
          <w:b/>
          <w:i w:val="false"/>
          <w:i w:val="false"/>
          <w:sz w:val="26"/>
        </w:rPr>
      </w:pPr>
      <w:r>
        <w:rPr>
          <w:b/>
          <w:i w:val="false"/>
          <w:sz w:val="26"/>
        </w:rPr>
      </w:r>
    </w:p>
    <w:p>
      <w:pPr>
        <w:pStyle w:val="BodyText311"/>
        <w:jc w:val="center"/>
        <w:rPr>
          <w:rFonts w:ascii="Times New Roman" w:hAnsi="Times New Roman"/>
          <w:b/>
          <w:i w:val="false"/>
          <w:i w:val="false"/>
          <w:sz w:val="26"/>
        </w:rPr>
      </w:pPr>
      <w:r>
        <w:rPr>
          <w:b/>
          <w:i w:val="false"/>
          <w:sz w:val="26"/>
        </w:rPr>
        <w:t>3.Состав работ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3.1.Подготовительные работы: сбор и изучение сведений о земельном участке, содержащихся в документах по установлению границ соответствующих территорий, Едином государственном реестре недвижимости, документах по планированию организации территории (землеустроительная, градостроительная, лесоустроительная и иная подобная документация), а также сведения об имеющейся геодезической и картографической основе. Изучение сведений о возможности образования земельного участка площадью 1500-2000 кв. м. под объектом.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3.2.Подготовка проекта межевого плана.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3.3.Согласование границ земельного участка со смежными землепользователями.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3.4.Обращение в орган, осуществляющий государственный кадастровый учет,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для проведения государственного кадастрового учёта земельного участка.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3.5.Получение выписки из Единого государственного реестра недвижимости, содержащей информацию о вновь образованном земельном участке, а также участке с кадастровым номером 66:62:0301001:2048 в измененных границах.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4.Технические требования к выполнению работ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4.1.Работы должны быть выполнены в полном соответствии с действующим законодательством Российской Федерации, в том числе в соответствии с требованиями нормативных документов, указанных в пункте 1.1. данного технического задания.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4.2.В случае получения отказа органа, осуществляющего государственный кадастровый учет, в осуществлении государственного кадастрового учета Исполнитель за счет собственных средств обязан провести доработку документов в целях повторной подачи заявления о государственном кадастровом учете земельного участка, являющегося объектом государственного контракта.</w:t>
      </w:r>
    </w:p>
    <w:p>
      <w:pPr>
        <w:pStyle w:val="Normal"/>
        <w:widowControl w:val="false"/>
        <w:spacing w:lineRule="auto" w:line="240" w:before="0" w:after="0"/>
        <w:ind w:firstLine="692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4.3.Ответственность за комплектность передаваемых документов, а также соответствие их требованиям действующего законодательства Российской Федерации несет Исполнитель.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4.4.Вычисление координат точек, углов поворота границ земельного участка выполняется в системе координат, в которой ведется государственный кадастровый учет земельных участков.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5.Исходные материалы</w:t>
      </w:r>
    </w:p>
    <w:p>
      <w:pPr>
        <w:pStyle w:val="BodyText211"/>
        <w:ind w:firstLine="709" w:left="0" w:right="0"/>
        <w:rPr>
          <w:rFonts w:ascii="Times New Roman" w:hAnsi="Times New Roman"/>
          <w:sz w:val="26"/>
        </w:rPr>
      </w:pPr>
      <w:r>
        <w:rPr>
          <w:sz w:val="26"/>
        </w:rPr>
        <w:t>5.1.Информация об объекте недвижимого имущества с кадастровым номером 66:62:0301001:2048.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6.Выходные материалы</w:t>
      </w:r>
    </w:p>
    <w:p>
      <w:pPr>
        <w:pStyle w:val="Normal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6.1.Межевой план в форме электронного документа, подписанный усиленной квалифицированной электронной подписью кадастрового инженера, подготовившего такой план. </w:t>
      </w:r>
    </w:p>
    <w:p>
      <w:pPr>
        <w:pStyle w:val="Normal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6.2.Межевой план в форме документа на бумажном носителе, заверенный подписью                   и печатью подготовившего данный план кадастрового инженера.</w:t>
      </w:r>
    </w:p>
    <w:p>
      <w:pPr>
        <w:pStyle w:val="Normal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6.3.Выписка из Единого государственного реестра недвижимости, содержащая информацию  о вновь образованном земельном участке  в бумажном виде, в полном объеме, в 1 экземпляре, а также участке с кадастровым номером 66:62:0301001:2048 в измененных границах.</w:t>
      </w:r>
    </w:p>
    <w:p>
      <w:pPr>
        <w:pStyle w:val="BodyText211"/>
        <w:jc w:val="center"/>
        <w:rPr>
          <w:rFonts w:ascii="Times New Roman" w:hAnsi="Times New Roman"/>
          <w:b/>
          <w:sz w:val="26"/>
        </w:rPr>
      </w:pPr>
      <w:r>
        <w:rPr>
          <w:b/>
          <w:sz w:val="26"/>
        </w:rPr>
      </w:r>
    </w:p>
    <w:p>
      <w:pPr>
        <w:pStyle w:val="BodyText211"/>
        <w:jc w:val="center"/>
        <w:rPr>
          <w:rFonts w:ascii="Times New Roman" w:hAnsi="Times New Roman"/>
          <w:b/>
          <w:sz w:val="26"/>
        </w:rPr>
      </w:pPr>
      <w:r>
        <w:rPr>
          <w:b/>
          <w:sz w:val="26"/>
        </w:rPr>
        <w:t>7.Объем работ</w:t>
      </w:r>
    </w:p>
    <w:p>
      <w:pPr>
        <w:pStyle w:val="BodyText211"/>
        <w:ind w:firstLine="709" w:left="0" w:right="0"/>
        <w:rPr>
          <w:rFonts w:ascii="Times New Roman" w:hAnsi="Times New Roman"/>
          <w:sz w:val="26"/>
        </w:rPr>
      </w:pPr>
      <w:r>
        <w:rPr>
          <w:sz w:val="26"/>
        </w:rPr>
        <w:t>Исполнитель обязан выполнить кадастровые работы до 01 июля 2026 года                             в отношении земельного участка с кадастровым номером 66:62:0301001:2048.</w:t>
      </w:r>
      <w:bookmarkStart w:id="0" w:name="_GoBack"/>
      <w:bookmarkEnd w:id="0"/>
      <w:r>
        <w:rPr>
          <w:sz w:val="26"/>
        </w:rPr>
        <w:t xml:space="preserve"> Произвести раздел земельного участка с кадастровым номером 66:62:0301001:2048 с целью  образования нового земельного участка площадью 1500-2000 кв. м. под объектом расположенным на данном земельном участке с сохранением исходного земельного участка в измененных границах</w:t>
      </w:r>
      <w:r>
        <w:rPr>
          <w:sz w:val="26"/>
        </w:rPr>
        <w:t>.</w:t>
      </w:r>
    </w:p>
    <w:p>
      <w:pPr>
        <w:pStyle w:val="BodyText211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BodyText211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BodyText21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11"/>
        <w:rPr>
          <w:sz w:val="24"/>
          <w:szCs w:val="24"/>
        </w:rPr>
      </w:pPr>
      <w:r>
        <w:rPr>
          <w:sz w:val="24"/>
          <w:szCs w:val="24"/>
        </w:rPr>
        <w:t>От Заказчика:</w:t>
        <w:tab/>
        <w:tab/>
        <w:tab/>
        <w:tab/>
        <w:tab/>
        <w:t xml:space="preserve">             </w:t>
        <w:tab/>
        <w:t xml:space="preserve">     От Исполнителя:</w:t>
      </w:r>
    </w:p>
    <w:tbl>
      <w:tblPr>
        <w:tblStyle w:val="Style_6"/>
        <w:tblW w:w="104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0"/>
        <w:gridCol w:w="4925"/>
      </w:tblGrid>
      <w:tr>
        <w:trPr/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1"/>
              <w:widowControl/>
              <w:suppressAutoHyphens w:val="true"/>
              <w:spacing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М.П.</w:t>
              <w:tab/>
              <w:t>__________________      (ФИО)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1"/>
              <w:widowControl/>
              <w:suppressAutoHyphens w:val="true"/>
              <w:spacing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М.П.</w:t>
              <w:tab/>
              <w:t>__________________      (ФИО)</w:t>
            </w:r>
          </w:p>
        </w:tc>
      </w:tr>
      <w:tr>
        <w:trPr/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1"/>
              <w:widowControl/>
              <w:suppressAutoHyphens w:val="true"/>
              <w:spacing w:before="0" w:after="0"/>
              <w:ind w:firstLine="1276" w:left="0" w:right="0"/>
              <w:jc w:val="left"/>
              <w:rPr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(подпись)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1"/>
              <w:widowControl/>
              <w:tabs>
                <w:tab w:val="clear" w:pos="708"/>
                <w:tab w:val="left" w:pos="1310" w:leader="none"/>
              </w:tabs>
              <w:suppressAutoHyphens w:val="true"/>
              <w:spacing w:before="0" w:after="0"/>
              <w:ind w:firstLine="1310" w:left="0" w:right="0"/>
              <w:jc w:val="left"/>
              <w:rPr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(подпись)</w:t>
            </w:r>
          </w:p>
        </w:tc>
      </w:tr>
    </w:tbl>
    <w:p>
      <w:pPr>
        <w:pStyle w:val="BodyText21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ans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Указатель1"/>
    <w:link w:val="111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11">
    <w:name w:val="Заголовок1"/>
    <w:link w:val="112"/>
    <w:qFormat/>
    <w:rPr>
      <w:rFonts w:ascii="Liberation Sans" w:hAnsi="Liberation San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ListParagraph1">
    <w:name w:val="List Paragraph1"/>
    <w:link w:val="ListParagraph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List1">
    <w:name w:val="List1"/>
    <w:basedOn w:val="Textbody1"/>
    <w:qFormat/>
    <w:rPr/>
  </w:style>
  <w:style w:type="character" w:styleId="BodyText21">
    <w:name w:val="Body Text 21"/>
    <w:link w:val="BodyText211"/>
    <w:qFormat/>
    <w:rPr>
      <w:rFonts w:ascii="Times New Roman" w:hAnsi="Times New Roman"/>
      <w:sz w:val="24"/>
    </w:rPr>
  </w:style>
  <w:style w:type="character" w:styleId="BodyText31">
    <w:name w:val="Body Text 31"/>
    <w:link w:val="BodyText311"/>
    <w:qFormat/>
    <w:rPr>
      <w:rFonts w:ascii="Times New Roman" w:hAnsi="Times New Roman"/>
      <w:i/>
      <w:sz w:val="24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aption1">
    <w:name w:val="Caption1"/>
    <w:link w:val="Caption11"/>
    <w:qFormat/>
    <w:rPr>
      <w:i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Caption2">
    <w:name w:val="Caption2"/>
    <w:qFormat/>
    <w:rPr>
      <w:i/>
      <w:sz w:val="24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Textbody2"/>
    <w:qFormat/>
    <w:rPr>
      <w:rFonts w:ascii="Times New Roman" w:hAnsi="Times New Roman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tyle9">
    <w:name w:val="Колонтитул"/>
    <w:link w:val="13"/>
    <w:qFormat/>
    <w:rPr>
      <w:rFonts w:ascii="XO Thames" w:hAnsi="XO Thames"/>
      <w:color w:val="000000"/>
      <w:spacing w:val="0"/>
      <w:sz w:val="28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12">
    <w:name w:val="Основной текст Знак1"/>
    <w:basedOn w:val="DefaultParagraphFont1"/>
    <w:link w:val="113"/>
    <w:qFormat/>
    <w:rPr>
      <w:rFonts w:ascii="Times New Roman" w:hAnsi="Times New Roman"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List11">
    <w:name w:val="List11"/>
    <w:basedOn w:val="Textbody"/>
    <w:link w:val="List12"/>
    <w:qFormat/>
    <w:rPr/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Textbody1">
    <w:name w:val="Text body1"/>
    <w:qFormat/>
    <w:rPr>
      <w:rFonts w:ascii="Times New Roman" w:hAnsi="Times New Roman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Heading111">
    <w:name w:val="Heading 111"/>
    <w:link w:val="Heading112"/>
    <w:qFormat/>
    <w:rPr>
      <w:rFonts w:ascii="XO Thames" w:hAnsi="XO Thames"/>
      <w:b/>
      <w:sz w:val="32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111">
    <w:name w:val="Указатель11"/>
    <w:basedOn w:val="Normal"/>
    <w:link w:val="1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Заголовок11"/>
    <w:basedOn w:val="Normal"/>
    <w:next w:val="BodyText"/>
    <w:link w:val="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200"/>
      <w:ind w:hanging="0" w:left="720"/>
      <w:contextualSpacing/>
    </w:pPr>
    <w:rPr/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211">
    <w:name w:val="Body Text 211"/>
    <w:basedOn w:val="Normal"/>
    <w:link w:val="BodyText21"/>
    <w:qFormat/>
    <w:pPr>
      <w:spacing w:lineRule="auto" w:line="240" w:before="0" w:after="0"/>
      <w:jc w:val="both"/>
    </w:pPr>
    <w:rPr>
      <w:rFonts w:ascii="Times New Roman" w:hAnsi="Times New Roman"/>
      <w:sz w:val="24"/>
    </w:rPr>
  </w:style>
  <w:style w:type="paragraph" w:styleId="BodyText311">
    <w:name w:val="Body Text 311"/>
    <w:basedOn w:val="Normal"/>
    <w:link w:val="BodyText31"/>
    <w:qFormat/>
    <w:pPr>
      <w:widowControl w:val="false"/>
      <w:spacing w:lineRule="auto" w:line="240" w:before="0" w:after="0"/>
      <w:jc w:val="both"/>
    </w:pPr>
    <w:rPr>
      <w:rFonts w:ascii="Times New Roman" w:hAnsi="Times New Roman"/>
      <w:i/>
      <w:sz w:val="24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">
    <w:name w:val="Caption11"/>
    <w:link w:val="Cap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Основной текст Знак11"/>
    <w:basedOn w:val="DefaultParagraphFont11"/>
    <w:link w:val="12"/>
    <w:qFormat/>
    <w:pPr/>
    <w:rPr>
      <w:rFonts w:ascii="Times New Roman" w:hAnsi="Times New Roman"/>
      <w:sz w:val="24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12">
    <w:name w:val="List12"/>
    <w:basedOn w:val="Textbody2"/>
    <w:link w:val="List11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ans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table" w:styleId="Style_6">
    <w:name w:val="Table Grid"/>
    <w:basedOn w:val="Style_5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6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LibreOffice/24.8.7.2$Linux_X86_64 LibreOffice_project/480$Build-2</Application>
  <AppVersion>15.0000</AppVersion>
  <Pages>2</Pages>
  <Words>631</Words>
  <Characters>4831</Characters>
  <CharactersWithSpaces>5505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2026-05-21T14:58:58Z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