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120" w:after="120"/>
        <w:jc w:val="center"/>
        <w:rPr>
          <w:b/>
          <w:b/>
        </w:rPr>
      </w:pPr>
      <w:r>
        <w:rPr>
          <w:b/>
        </w:rPr>
        <w:t xml:space="preserve">Государственный контракт № </w:t>
      </w:r>
    </w:p>
    <w:p>
      <w:pPr>
        <w:pStyle w:val="Normal"/>
        <w:spacing w:before="120" w:after="120"/>
        <w:jc w:val="center"/>
        <w:rPr>
          <w:b/>
          <w:b/>
        </w:rPr>
      </w:pPr>
      <w:r>
        <w:rPr>
          <w:b/>
        </w:rPr>
        <w:t>на поставку к</w:t>
      </w:r>
      <w:r>
        <w:rPr>
          <w:b/>
          <w:i w:val="false"/>
          <w:strike w:val="false"/>
          <w:dstrike w:val="false"/>
          <w:outline w:val="false"/>
          <w:shadow w:val="false"/>
          <w:color w:val="000000"/>
          <w:sz w:val="24"/>
          <w:szCs w:val="24"/>
          <w:u w:val="none"/>
          <w:em w:val="none"/>
        </w:rPr>
        <w:t>артриджей для принтеров и МФУ</w:t>
      </w:r>
    </w:p>
    <w:p>
      <w:pPr>
        <w:pStyle w:val="Normal"/>
        <w:spacing w:before="120" w:after="120"/>
        <w:jc w:val="center"/>
        <w:rPr>
          <w:b/>
          <w:b/>
        </w:rPr>
      </w:pPr>
      <w:r>
        <w:rPr>
          <w:b/>
        </w:rPr>
      </w:r>
    </w:p>
    <w:p>
      <w:pPr>
        <w:pStyle w:val="Normal"/>
        <w:rPr>
          <w:sz w:val="10"/>
          <w:szCs w:val="10"/>
        </w:rPr>
      </w:pPr>
      <w:r>
        <w:rPr>
          <w:sz w:val="10"/>
          <w:szCs w:val="10"/>
        </w:rPr>
      </w:r>
    </w:p>
    <w:p>
      <w:pPr>
        <w:pStyle w:val="Normal"/>
        <w:tabs>
          <w:tab w:val="clear" w:pos="708"/>
          <w:tab w:val="left" w:pos="6804" w:leader="none"/>
        </w:tabs>
        <w:rPr/>
      </w:pPr>
      <w:r>
        <w:rPr/>
        <w:t>г. Ярославль</w:t>
        <w:tab/>
        <w:t xml:space="preserve">                    «___»________ 2026 г.</w:t>
      </w:r>
    </w:p>
    <w:p>
      <w:pPr>
        <w:pStyle w:val="Normal"/>
        <w:shd w:val="clear" w:color="auto" w:fill="FFFFFF"/>
        <w:ind w:right="45" w:firstLine="567"/>
        <w:jc w:val="both"/>
        <w:rPr/>
      </w:pPr>
      <w:r>
        <w:rPr>
          <w:b/>
        </w:rPr>
        <w:t xml:space="preserve">Территориальный орган Федеральной службы государственной статистики по Ярославской области (Ярославльстат), </w:t>
      </w:r>
      <w:r>
        <w:rPr/>
        <w:t xml:space="preserve">от имени Российской Федерации, именуемый в дальнейшем «Заказчик», в лице руководителя </w:t>
      </w:r>
      <w:r>
        <w:rPr>
          <w:b/>
        </w:rPr>
        <w:t>Чиркуна Сергея Ивановича</w:t>
      </w:r>
      <w:r>
        <w:rPr/>
        <w:t xml:space="preserve">, действующего на основании Положения, с одной стороны, </w:t>
      </w:r>
      <w:r>
        <w:rPr>
          <w:color w:val="000000"/>
        </w:rPr>
        <w:t>и</w:t>
      </w:r>
      <w:r>
        <w:rPr>
          <w:b/>
          <w:color w:val="000000"/>
        </w:rPr>
        <w:t>______________________</w:t>
      </w:r>
      <w:r>
        <w:rPr>
          <w:color w:val="000000"/>
        </w:rPr>
        <w:t xml:space="preserve">, именуемое  в дальнейшем «Поставщик», в лице ________________ , действующего  на основании_______,с другой стороны, совместно именуемые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Pr/>
        <w:t>заключили настоящий Государственный контракт (далее – Контракт)</w:t>
      </w:r>
      <w:r>
        <w:rPr>
          <w:sz w:val="22"/>
          <w:szCs w:val="22"/>
        </w:rPr>
        <w:t>(идентификационный код закупки 26 1 7604016542 760401001 0007 000 0000 244, МПИ 157.00100157.16.Э.240.26) о нижеследующем</w:t>
      </w:r>
      <w:r>
        <w:rPr/>
        <w:t>.</w:t>
      </w:r>
    </w:p>
    <w:p>
      <w:pPr>
        <w:pStyle w:val="Normal"/>
        <w:shd w:val="clear" w:color="auto" w:fill="FFFFFF"/>
        <w:ind w:right="45" w:firstLine="567"/>
        <w:jc w:val="both"/>
        <w:rPr/>
      </w:pPr>
      <w:r>
        <w:rPr/>
      </w:r>
    </w:p>
    <w:p>
      <w:pPr>
        <w:pStyle w:val="TextBodyIndent"/>
        <w:numPr>
          <w:ilvl w:val="0"/>
          <w:numId w:val="2"/>
        </w:numPr>
        <w:jc w:val="center"/>
        <w:rPr>
          <w:b/>
          <w:b/>
          <w:bCs/>
        </w:rPr>
      </w:pPr>
      <w:r>
        <w:rPr>
          <w:b/>
          <w:bCs/>
        </w:rPr>
        <w:t>Предмет Контракта</w:t>
      </w:r>
    </w:p>
    <w:p>
      <w:pPr>
        <w:pStyle w:val="Normal"/>
        <w:tabs>
          <w:tab w:val="clear" w:pos="708"/>
          <w:tab w:val="left" w:pos="284" w:leader="none"/>
        </w:tabs>
        <w:ind w:firstLine="567"/>
        <w:jc w:val="both"/>
        <w:rPr/>
      </w:pPr>
      <w:r>
        <w:rPr/>
        <w:t xml:space="preserve">1.1. Поставщик обязуется поставить Заказчику картриджи для принтеров и МФУ (далее - </w:t>
      </w:r>
      <w:r>
        <w:rPr>
          <w:szCs w:val="20"/>
        </w:rPr>
        <w:t>Товар</w:t>
      </w:r>
      <w:r>
        <w:rPr/>
        <w:t xml:space="preserve">) в соответствии со спецификацией (Приложение 1), а Заказчик принять и оплатить </w:t>
      </w:r>
      <w:r>
        <w:rPr>
          <w:szCs w:val="20"/>
        </w:rPr>
        <w:t>Товар</w:t>
      </w:r>
      <w:r>
        <w:rPr/>
        <w:t>.</w:t>
      </w:r>
    </w:p>
    <w:p>
      <w:pPr>
        <w:pStyle w:val="Normal"/>
        <w:jc w:val="center"/>
        <w:rPr>
          <w:b/>
          <w:b/>
          <w:szCs w:val="20"/>
        </w:rPr>
      </w:pPr>
      <w:r>
        <w:rPr>
          <w:b/>
          <w:szCs w:val="20"/>
        </w:rPr>
        <w:t>2. Сроки и порядок поставки</w:t>
      </w:r>
    </w:p>
    <w:p>
      <w:pPr>
        <w:pStyle w:val="Normal"/>
        <w:ind w:firstLine="567"/>
        <w:jc w:val="both"/>
        <w:rPr/>
      </w:pPr>
      <w:r>
        <w:rPr>
          <w:szCs w:val="20"/>
        </w:rPr>
        <w:t xml:space="preserve">2.1. </w:t>
      </w:r>
      <w:r>
        <w:rPr/>
        <w:t xml:space="preserve">Поставка </w:t>
      </w:r>
      <w:r>
        <w:rPr>
          <w:szCs w:val="20"/>
        </w:rPr>
        <w:t>Товара</w:t>
      </w:r>
      <w:r>
        <w:rPr/>
        <w:t xml:space="preserve"> производится Поставщиком в течение 15 рабочих дней со дня подписания Контракта.</w:t>
      </w:r>
    </w:p>
    <w:p>
      <w:pPr>
        <w:pStyle w:val="Normal"/>
        <w:ind w:firstLine="567"/>
        <w:jc w:val="both"/>
        <w:rPr>
          <w:szCs w:val="20"/>
        </w:rPr>
      </w:pPr>
      <w:r>
        <w:rPr>
          <w:szCs w:val="20"/>
        </w:rPr>
        <w:t>2.2. Обязательства Поставщика по поставке Товара считаются выполненными с момента передачи Товара уполномоченному представителю Заказчика по товарной накладной.</w:t>
      </w:r>
    </w:p>
    <w:p>
      <w:pPr>
        <w:pStyle w:val="Normal"/>
        <w:ind w:firstLine="567"/>
        <w:jc w:val="both"/>
        <w:rPr/>
      </w:pPr>
      <w:r>
        <w:rPr>
          <w:szCs w:val="20"/>
        </w:rPr>
        <w:t xml:space="preserve">2.3 Передаточные документы передаются Заказчику вместе с Товаром и </w:t>
      </w:r>
      <w:r>
        <w:rPr/>
        <w:t>должны содержать перечень поставляемого Товара, его количество, цену.</w:t>
      </w:r>
    </w:p>
    <w:p>
      <w:pPr>
        <w:pStyle w:val="Normal"/>
        <w:ind w:firstLine="567"/>
        <w:jc w:val="both"/>
        <w:rPr/>
      </w:pPr>
      <w:r>
        <w:rPr/>
      </w:r>
    </w:p>
    <w:p>
      <w:pPr>
        <w:pStyle w:val="Normal"/>
        <w:keepNext w:val="true"/>
        <w:numPr>
          <w:ilvl w:val="0"/>
          <w:numId w:val="0"/>
        </w:numPr>
        <w:ind w:left="0" w:hanging="0"/>
        <w:jc w:val="center"/>
        <w:outlineLvl w:val="0"/>
        <w:rPr>
          <w:b/>
          <w:b/>
          <w:szCs w:val="20"/>
        </w:rPr>
      </w:pPr>
      <w:r>
        <w:rPr>
          <w:b/>
          <w:szCs w:val="20"/>
        </w:rPr>
        <w:t>3. Цена и порядок расчетов</w:t>
      </w:r>
    </w:p>
    <w:p>
      <w:pPr>
        <w:pStyle w:val="Normal"/>
        <w:ind w:firstLine="567"/>
        <w:jc w:val="both"/>
        <w:rPr>
          <w:szCs w:val="20"/>
        </w:rPr>
      </w:pPr>
      <w:r>
        <w:rPr>
          <w:szCs w:val="20"/>
        </w:rPr>
        <w:t xml:space="preserve">3.1. Цена на Товар по настоящему Контракту составляет _____ руб. ____ коп. (____________________рублей __ коп.), в том числе НДС______ (_________ рубля __ копеек). </w:t>
      </w:r>
    </w:p>
    <w:p>
      <w:pPr>
        <w:pStyle w:val="Normal"/>
        <w:tabs>
          <w:tab w:val="clear" w:pos="708"/>
          <w:tab w:val="left" w:pos="0" w:leader="none"/>
        </w:tabs>
        <w:ind w:firstLine="567"/>
        <w:jc w:val="both"/>
        <w:rPr/>
      </w:pPr>
      <w:r>
        <w:rPr/>
        <w:t>3.2. Цена Контракта является твердой и определяется на весь срок исполнения Контракта, включает в себя все расходы, налоги, сборы и другие обязательные платежи, в том числе расходы на доставку.</w:t>
      </w:r>
    </w:p>
    <w:p>
      <w:pPr>
        <w:pStyle w:val="Normal"/>
        <w:ind w:firstLine="567"/>
        <w:jc w:val="both"/>
        <w:rPr/>
      </w:pPr>
      <w:r>
        <w:rPr>
          <w:szCs w:val="20"/>
        </w:rPr>
        <w:t xml:space="preserve">3.3. Оплата по настоящему Контракту производится Заказчиком в течение 7 рабочих дней после поставки Товара на </w:t>
      </w:r>
      <w:r>
        <w:rPr/>
        <w:t>основании передаточных документов, подписанных Сторонами.</w:t>
      </w:r>
    </w:p>
    <w:p>
      <w:pPr>
        <w:pStyle w:val="Normal"/>
        <w:ind w:firstLine="567"/>
        <w:jc w:val="both"/>
        <w:rPr>
          <w:szCs w:val="20"/>
        </w:rPr>
      </w:pPr>
      <w:r>
        <w:rPr>
          <w:szCs w:val="20"/>
        </w:rPr>
        <w:t>3.4. Обязательство Заказчика по оплате Товара считается исполненным после зачисления денежных средств на расчетный счет Поставщика.</w:t>
      </w:r>
    </w:p>
    <w:p>
      <w:pPr>
        <w:pStyle w:val="Normal"/>
        <w:ind w:firstLine="567"/>
        <w:jc w:val="both"/>
        <w:rPr/>
      </w:pPr>
      <w:r>
        <w:rPr/>
        <w:t xml:space="preserve">3.5. Оплата за поставленный Товар осуществляется за счет средств Федерального бюджета (КБК 157 0113 15 4 07 90020 , виду расходов 242) </w:t>
      </w:r>
    </w:p>
    <w:p>
      <w:pPr>
        <w:pStyle w:val="Normal"/>
        <w:ind w:firstLine="567"/>
        <w:jc w:val="both"/>
        <w:rPr>
          <w:szCs w:val="20"/>
        </w:rPr>
      </w:pPr>
      <w:r>
        <w:rPr>
          <w:szCs w:val="20"/>
        </w:rPr>
      </w:r>
    </w:p>
    <w:p>
      <w:pPr>
        <w:pStyle w:val="Normal"/>
        <w:keepNext w:val="true"/>
        <w:numPr>
          <w:ilvl w:val="0"/>
          <w:numId w:val="0"/>
        </w:numPr>
        <w:ind w:left="0" w:hanging="0"/>
        <w:jc w:val="center"/>
        <w:outlineLvl w:val="0"/>
        <w:rPr>
          <w:b/>
          <w:b/>
          <w:szCs w:val="20"/>
        </w:rPr>
      </w:pPr>
      <w:r>
        <w:rPr>
          <w:b/>
          <w:szCs w:val="20"/>
        </w:rPr>
        <w:t>4. Порядок приемки и требования к качеству</w:t>
      </w:r>
    </w:p>
    <w:p>
      <w:pPr>
        <w:pStyle w:val="Normal"/>
        <w:ind w:firstLine="567"/>
        <w:jc w:val="both"/>
        <w:rPr>
          <w:szCs w:val="20"/>
        </w:rPr>
      </w:pPr>
      <w:r>
        <w:rPr>
          <w:szCs w:val="20"/>
        </w:rPr>
        <w:t>4.1. Отпуск Товара производится представителю Заказчика по надлежаще оформленной доверенности на получение Товара. Заказчик в день поставки Товара  проверяет соответствие количества и качества поставленного Товара требованиям настоящего Контракта. При отсутствии у Заказчика замечаний по количеству и качеству поставленного Товара, Заказчик подписывает документы о приемке в течение 5 (пяти) рабочих дней с даты предоставления Поставщиком.</w:t>
      </w:r>
    </w:p>
    <w:p>
      <w:pPr>
        <w:pStyle w:val="Normal"/>
        <w:ind w:firstLine="567"/>
        <w:jc w:val="both"/>
        <w:rPr>
          <w:szCs w:val="20"/>
        </w:rPr>
      </w:pPr>
      <w:r>
        <w:rPr>
          <w:szCs w:val="20"/>
        </w:rPr>
        <w:t>4.2. Товар должен соответствовать всем требованиям предъявленным Заказчиком и согласованным с Поставщиком в момент оформления заказа.</w:t>
      </w:r>
    </w:p>
    <w:p>
      <w:pPr>
        <w:pStyle w:val="Normal"/>
        <w:ind w:firstLine="567"/>
        <w:jc w:val="both"/>
        <w:rPr/>
      </w:pPr>
      <w:r>
        <w:rPr>
          <w:szCs w:val="20"/>
        </w:rPr>
        <w:t>4.3.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извещает об этом  Поставщика и приглашает его представителя для совместного проведения выборочной проверки. В случае отсутствия представителя Поставщика, приемка будет осуществлена комиссионно, с составлением соответствующего акта приемки Товара. Результаты проверки фиксируются в двухстороннем акте, который является основанием для предъявления претензий к Поставщику.</w:t>
      </w:r>
    </w:p>
    <w:p>
      <w:pPr>
        <w:pStyle w:val="Normal"/>
        <w:keepNext w:val="true"/>
        <w:numPr>
          <w:ilvl w:val="0"/>
          <w:numId w:val="0"/>
        </w:numPr>
        <w:ind w:left="0" w:firstLine="567"/>
        <w:jc w:val="both"/>
        <w:outlineLvl w:val="0"/>
        <w:rPr>
          <w:szCs w:val="20"/>
        </w:rPr>
      </w:pPr>
      <w:r>
        <w:rPr>
          <w:szCs w:val="20"/>
        </w:rPr>
        <w:t>4.4. Поставщик обязуется допоставить недостающее количество Товара, а также заменить некачественный Товар своими силами и за свой счет, включая доставку до адреса Заказчика в срок не более 3-х рабочих дней с момента получения письменного обращения (претензии) Заказчика. После устранения недостатков, приемка Товара осуществляется повторно в течение 2 (двух) рабочих дней с момента допоставки или замены Товара.</w:t>
      </w:r>
    </w:p>
    <w:p>
      <w:pPr>
        <w:pStyle w:val="Normal"/>
        <w:keepNext w:val="true"/>
        <w:numPr>
          <w:ilvl w:val="0"/>
          <w:numId w:val="0"/>
        </w:numPr>
        <w:ind w:left="0" w:firstLine="567"/>
        <w:jc w:val="both"/>
        <w:outlineLvl w:val="0"/>
        <w:rPr>
          <w:szCs w:val="20"/>
        </w:rPr>
      </w:pPr>
      <w:r>
        <w:rPr>
          <w:szCs w:val="20"/>
        </w:rPr>
        <w:t>4.5. Право собственности и риск случайной гибели или порчи Товара переходят от Поставщика к Заказчику в момент фактической передачи Товара.</w:t>
      </w:r>
    </w:p>
    <w:p>
      <w:pPr>
        <w:pStyle w:val="Normal"/>
        <w:keepNext w:val="true"/>
        <w:numPr>
          <w:ilvl w:val="0"/>
          <w:numId w:val="0"/>
        </w:numPr>
        <w:ind w:left="0" w:firstLine="567"/>
        <w:jc w:val="both"/>
        <w:outlineLvl w:val="0"/>
        <w:rPr>
          <w:szCs w:val="20"/>
        </w:rPr>
      </w:pPr>
      <w:r>
        <w:rPr>
          <w:szCs w:val="20"/>
        </w:rPr>
      </w:r>
    </w:p>
    <w:p>
      <w:pPr>
        <w:pStyle w:val="Normal"/>
        <w:keepNext w:val="true"/>
        <w:numPr>
          <w:ilvl w:val="0"/>
          <w:numId w:val="0"/>
        </w:numPr>
        <w:ind w:left="0" w:hanging="0"/>
        <w:jc w:val="center"/>
        <w:outlineLvl w:val="0"/>
        <w:rPr>
          <w:b/>
          <w:b/>
          <w:szCs w:val="20"/>
        </w:rPr>
      </w:pPr>
      <w:r>
        <w:rPr>
          <w:b/>
          <w:szCs w:val="20"/>
        </w:rPr>
        <w:t>5. Форс-мажорные обстоятельства</w:t>
      </w:r>
    </w:p>
    <w:p>
      <w:pPr>
        <w:pStyle w:val="Normal"/>
        <w:ind w:firstLine="567"/>
        <w:jc w:val="both"/>
        <w:rPr>
          <w:szCs w:val="20"/>
        </w:rPr>
      </w:pPr>
      <w:r>
        <w:rPr>
          <w:szCs w:val="20"/>
        </w:rPr>
        <w:t>5.1. Стороны освобождаются от ответственности за невыполнение обязательств по настоящему Контракту в случае наступления форс-мажорных обстоятельств. Подтверждением наступления форс-мажорных обстоятельств, служат сведения торгово-промышленной Палаты региона Стороны, заявляющей о наступлении форс-мажорных обстоятельств.</w:t>
      </w:r>
    </w:p>
    <w:p>
      <w:pPr>
        <w:pStyle w:val="Normal"/>
        <w:ind w:firstLine="567"/>
        <w:jc w:val="both"/>
        <w:rPr>
          <w:szCs w:val="20"/>
        </w:rPr>
      </w:pPr>
      <w:r>
        <w:rPr>
          <w:szCs w:val="20"/>
        </w:rPr>
        <w:t xml:space="preserve">5.2. К форс-мажорным обстоятельствам относятся: наводнение, пожар, землетрясение, взрыв любого характера, шторм, оседание почвы, эпидемии и иные проявления сил природы, а также война, военные действия. </w:t>
      </w:r>
    </w:p>
    <w:p>
      <w:pPr>
        <w:pStyle w:val="Normal"/>
        <w:ind w:firstLine="567"/>
        <w:jc w:val="both"/>
        <w:rPr>
          <w:szCs w:val="20"/>
        </w:rPr>
      </w:pPr>
      <w:r>
        <w:rPr>
          <w:szCs w:val="20"/>
        </w:rPr>
        <w:t>5.3. Уведомление о наступлении форс-мажорных обстоятельств должно быть направлено другой Стороне не позднее 5 рабочих дней с момента наступления таких обстоятельств.</w:t>
      </w:r>
    </w:p>
    <w:p>
      <w:pPr>
        <w:pStyle w:val="Normal"/>
        <w:ind w:firstLine="567"/>
        <w:jc w:val="both"/>
        <w:rPr>
          <w:szCs w:val="20"/>
        </w:rPr>
      </w:pPr>
      <w:r>
        <w:rPr>
          <w:szCs w:val="20"/>
        </w:rPr>
        <w:t>5.4. Отсутствие своевременного извещения, в установленный настоящим Контрактом срок, лишает Сторону право ссылаться на наступление таких обстоятельств и влечет за собой возмещение другой Стороне всех возможных у этой стороны убытков в связи с неисполнением этой Стороной своих обязательств по настоящему Контракту.</w:t>
      </w:r>
    </w:p>
    <w:p>
      <w:pPr>
        <w:pStyle w:val="Normal"/>
        <w:ind w:firstLine="567"/>
        <w:jc w:val="center"/>
        <w:rPr>
          <w:b/>
          <w:b/>
          <w:bCs/>
          <w:szCs w:val="20"/>
        </w:rPr>
      </w:pPr>
      <w:r>
        <w:rPr>
          <w:b/>
          <w:bCs/>
          <w:szCs w:val="20"/>
        </w:rPr>
      </w:r>
    </w:p>
    <w:p>
      <w:pPr>
        <w:pStyle w:val="Normal"/>
        <w:ind w:firstLine="567"/>
        <w:jc w:val="center"/>
        <w:rPr>
          <w:b/>
          <w:b/>
          <w:bCs/>
          <w:szCs w:val="20"/>
        </w:rPr>
      </w:pPr>
      <w:r>
        <w:rPr>
          <w:b/>
          <w:bCs/>
          <w:szCs w:val="20"/>
        </w:rPr>
        <w:t>6. Ответственность сторон</w:t>
      </w:r>
    </w:p>
    <w:p>
      <w:pPr>
        <w:pStyle w:val="Normal"/>
        <w:ind w:firstLine="567"/>
        <w:jc w:val="both"/>
        <w:rPr/>
      </w:pPr>
      <w:r>
        <w:rPr/>
        <w:t>6.1.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pPr>
        <w:pStyle w:val="Normal"/>
        <w:ind w:firstLine="567"/>
        <w:jc w:val="both"/>
        <w:rPr/>
      </w:pPr>
      <w:r>
        <w:rPr/>
        <w:t>6.2. В случае просрочки исполнения обязательства Поставщиком, предусмотренного настоящим контрактом, Заказчик направляет Поставщику требование об уплате неустоек (штрафов, пеней). Пеня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настоящему Контракту. Размер пени устанавливается в размере одной трехсотой действующей на день уплаты неустойки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не предусмотрен иной порядок начисления пени.</w:t>
      </w:r>
    </w:p>
    <w:p>
      <w:pPr>
        <w:pStyle w:val="Normal"/>
        <w:ind w:firstLine="567"/>
        <w:jc w:val="both"/>
        <w:rPr/>
      </w:pPr>
      <w:r>
        <w:rPr/>
        <w:t>Поставщик освобождается от уплаты неустойки (пени), если докажет, что просрочка исполнения указанного обязательства произошла вследствие непреодолимой силы или по вине Заказчика.</w:t>
      </w:r>
    </w:p>
    <w:p>
      <w:pPr>
        <w:pStyle w:val="Normal"/>
        <w:ind w:firstLine="567"/>
        <w:jc w:val="both"/>
        <w:rPr/>
      </w:pPr>
      <w:r>
        <w:rPr/>
        <w:t>6.3. В случае просрочки исполнения Заказчиком обязательства по оплате, предусмотренного Контрактом, Поставщик вправе потребовать уплаты неустоек (штрафов, пеней). Пеня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настоящему Контракту. Размер пени устанавливается в размере одной трехсотой действующей на день уплаты неустойки ключевой ставки Центрального банка Российской Федерации от суммы просроченного платежа за каждый день просрочки.</w:t>
      </w:r>
    </w:p>
    <w:p>
      <w:pPr>
        <w:pStyle w:val="Normal"/>
        <w:ind w:firstLine="567"/>
        <w:jc w:val="both"/>
        <w:rPr/>
      </w:pPr>
      <w:r>
        <w:rPr/>
        <w:t>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Поставщика.</w:t>
      </w:r>
    </w:p>
    <w:p>
      <w:pPr>
        <w:pStyle w:val="Normal"/>
        <w:keepNext w:val="true"/>
        <w:numPr>
          <w:ilvl w:val="0"/>
          <w:numId w:val="0"/>
        </w:numPr>
        <w:ind w:left="0" w:firstLine="567"/>
        <w:jc w:val="both"/>
        <w:outlineLvl w:val="0"/>
        <w:rPr/>
      </w:pPr>
      <w:r>
        <w:rPr/>
        <w:t>6.4. Уплата неустойки не освобождает Стороны от исполнения обязательств по Контракту.</w:t>
      </w:r>
    </w:p>
    <w:p>
      <w:pPr>
        <w:pStyle w:val="Normal"/>
        <w:keepNext w:val="true"/>
        <w:numPr>
          <w:ilvl w:val="0"/>
          <w:numId w:val="0"/>
        </w:numPr>
        <w:ind w:left="0" w:hanging="0"/>
        <w:jc w:val="center"/>
        <w:outlineLvl w:val="0"/>
        <w:rPr>
          <w:b/>
          <w:b/>
          <w:szCs w:val="20"/>
        </w:rPr>
      </w:pPr>
      <w:r>
        <w:rPr>
          <w:b/>
          <w:szCs w:val="20"/>
        </w:rPr>
      </w:r>
    </w:p>
    <w:p>
      <w:pPr>
        <w:pStyle w:val="Normal"/>
        <w:numPr>
          <w:ilvl w:val="0"/>
          <w:numId w:val="0"/>
        </w:numPr>
        <w:ind w:left="0" w:hanging="0"/>
        <w:jc w:val="center"/>
        <w:outlineLvl w:val="0"/>
        <w:rPr>
          <w:b/>
          <w:b/>
          <w:szCs w:val="20"/>
        </w:rPr>
      </w:pPr>
      <w:r>
        <w:rPr>
          <w:b/>
          <w:szCs w:val="20"/>
        </w:rPr>
        <w:t>7. Разрешение разногласий</w:t>
      </w:r>
    </w:p>
    <w:p>
      <w:pPr>
        <w:pStyle w:val="Normal"/>
        <w:ind w:firstLine="567"/>
        <w:jc w:val="both"/>
        <w:rPr>
          <w:szCs w:val="20"/>
        </w:rPr>
      </w:pPr>
      <w:r>
        <w:rPr>
          <w:szCs w:val="20"/>
        </w:rPr>
        <w:t>7.1. Разногласия между Сторонами, возникающие по настоящему Контракту после его заключения, в связи с ним, либо толкование разрешается в соответствии с настоящей статьей и в первую очередь регулируется путем переговоров.</w:t>
      </w:r>
    </w:p>
    <w:p>
      <w:pPr>
        <w:pStyle w:val="Normal"/>
        <w:spacing w:lineRule="auto" w:line="240"/>
        <w:ind w:firstLine="567"/>
        <w:jc w:val="both"/>
        <w:rPr>
          <w:szCs w:val="20"/>
        </w:rPr>
      </w:pPr>
      <w:r>
        <w:rPr>
          <w:szCs w:val="20"/>
        </w:rPr>
        <w:t>7.2. В случае, если разногласия не могут быть урегулированы путем переговоров в течение 10 рабочих дней после направления одной Стороной другой Стороне уведомления о существовании любого такого разногласия, каждая из Сторон может передать такое разногласие в арбитражный суд по месту нахождения стороны-ответчицы.</w:t>
      </w:r>
    </w:p>
    <w:p>
      <w:pPr>
        <w:pStyle w:val="Normal"/>
        <w:ind w:firstLine="567"/>
        <w:jc w:val="both"/>
        <w:rPr>
          <w:szCs w:val="20"/>
        </w:rPr>
      </w:pPr>
      <w:r>
        <w:rPr>
          <w:szCs w:val="20"/>
        </w:rPr>
      </w:r>
    </w:p>
    <w:p>
      <w:pPr>
        <w:pStyle w:val="Normal"/>
        <w:jc w:val="center"/>
        <w:rPr>
          <w:b/>
          <w:b/>
          <w:bCs/>
        </w:rPr>
      </w:pPr>
      <w:r>
        <w:rPr>
          <w:b/>
          <w:bCs/>
        </w:rPr>
        <w:t>8. Срок действия Контракта</w:t>
      </w:r>
    </w:p>
    <w:p>
      <w:pPr>
        <w:pStyle w:val="BodyTextIndent2"/>
        <w:jc w:val="both"/>
        <w:rPr/>
      </w:pPr>
      <w:r>
        <w:rPr/>
        <w:t>8.1. Контракт вступает в силу со дня его подписания и действует до исполнения Сторонами обязательств в 2026 г.</w:t>
      </w:r>
    </w:p>
    <w:p>
      <w:pPr>
        <w:pStyle w:val="BodyTextIndent2"/>
        <w:jc w:val="both"/>
        <w:rPr/>
      </w:pPr>
      <w:r>
        <w:rPr/>
        <w:t xml:space="preserve">8.2. Расторжение Контракта допускается исключительно по соглашению Сторон или решению суда по основаниям, предусмотренным гражданским законодательством РФ. При этом факт подписания Сторонами соглашения о расторжении настоящего Контракта не освобождает Стороны от обязанности урегулирования взаимных расчётов. </w:t>
      </w:r>
    </w:p>
    <w:p>
      <w:pPr>
        <w:pStyle w:val="BodyTextIndent2"/>
        <w:jc w:val="both"/>
        <w:rPr/>
      </w:pPr>
      <w:r>
        <w:rPr/>
        <w:t>8.3. Если основанием для расторжения Контракта послужило существенное нарушение его условий одной из Сторон, другая Сторона вправе требовать возмещения убытков, причинённых расторжением Контракта.</w:t>
      </w:r>
    </w:p>
    <w:p>
      <w:pPr>
        <w:pStyle w:val="BodyTextIndent2"/>
        <w:jc w:val="center"/>
        <w:rPr>
          <w:b/>
          <w:b/>
        </w:rPr>
      </w:pPr>
      <w:r>
        <w:rPr>
          <w:b/>
        </w:rPr>
        <w:t>9 Заключительные положения</w:t>
      </w:r>
    </w:p>
    <w:p>
      <w:pPr>
        <w:pStyle w:val="BodyTextIndent2"/>
        <w:jc w:val="both"/>
        <w:rPr/>
      </w:pPr>
      <w:r>
        <w:rPr/>
        <w:t>9.1. Настоящий Контракт составлен в двух экземплярах, имеющих одинаковую юридическую силу, по одному для каждой Стороны.</w:t>
      </w:r>
    </w:p>
    <w:p>
      <w:pPr>
        <w:pStyle w:val="Normal"/>
        <w:ind w:firstLine="540"/>
        <w:jc w:val="both"/>
        <w:rPr/>
      </w:pPr>
      <w:r>
        <w:rPr/>
        <w:t>9.2. Все спорные вопросы решаются путём переговоров, а в случае неразрешимых разногласий – в соответствии с законодательством Российской Федерации.</w:t>
      </w:r>
    </w:p>
    <w:p>
      <w:pPr>
        <w:pStyle w:val="Normal"/>
        <w:ind w:firstLine="540"/>
        <w:jc w:val="both"/>
        <w:rPr/>
      </w:pPr>
      <w:r>
        <w:rPr/>
        <w:t>9.3. В случае изменения у одной из Сторон адреса и банковских реквизитов, она обязана письменно в течение 5 (пяти) рабочих дней известить другую Сторону.</w:t>
      </w:r>
    </w:p>
    <w:p>
      <w:pPr>
        <w:pStyle w:val="Normal"/>
        <w:ind w:firstLine="540"/>
        <w:jc w:val="both"/>
        <w:rPr>
          <w:bCs/>
        </w:rPr>
      </w:pPr>
      <w:r>
        <w:rPr>
          <w:bCs/>
        </w:rPr>
      </w:r>
    </w:p>
    <w:p>
      <w:pPr>
        <w:pStyle w:val="Normal"/>
        <w:ind w:firstLine="540"/>
        <w:jc w:val="both"/>
        <w:rPr>
          <w:bCs/>
        </w:rPr>
      </w:pPr>
      <w:r>
        <w:rPr>
          <w:bCs/>
        </w:rPr>
        <w:t>Приложение: Спецификация</w:t>
      </w:r>
    </w:p>
    <w:p>
      <w:pPr>
        <w:pStyle w:val="Normal"/>
        <w:ind w:firstLine="540"/>
        <w:jc w:val="center"/>
        <w:rPr>
          <w:b/>
          <w:b/>
          <w:bCs/>
        </w:rPr>
      </w:pPr>
      <w:r>
        <w:rPr>
          <w:b/>
          <w:bCs/>
        </w:rPr>
        <w:t>10. Юридические адреса и банковские реквизиты Сторон</w:t>
      </w:r>
    </w:p>
    <w:tbl>
      <w:tblPr>
        <w:tblW w:w="9987" w:type="dxa"/>
        <w:jc w:val="left"/>
        <w:tblInd w:w="250" w:type="dxa"/>
        <w:tblLayout w:type="fixed"/>
        <w:tblCellMar>
          <w:top w:w="0" w:type="dxa"/>
          <w:left w:w="108" w:type="dxa"/>
          <w:bottom w:w="0" w:type="dxa"/>
          <w:right w:w="108" w:type="dxa"/>
        </w:tblCellMar>
        <w:tblLook w:val="0000" w:noHBand="0" w:noVBand="0" w:firstColumn="0" w:lastRow="0" w:lastColumn="0" w:firstRow="0"/>
      </w:tblPr>
      <w:tblGrid>
        <w:gridCol w:w="4958"/>
        <w:gridCol w:w="5028"/>
      </w:tblGrid>
      <w:tr>
        <w:trPr/>
        <w:tc>
          <w:tcPr>
            <w:tcW w:w="4958" w:type="dxa"/>
            <w:tcBorders/>
          </w:tcPr>
          <w:p>
            <w:pPr>
              <w:pStyle w:val="BodyTextIndent2"/>
              <w:widowControl w:val="false"/>
              <w:ind w:hanging="0"/>
              <w:rPr>
                <w:b/>
                <w:b/>
              </w:rPr>
            </w:pPr>
            <w:r>
              <w:rPr>
                <w:b/>
              </w:rPr>
              <w:t>«Заказчик»</w:t>
            </w:r>
          </w:p>
          <w:p>
            <w:pPr>
              <w:pStyle w:val="BodyTextIndent2"/>
              <w:widowControl w:val="false"/>
              <w:ind w:right="216" w:hanging="0"/>
              <w:rPr>
                <w:sz w:val="22"/>
                <w:szCs w:val="22"/>
              </w:rPr>
            </w:pPr>
            <w:r>
              <w:rPr>
                <w:b/>
                <w:sz w:val="22"/>
                <w:szCs w:val="22"/>
              </w:rPr>
              <w:t>Территориальный орган Федеральной службы государственной статистики по Ярославской области (Ярославльстат)</w:t>
            </w:r>
          </w:p>
          <w:p>
            <w:pPr>
              <w:pStyle w:val="Normal"/>
              <w:widowControl w:val="false"/>
              <w:tabs>
                <w:tab w:val="clear" w:pos="708"/>
                <w:tab w:val="left" w:pos="6210" w:leader="none"/>
              </w:tabs>
              <w:ind w:right="216" w:hanging="0"/>
              <w:rPr>
                <w:sz w:val="16"/>
                <w:szCs w:val="16"/>
              </w:rPr>
            </w:pPr>
            <w:r>
              <w:rPr>
                <w:sz w:val="16"/>
                <w:szCs w:val="16"/>
              </w:rPr>
              <w:t>Юридический адрес: 150049, Ярославская область, г. Ярославль, ул. Свободы, д. 93а</w:t>
            </w:r>
          </w:p>
          <w:p>
            <w:pPr>
              <w:pStyle w:val="Normal"/>
              <w:widowControl w:val="false"/>
              <w:tabs>
                <w:tab w:val="clear" w:pos="708"/>
                <w:tab w:val="left" w:pos="6210" w:leader="none"/>
              </w:tabs>
              <w:ind w:right="216" w:hanging="0"/>
              <w:rPr>
                <w:sz w:val="16"/>
                <w:szCs w:val="16"/>
              </w:rPr>
            </w:pPr>
            <w:r>
              <w:rPr>
                <w:sz w:val="16"/>
                <w:szCs w:val="16"/>
              </w:rPr>
              <w:t>ИНН 7604016542 КПП 760401001</w:t>
            </w:r>
          </w:p>
          <w:p>
            <w:pPr>
              <w:pStyle w:val="Normal"/>
              <w:widowControl w:val="false"/>
              <w:tabs>
                <w:tab w:val="clear" w:pos="708"/>
                <w:tab w:val="left" w:pos="6210" w:leader="none"/>
              </w:tabs>
              <w:ind w:right="216" w:hanging="0"/>
              <w:rPr>
                <w:sz w:val="16"/>
                <w:szCs w:val="16"/>
              </w:rPr>
            </w:pPr>
            <w:r>
              <w:rPr>
                <w:sz w:val="16"/>
                <w:szCs w:val="16"/>
              </w:rPr>
              <w:t>Лицевой счет получателя бюджетных средств No 03711414320  Наименование ТОФК:</w:t>
            </w:r>
          </w:p>
          <w:p>
            <w:pPr>
              <w:pStyle w:val="Normal"/>
              <w:widowControl w:val="false"/>
              <w:tabs>
                <w:tab w:val="clear" w:pos="708"/>
                <w:tab w:val="left" w:pos="6210" w:leader="none"/>
              </w:tabs>
              <w:ind w:right="216" w:hanging="0"/>
              <w:rPr>
                <w:sz w:val="16"/>
                <w:szCs w:val="16"/>
              </w:rPr>
            </w:pPr>
            <w:r>
              <w:rPr>
                <w:sz w:val="16"/>
                <w:szCs w:val="16"/>
              </w:rPr>
              <w:t>Управление Федерального казначейства по Ярославской области (Территориальный орган Федеральной службы государственной статистики по Ярославской области (Ярославльстат))</w:t>
            </w:r>
          </w:p>
          <w:p>
            <w:pPr>
              <w:pStyle w:val="Normal"/>
              <w:widowControl w:val="false"/>
              <w:tabs>
                <w:tab w:val="clear" w:pos="708"/>
                <w:tab w:val="left" w:pos="6210" w:leader="none"/>
              </w:tabs>
              <w:ind w:right="216" w:hanging="0"/>
              <w:rPr>
                <w:sz w:val="16"/>
                <w:szCs w:val="16"/>
              </w:rPr>
            </w:pPr>
            <w:r>
              <w:rPr>
                <w:sz w:val="16"/>
                <w:szCs w:val="16"/>
              </w:rPr>
              <w:t>Номер казначейского счета 03211643000000013224</w:t>
            </w:r>
          </w:p>
          <w:p>
            <w:pPr>
              <w:pStyle w:val="Normal"/>
              <w:widowControl w:val="false"/>
              <w:tabs>
                <w:tab w:val="clear" w:pos="708"/>
                <w:tab w:val="left" w:pos="6210" w:leader="none"/>
              </w:tabs>
              <w:ind w:right="216" w:hanging="0"/>
              <w:rPr>
                <w:sz w:val="16"/>
                <w:szCs w:val="16"/>
              </w:rPr>
            </w:pPr>
            <w:r>
              <w:rPr>
                <w:sz w:val="16"/>
                <w:szCs w:val="16"/>
              </w:rPr>
              <w:t>Банк: ОКЦ No 1 ВВГУ Банка России//УФК по Нижегородской области, г. Нижний Новгород</w:t>
            </w:r>
          </w:p>
          <w:p>
            <w:pPr>
              <w:pStyle w:val="Normal"/>
              <w:widowControl w:val="false"/>
              <w:tabs>
                <w:tab w:val="clear" w:pos="708"/>
                <w:tab w:val="left" w:pos="6210" w:leader="none"/>
              </w:tabs>
              <w:ind w:right="216" w:hanging="0"/>
              <w:rPr>
                <w:sz w:val="16"/>
                <w:szCs w:val="16"/>
              </w:rPr>
            </w:pPr>
            <w:r>
              <w:rPr>
                <w:sz w:val="16"/>
                <w:szCs w:val="16"/>
              </w:rPr>
              <w:t>Единый казначейский счет 40102810745370000024 БИК 012202102</w:t>
            </w:r>
          </w:p>
          <w:p>
            <w:pPr>
              <w:pStyle w:val="Normal"/>
              <w:widowControl w:val="false"/>
              <w:tabs>
                <w:tab w:val="clear" w:pos="708"/>
                <w:tab w:val="left" w:pos="6210" w:leader="none"/>
              </w:tabs>
              <w:ind w:right="216" w:hanging="0"/>
              <w:rPr>
                <w:sz w:val="16"/>
                <w:szCs w:val="16"/>
              </w:rPr>
            </w:pPr>
            <w:r>
              <w:rPr>
                <w:sz w:val="16"/>
                <w:szCs w:val="16"/>
              </w:rPr>
              <w:t>ОГРН 1027600690820</w:t>
            </w:r>
          </w:p>
          <w:p>
            <w:pPr>
              <w:pStyle w:val="Normal"/>
              <w:widowControl w:val="false"/>
              <w:tabs>
                <w:tab w:val="clear" w:pos="708"/>
                <w:tab w:val="left" w:pos="6210" w:leader="none"/>
              </w:tabs>
              <w:ind w:right="216" w:hanging="0"/>
              <w:rPr>
                <w:sz w:val="16"/>
                <w:szCs w:val="16"/>
              </w:rPr>
            </w:pPr>
            <w:r>
              <w:rPr>
                <w:sz w:val="16"/>
                <w:szCs w:val="16"/>
              </w:rPr>
              <w:t>ОКПО 02352246</w:t>
            </w:r>
          </w:p>
          <w:p>
            <w:pPr>
              <w:pStyle w:val="Normal"/>
              <w:widowControl w:val="false"/>
              <w:tabs>
                <w:tab w:val="clear" w:pos="708"/>
                <w:tab w:val="left" w:pos="6210" w:leader="none"/>
              </w:tabs>
              <w:ind w:right="216" w:hanging="0"/>
              <w:rPr>
                <w:sz w:val="16"/>
                <w:szCs w:val="16"/>
              </w:rPr>
            </w:pPr>
            <w:r>
              <w:rPr>
                <w:sz w:val="16"/>
                <w:szCs w:val="16"/>
              </w:rPr>
              <w:t>Email: 76@rosstat.gov.ru</w:t>
            </w:r>
          </w:p>
          <w:p>
            <w:pPr>
              <w:pStyle w:val="Normal"/>
              <w:widowControl w:val="false"/>
              <w:tabs>
                <w:tab w:val="clear" w:pos="708"/>
                <w:tab w:val="left" w:pos="5325" w:leader="none"/>
                <w:tab w:val="left" w:pos="6315" w:leader="none"/>
              </w:tabs>
              <w:ind w:right="216" w:hanging="0"/>
              <w:rPr>
                <w:bCs/>
                <w:sz w:val="20"/>
                <w:szCs w:val="20"/>
              </w:rPr>
            </w:pPr>
            <w:r>
              <w:rPr>
                <w:bCs/>
                <w:sz w:val="20"/>
                <w:szCs w:val="20"/>
              </w:rPr>
            </w:r>
          </w:p>
          <w:p>
            <w:pPr>
              <w:pStyle w:val="Normal"/>
              <w:widowControl w:val="false"/>
              <w:tabs>
                <w:tab w:val="clear" w:pos="708"/>
                <w:tab w:val="left" w:pos="5325" w:leader="none"/>
                <w:tab w:val="left" w:pos="6315" w:leader="none"/>
              </w:tabs>
              <w:ind w:right="216" w:hanging="0"/>
              <w:rPr>
                <w:bCs/>
                <w:sz w:val="20"/>
                <w:szCs w:val="20"/>
              </w:rPr>
            </w:pPr>
            <w:r>
              <w:rPr>
                <w:bCs/>
                <w:sz w:val="20"/>
                <w:szCs w:val="20"/>
              </w:rPr>
            </w:r>
          </w:p>
          <w:p>
            <w:pPr>
              <w:pStyle w:val="Normal"/>
              <w:widowControl w:val="false"/>
              <w:tabs>
                <w:tab w:val="clear" w:pos="708"/>
                <w:tab w:val="left" w:pos="5325" w:leader="none"/>
                <w:tab w:val="left" w:pos="6315" w:leader="none"/>
              </w:tabs>
              <w:rPr/>
            </w:pPr>
            <w:r>
              <w:rPr>
                <w:bCs/>
              </w:rPr>
              <w:t>Руководитель</w:t>
            </w:r>
          </w:p>
          <w:p>
            <w:pPr>
              <w:pStyle w:val="Normal"/>
              <w:widowControl w:val="false"/>
              <w:tabs>
                <w:tab w:val="clear" w:pos="708"/>
                <w:tab w:val="left" w:pos="5325" w:leader="none"/>
                <w:tab w:val="left" w:pos="6315" w:leader="none"/>
              </w:tabs>
              <w:rPr/>
            </w:pPr>
            <w:r>
              <w:rPr>
                <w:bCs/>
              </w:rPr>
              <w:t>____________________</w:t>
            </w:r>
            <w:r>
              <w:rPr>
                <w:b/>
              </w:rPr>
              <w:t>С.И. Чиркун</w:t>
            </w:r>
          </w:p>
          <w:p>
            <w:pPr>
              <w:pStyle w:val="Normal"/>
              <w:widowControl w:val="false"/>
              <w:rPr>
                <w:sz w:val="16"/>
                <w:szCs w:val="16"/>
              </w:rPr>
            </w:pPr>
            <w:r>
              <w:rPr>
                <w:sz w:val="16"/>
                <w:szCs w:val="16"/>
              </w:rPr>
              <w:t>м.п.</w:t>
            </w:r>
          </w:p>
        </w:tc>
        <w:tc>
          <w:tcPr>
            <w:tcW w:w="5028" w:type="dxa"/>
            <w:tcBorders/>
          </w:tcPr>
          <w:p>
            <w:pPr>
              <w:pStyle w:val="BodyTextIndent2"/>
              <w:widowControl w:val="false"/>
              <w:ind w:hanging="0"/>
              <w:rPr>
                <w:b/>
                <w:b/>
              </w:rPr>
            </w:pPr>
            <w:r>
              <w:rPr>
                <w:b/>
              </w:rPr>
              <w:t>«Поставщик»</w:t>
            </w:r>
          </w:p>
          <w:p>
            <w:pPr>
              <w:pStyle w:val="Normal"/>
              <w:widowControl w:val="false"/>
              <w:rPr>
                <w:bCs/>
              </w:rPr>
            </w:pPr>
            <w:r>
              <w:rPr>
                <w:bCs/>
              </w:rPr>
            </w:r>
          </w:p>
          <w:p>
            <w:pPr>
              <w:pStyle w:val="Normal"/>
              <w:widowControl w:val="false"/>
              <w:rPr>
                <w:bCs/>
              </w:rPr>
            </w:pPr>
            <w:r>
              <w:rPr>
                <w:bCs/>
              </w:rPr>
            </w:r>
          </w:p>
          <w:p>
            <w:pPr>
              <w:pStyle w:val="Normal"/>
              <w:widowControl w:val="false"/>
              <w:rPr>
                <w:bCs/>
              </w:rPr>
            </w:pPr>
            <w:r>
              <w:rPr>
                <w:bCs/>
              </w:rPr>
            </w:r>
          </w:p>
          <w:p>
            <w:pPr>
              <w:pStyle w:val="Normal"/>
              <w:widowControl w:val="false"/>
              <w:rPr>
                <w:bCs/>
              </w:rPr>
            </w:pPr>
            <w:r>
              <w:rPr>
                <w:bCs/>
              </w:rPr>
            </w:r>
          </w:p>
          <w:p>
            <w:pPr>
              <w:pStyle w:val="Normal"/>
              <w:widowControl w:val="false"/>
              <w:rPr>
                <w:bCs/>
              </w:rPr>
            </w:pPr>
            <w:r>
              <w:rPr>
                <w:bCs/>
              </w:rPr>
            </w:r>
          </w:p>
          <w:p>
            <w:pPr>
              <w:pStyle w:val="Normal"/>
              <w:widowControl w:val="false"/>
              <w:rPr>
                <w:bCs/>
              </w:rPr>
            </w:pPr>
            <w:r>
              <w:rPr>
                <w:bCs/>
              </w:rPr>
            </w:r>
          </w:p>
          <w:p>
            <w:pPr>
              <w:pStyle w:val="Normal"/>
              <w:widowControl w:val="false"/>
              <w:rPr>
                <w:bCs/>
              </w:rPr>
            </w:pPr>
            <w:r>
              <w:rPr>
                <w:bCs/>
              </w:rPr>
            </w:r>
          </w:p>
          <w:p>
            <w:pPr>
              <w:pStyle w:val="Normal"/>
              <w:widowControl w:val="false"/>
              <w:rPr>
                <w:bCs/>
              </w:rPr>
            </w:pPr>
            <w:r>
              <w:rPr>
                <w:bCs/>
              </w:rPr>
            </w:r>
          </w:p>
          <w:p>
            <w:pPr>
              <w:pStyle w:val="Normal"/>
              <w:widowControl w:val="false"/>
              <w:rPr>
                <w:bCs/>
              </w:rPr>
            </w:pPr>
            <w:r>
              <w:rPr>
                <w:bCs/>
              </w:rPr>
            </w:r>
          </w:p>
          <w:p>
            <w:pPr>
              <w:pStyle w:val="Normal"/>
              <w:widowControl w:val="false"/>
              <w:rPr>
                <w:bCs/>
              </w:rPr>
            </w:pPr>
            <w:r>
              <w:rPr>
                <w:bCs/>
              </w:rPr>
            </w:r>
          </w:p>
          <w:p>
            <w:pPr>
              <w:pStyle w:val="Normal"/>
              <w:widowControl w:val="false"/>
              <w:rPr>
                <w:bCs/>
              </w:rPr>
            </w:pPr>
            <w:r>
              <w:rPr>
                <w:bCs/>
              </w:rPr>
            </w:r>
          </w:p>
          <w:p>
            <w:pPr>
              <w:pStyle w:val="Normal"/>
              <w:widowControl w:val="false"/>
              <w:rPr>
                <w:bCs/>
              </w:rPr>
            </w:pPr>
            <w:r>
              <w:rPr>
                <w:bCs/>
              </w:rPr>
            </w:r>
          </w:p>
          <w:p>
            <w:pPr>
              <w:pStyle w:val="Normal"/>
              <w:widowControl w:val="false"/>
              <w:rPr>
                <w:bCs/>
              </w:rPr>
            </w:pPr>
            <w:r>
              <w:rPr>
                <w:bCs/>
              </w:rPr>
            </w:r>
          </w:p>
          <w:p>
            <w:pPr>
              <w:pStyle w:val="Normal"/>
              <w:widowControl w:val="false"/>
              <w:rPr>
                <w:bCs/>
              </w:rPr>
            </w:pPr>
            <w:r>
              <w:rPr>
                <w:bCs/>
              </w:rPr>
            </w:r>
          </w:p>
          <w:p>
            <w:pPr>
              <w:pStyle w:val="Normal"/>
              <w:widowControl w:val="false"/>
              <w:rPr>
                <w:bCs/>
              </w:rPr>
            </w:pPr>
            <w:r>
              <w:rPr>
                <w:bCs/>
              </w:rPr>
            </w:r>
          </w:p>
          <w:p>
            <w:pPr>
              <w:pStyle w:val="Normal"/>
              <w:widowControl w:val="false"/>
              <w:rPr>
                <w:bCs/>
              </w:rPr>
            </w:pPr>
            <w:r>
              <w:rPr>
                <w:bCs/>
              </w:rPr>
              <w:t>_____________________</w:t>
            </w:r>
          </w:p>
          <w:p>
            <w:pPr>
              <w:pStyle w:val="Normal"/>
              <w:widowControl w:val="false"/>
              <w:rPr>
                <w:sz w:val="16"/>
                <w:szCs w:val="16"/>
              </w:rPr>
            </w:pPr>
            <w:r>
              <w:rPr>
                <w:sz w:val="16"/>
                <w:szCs w:val="16"/>
              </w:rPr>
              <w:t>м.п.</w:t>
            </w:r>
          </w:p>
        </w:tc>
      </w:tr>
    </w:tbl>
    <w:p>
      <w:pPr>
        <w:pStyle w:val="Normal"/>
        <w:ind w:left="5580" w:hanging="0"/>
        <w:jc w:val="center"/>
        <w:rPr/>
      </w:pPr>
      <w:r>
        <w:rPr/>
        <w:t>Приложение № 1</w:t>
      </w:r>
    </w:p>
    <w:p>
      <w:pPr>
        <w:pStyle w:val="Normal"/>
        <w:ind w:left="5580" w:hanging="0"/>
        <w:jc w:val="center"/>
        <w:rPr/>
      </w:pPr>
      <w:r>
        <w:rPr/>
        <w:t>к Государственному контракту №____</w:t>
      </w:r>
    </w:p>
    <w:p>
      <w:pPr>
        <w:pStyle w:val="Normal"/>
        <w:ind w:left="5580" w:hanging="0"/>
        <w:jc w:val="center"/>
        <w:rPr/>
      </w:pPr>
      <w:r>
        <w:rPr/>
        <w:t xml:space="preserve">от «___» __________ 2026 г. </w:t>
      </w:r>
    </w:p>
    <w:p>
      <w:pPr>
        <w:pStyle w:val="Normal"/>
        <w:tabs>
          <w:tab w:val="clear" w:pos="708"/>
          <w:tab w:val="left" w:pos="5460" w:leader="none"/>
        </w:tabs>
        <w:ind w:left="6120" w:hanging="0"/>
        <w:jc w:val="center"/>
        <w:rPr>
          <w:color w:val="000000"/>
        </w:rPr>
      </w:pPr>
      <w:r>
        <w:rPr>
          <w:color w:val="000000"/>
        </w:rPr>
      </w:r>
    </w:p>
    <w:p>
      <w:pPr>
        <w:pStyle w:val="Normal"/>
        <w:tabs>
          <w:tab w:val="clear" w:pos="708"/>
          <w:tab w:val="left" w:pos="5460" w:leader="none"/>
        </w:tabs>
        <w:ind w:left="6120" w:hanging="0"/>
        <w:jc w:val="center"/>
        <w:rPr>
          <w:color w:val="000000"/>
        </w:rPr>
      </w:pPr>
      <w:r>
        <w:rPr>
          <w:color w:val="000000"/>
        </w:rPr>
      </w:r>
    </w:p>
    <w:p>
      <w:pPr>
        <w:pStyle w:val="Normal"/>
        <w:jc w:val="center"/>
        <w:rPr>
          <w:b/>
          <w:b/>
        </w:rPr>
      </w:pPr>
      <w:r>
        <w:rPr>
          <w:b/>
        </w:rPr>
      </w:r>
    </w:p>
    <w:p>
      <w:pPr>
        <w:pStyle w:val="Normal"/>
        <w:tabs>
          <w:tab w:val="clear" w:pos="708"/>
          <w:tab w:val="left" w:pos="4290" w:leader="none"/>
        </w:tabs>
        <w:jc w:val="center"/>
        <w:rPr>
          <w:b/>
          <w:b/>
        </w:rPr>
      </w:pPr>
      <w:r>
        <w:rPr>
          <w:b/>
        </w:rPr>
        <w:t xml:space="preserve">Спецификация </w:t>
      </w:r>
    </w:p>
    <w:p>
      <w:pPr>
        <w:pStyle w:val="Normal"/>
        <w:tabs>
          <w:tab w:val="clear" w:pos="708"/>
          <w:tab w:val="left" w:pos="4290" w:leader="none"/>
        </w:tabs>
        <w:jc w:val="center"/>
        <w:rPr>
          <w:b/>
          <w:b/>
        </w:rPr>
      </w:pPr>
      <w:r>
        <w:rPr>
          <w:b/>
        </w:rPr>
      </w:r>
    </w:p>
    <w:p>
      <w:pPr>
        <w:pStyle w:val="Normal"/>
        <w:tabs>
          <w:tab w:val="clear" w:pos="708"/>
          <w:tab w:val="left" w:pos="4290" w:leader="none"/>
        </w:tabs>
        <w:jc w:val="center"/>
        <w:rPr>
          <w:b/>
          <w:b/>
        </w:rPr>
      </w:pPr>
      <w:r>
        <w:rPr>
          <w:b/>
        </w:rPr>
      </w:r>
    </w:p>
    <w:p>
      <w:pPr>
        <w:pStyle w:val="Normal"/>
        <w:tabs>
          <w:tab w:val="clear" w:pos="708"/>
          <w:tab w:val="left" w:pos="4290" w:leader="none"/>
        </w:tabs>
        <w:jc w:val="center"/>
        <w:rPr>
          <w:b/>
          <w:b/>
        </w:rPr>
      </w:pPr>
      <w:r>
        <w:rPr>
          <w:b/>
        </w:rPr>
      </w:r>
    </w:p>
    <w:tbl>
      <w:tblPr>
        <w:tblW w:w="10488" w:type="dxa"/>
        <w:jc w:val="left"/>
        <w:tblInd w:w="-32" w:type="dxa"/>
        <w:tblLayout w:type="fixed"/>
        <w:tblCellMar>
          <w:top w:w="0" w:type="dxa"/>
          <w:left w:w="28" w:type="dxa"/>
          <w:bottom w:w="0" w:type="dxa"/>
          <w:right w:w="28" w:type="dxa"/>
        </w:tblCellMar>
      </w:tblPr>
      <w:tblGrid>
        <w:gridCol w:w="650"/>
        <w:gridCol w:w="4363"/>
        <w:gridCol w:w="960"/>
        <w:gridCol w:w="851"/>
        <w:gridCol w:w="1739"/>
        <w:gridCol w:w="1924"/>
      </w:tblGrid>
      <w:tr>
        <w:trPr>
          <w:trHeight w:val="765" w:hRule="atLeast"/>
        </w:trPr>
        <w:tc>
          <w:tcPr>
            <w:tcW w:w="650" w:type="dxa"/>
            <w:tcBorders>
              <w:top w:val="single" w:sz="2" w:space="0" w:color="000000"/>
              <w:left w:val="single" w:sz="2" w:space="0" w:color="000000"/>
              <w:bottom w:val="single" w:sz="2" w:space="0" w:color="000000"/>
            </w:tcBorders>
            <w:vAlign w:val="center"/>
          </w:tcPr>
          <w:p>
            <w:pPr>
              <w:pStyle w:val="Normal"/>
              <w:widowControl w:val="false"/>
              <w:tabs>
                <w:tab w:val="clear" w:pos="708"/>
              </w:tabs>
              <w:jc w:val="center"/>
              <w:rPr>
                <w:b/>
                <w:b/>
              </w:rPr>
            </w:pPr>
            <w:r>
              <w:rPr/>
              <w:t>№</w:t>
            </w:r>
            <w:r>
              <w:rPr/>
              <w:t>п/п</w:t>
            </w:r>
          </w:p>
        </w:tc>
        <w:tc>
          <w:tcPr>
            <w:tcW w:w="4363" w:type="dxa"/>
            <w:tcBorders>
              <w:top w:val="single" w:sz="2" w:space="0" w:color="000000"/>
              <w:left w:val="single" w:sz="2" w:space="0" w:color="000000"/>
              <w:bottom w:val="single" w:sz="2" w:space="0" w:color="000000"/>
            </w:tcBorders>
            <w:vAlign w:val="center"/>
          </w:tcPr>
          <w:p>
            <w:pPr>
              <w:pStyle w:val="Normal"/>
              <w:widowControl w:val="false"/>
              <w:tabs>
                <w:tab w:val="clear" w:pos="708"/>
              </w:tabs>
              <w:jc w:val="center"/>
              <w:rPr>
                <w:b/>
                <w:b/>
              </w:rPr>
            </w:pPr>
            <w:r>
              <w:rPr/>
              <w:t>Наименование</w:t>
            </w:r>
          </w:p>
        </w:tc>
        <w:tc>
          <w:tcPr>
            <w:tcW w:w="960" w:type="dxa"/>
            <w:tcBorders>
              <w:top w:val="single" w:sz="2" w:space="0" w:color="000000"/>
              <w:left w:val="single" w:sz="2" w:space="0" w:color="000000"/>
              <w:bottom w:val="single" w:sz="2" w:space="0" w:color="000000"/>
            </w:tcBorders>
            <w:vAlign w:val="center"/>
          </w:tcPr>
          <w:p>
            <w:pPr>
              <w:pStyle w:val="Normal"/>
              <w:widowControl w:val="false"/>
              <w:tabs>
                <w:tab w:val="clear" w:pos="708"/>
              </w:tabs>
              <w:jc w:val="center"/>
              <w:rPr>
                <w:b/>
                <w:b/>
              </w:rPr>
            </w:pPr>
            <w:r>
              <w:rPr/>
              <w:t>Ед. изм.</w:t>
            </w:r>
          </w:p>
        </w:tc>
        <w:tc>
          <w:tcPr>
            <w:tcW w:w="851" w:type="dxa"/>
            <w:tcBorders>
              <w:top w:val="single" w:sz="2" w:space="0" w:color="000000"/>
              <w:left w:val="single" w:sz="2" w:space="0" w:color="000000"/>
              <w:bottom w:val="single" w:sz="2" w:space="0" w:color="000000"/>
            </w:tcBorders>
            <w:vAlign w:val="center"/>
          </w:tcPr>
          <w:p>
            <w:pPr>
              <w:pStyle w:val="Normal"/>
              <w:widowControl w:val="false"/>
              <w:tabs>
                <w:tab w:val="clear" w:pos="708"/>
              </w:tabs>
              <w:jc w:val="center"/>
              <w:rPr>
                <w:b/>
                <w:b/>
              </w:rPr>
            </w:pPr>
            <w:r>
              <w:rPr/>
              <w:t>Кол-во</w:t>
            </w:r>
          </w:p>
        </w:tc>
        <w:tc>
          <w:tcPr>
            <w:tcW w:w="1739" w:type="dxa"/>
            <w:tcBorders>
              <w:top w:val="single" w:sz="2" w:space="0" w:color="000000"/>
              <w:left w:val="single" w:sz="2" w:space="0" w:color="000000"/>
              <w:bottom w:val="single" w:sz="2" w:space="0" w:color="000000"/>
            </w:tcBorders>
            <w:vAlign w:val="center"/>
          </w:tcPr>
          <w:p>
            <w:pPr>
              <w:pStyle w:val="Normal"/>
              <w:widowControl w:val="false"/>
              <w:tabs>
                <w:tab w:val="clear" w:pos="708"/>
                <w:tab w:val="left" w:pos="4245" w:leader="none"/>
              </w:tabs>
              <w:ind w:left="142" w:hanging="0"/>
              <w:jc w:val="center"/>
              <w:rPr>
                <w:b/>
                <w:b/>
              </w:rPr>
            </w:pPr>
            <w:r>
              <w:rPr/>
              <w:t>Цена за единицу (руб.)</w:t>
            </w:r>
          </w:p>
        </w:tc>
        <w:tc>
          <w:tcPr>
            <w:tcW w:w="1924" w:type="dxa"/>
            <w:tcBorders>
              <w:top w:val="single" w:sz="2" w:space="0" w:color="000000"/>
              <w:left w:val="single" w:sz="2" w:space="0" w:color="000000"/>
              <w:bottom w:val="single" w:sz="2" w:space="0" w:color="000000"/>
              <w:right w:val="single" w:sz="2" w:space="0" w:color="000000"/>
            </w:tcBorders>
            <w:vAlign w:val="center"/>
          </w:tcPr>
          <w:p>
            <w:pPr>
              <w:pStyle w:val="Normal"/>
              <w:widowControl w:val="false"/>
              <w:tabs>
                <w:tab w:val="clear" w:pos="708"/>
                <w:tab w:val="left" w:pos="4245" w:leader="none"/>
              </w:tabs>
              <w:ind w:left="142" w:hanging="0"/>
              <w:jc w:val="center"/>
              <w:rPr>
                <w:b/>
                <w:b/>
              </w:rPr>
            </w:pPr>
            <w:r>
              <w:rPr/>
              <w:t>Стоимость (руб.)</w:t>
            </w:r>
          </w:p>
        </w:tc>
      </w:tr>
      <w:tr>
        <w:trPr>
          <w:trHeight w:val="735" w:hRule="atLeast"/>
        </w:trPr>
        <w:tc>
          <w:tcPr>
            <w:tcW w:w="650" w:type="dxa"/>
            <w:tcBorders>
              <w:left w:val="single" w:sz="2" w:space="0" w:color="000000"/>
              <w:bottom w:val="single" w:sz="2" w:space="0" w:color="000000"/>
            </w:tcBorders>
            <w:vAlign w:val="center"/>
          </w:tcPr>
          <w:p>
            <w:pPr>
              <w:pStyle w:val="Normal"/>
              <w:widowControl w:val="false"/>
              <w:tabs>
                <w:tab w:val="clear" w:pos="708"/>
              </w:tabs>
              <w:jc w:val="center"/>
              <w:rPr>
                <w:b/>
                <w:b/>
              </w:rPr>
            </w:pPr>
            <w:r>
              <w:rPr/>
              <w:t>1</w:t>
            </w:r>
          </w:p>
        </w:tc>
        <w:tc>
          <w:tcPr>
            <w:tcW w:w="4363" w:type="dxa"/>
            <w:tcBorders>
              <w:left w:val="single" w:sz="2" w:space="0" w:color="000000"/>
              <w:bottom w:val="single" w:sz="2" w:space="0" w:color="000000"/>
            </w:tcBorders>
            <w:vAlign w:val="center"/>
          </w:tcPr>
          <w:p>
            <w:pPr>
              <w:pStyle w:val="Normal"/>
              <w:widowControl w:val="false"/>
              <w:tabs>
                <w:tab w:val="clear" w:pos="708"/>
              </w:tabs>
              <w:jc w:val="center"/>
              <w:rPr>
                <w:b/>
                <w:b/>
              </w:rPr>
            </w:pPr>
            <w:r>
              <w:rPr/>
              <w:t>Картридж HP CF 214X (совместимый)</w:t>
            </w:r>
          </w:p>
        </w:tc>
        <w:tc>
          <w:tcPr>
            <w:tcW w:w="960" w:type="dxa"/>
            <w:tcBorders>
              <w:left w:val="single" w:sz="2" w:space="0" w:color="000000"/>
              <w:bottom w:val="single" w:sz="2" w:space="0" w:color="000000"/>
            </w:tcBorders>
            <w:vAlign w:val="center"/>
          </w:tcPr>
          <w:p>
            <w:pPr>
              <w:pStyle w:val="Normal"/>
              <w:widowControl w:val="false"/>
              <w:tabs>
                <w:tab w:val="clear" w:pos="708"/>
              </w:tabs>
              <w:jc w:val="center"/>
              <w:rPr>
                <w:b/>
                <w:b/>
              </w:rPr>
            </w:pPr>
            <w:r>
              <w:rPr/>
              <w:t>Шт.</w:t>
            </w:r>
          </w:p>
        </w:tc>
        <w:tc>
          <w:tcPr>
            <w:tcW w:w="851" w:type="dxa"/>
            <w:tcBorders>
              <w:left w:val="single" w:sz="2" w:space="0" w:color="000000"/>
              <w:bottom w:val="single" w:sz="2" w:space="0" w:color="000000"/>
            </w:tcBorders>
            <w:vAlign w:val="center"/>
          </w:tcPr>
          <w:p>
            <w:pPr>
              <w:pStyle w:val="Normal"/>
              <w:widowControl w:val="false"/>
              <w:tabs>
                <w:tab w:val="clear" w:pos="708"/>
              </w:tabs>
              <w:jc w:val="center"/>
              <w:rPr>
                <w:b w:val="false"/>
                <w:b w:val="false"/>
                <w:bCs w:val="false"/>
              </w:rPr>
            </w:pPr>
            <w:r>
              <w:rPr>
                <w:b w:val="false"/>
                <w:bCs w:val="false"/>
              </w:rPr>
              <w:t>20</w:t>
            </w:r>
          </w:p>
        </w:tc>
        <w:tc>
          <w:tcPr>
            <w:tcW w:w="1739" w:type="dxa"/>
            <w:tcBorders>
              <w:left w:val="single" w:sz="2" w:space="0" w:color="000000"/>
              <w:bottom w:val="single" w:sz="2" w:space="0" w:color="000000"/>
            </w:tcBorders>
            <w:vAlign w:val="center"/>
          </w:tcPr>
          <w:p>
            <w:pPr>
              <w:pStyle w:val="Normal"/>
              <w:widowControl w:val="false"/>
              <w:tabs>
                <w:tab w:val="clear" w:pos="708"/>
              </w:tabs>
              <w:jc w:val="center"/>
              <w:rPr>
                <w:b/>
                <w:b/>
              </w:rPr>
            </w:pPr>
            <w:r>
              <w:rPr>
                <w:b/>
              </w:rPr>
            </w:r>
          </w:p>
        </w:tc>
        <w:tc>
          <w:tcPr>
            <w:tcW w:w="1924" w:type="dxa"/>
            <w:tcBorders>
              <w:left w:val="single" w:sz="2" w:space="0" w:color="000000"/>
              <w:bottom w:val="single" w:sz="2" w:space="0" w:color="000000"/>
              <w:right w:val="single" w:sz="2" w:space="0" w:color="000000"/>
            </w:tcBorders>
            <w:vAlign w:val="center"/>
          </w:tcPr>
          <w:p>
            <w:pPr>
              <w:pStyle w:val="Normal"/>
              <w:widowControl w:val="false"/>
              <w:tabs>
                <w:tab w:val="clear" w:pos="708"/>
              </w:tabs>
              <w:jc w:val="center"/>
              <w:rPr>
                <w:b/>
                <w:b/>
              </w:rPr>
            </w:pPr>
            <w:r>
              <w:rPr>
                <w:b/>
              </w:rPr>
            </w:r>
          </w:p>
        </w:tc>
      </w:tr>
      <w:tr>
        <w:trPr>
          <w:trHeight w:val="765" w:hRule="atLeast"/>
        </w:trPr>
        <w:tc>
          <w:tcPr>
            <w:tcW w:w="650" w:type="dxa"/>
            <w:tcBorders>
              <w:left w:val="single" w:sz="2" w:space="0" w:color="000000"/>
              <w:bottom w:val="single" w:sz="2" w:space="0" w:color="000000"/>
            </w:tcBorders>
            <w:vAlign w:val="center"/>
          </w:tcPr>
          <w:p>
            <w:pPr>
              <w:pStyle w:val="Normal"/>
              <w:widowControl w:val="false"/>
              <w:tabs>
                <w:tab w:val="clear" w:pos="708"/>
              </w:tabs>
              <w:jc w:val="center"/>
              <w:rPr>
                <w:b/>
                <w:b/>
              </w:rPr>
            </w:pPr>
            <w:r>
              <w:rPr/>
              <w:t>2</w:t>
            </w:r>
          </w:p>
        </w:tc>
        <w:tc>
          <w:tcPr>
            <w:tcW w:w="4363" w:type="dxa"/>
            <w:tcBorders>
              <w:left w:val="single" w:sz="2" w:space="0" w:color="000000"/>
              <w:bottom w:val="single" w:sz="2" w:space="0" w:color="000000"/>
            </w:tcBorders>
            <w:vAlign w:val="center"/>
          </w:tcPr>
          <w:p>
            <w:pPr>
              <w:pStyle w:val="Normal"/>
              <w:widowControl w:val="false"/>
              <w:tabs>
                <w:tab w:val="clear" w:pos="708"/>
              </w:tabs>
              <w:jc w:val="center"/>
              <w:rPr>
                <w:b/>
                <w:b/>
              </w:rPr>
            </w:pPr>
            <w:r>
              <w:rPr/>
              <w:t>Картридж XEROX 106R01077 (совместимый)</w:t>
            </w:r>
          </w:p>
        </w:tc>
        <w:tc>
          <w:tcPr>
            <w:tcW w:w="960" w:type="dxa"/>
            <w:tcBorders>
              <w:left w:val="single" w:sz="2" w:space="0" w:color="000000"/>
              <w:bottom w:val="single" w:sz="2" w:space="0" w:color="000000"/>
            </w:tcBorders>
            <w:vAlign w:val="center"/>
          </w:tcPr>
          <w:p>
            <w:pPr>
              <w:pStyle w:val="Normal"/>
              <w:widowControl w:val="false"/>
              <w:tabs>
                <w:tab w:val="clear" w:pos="708"/>
              </w:tabs>
              <w:jc w:val="center"/>
              <w:rPr>
                <w:b/>
                <w:b/>
              </w:rPr>
            </w:pPr>
            <w:r>
              <w:rPr/>
              <w:t>Шт.</w:t>
            </w:r>
          </w:p>
        </w:tc>
        <w:tc>
          <w:tcPr>
            <w:tcW w:w="851" w:type="dxa"/>
            <w:tcBorders>
              <w:left w:val="single" w:sz="2" w:space="0" w:color="000000"/>
              <w:bottom w:val="single" w:sz="2" w:space="0" w:color="000000"/>
            </w:tcBorders>
            <w:vAlign w:val="center"/>
          </w:tcPr>
          <w:p>
            <w:pPr>
              <w:pStyle w:val="Normal"/>
              <w:widowControl w:val="false"/>
              <w:tabs>
                <w:tab w:val="clear" w:pos="708"/>
              </w:tabs>
              <w:jc w:val="center"/>
              <w:rPr>
                <w:b/>
                <w:b/>
              </w:rPr>
            </w:pPr>
            <w:r>
              <w:rPr/>
              <w:t>4</w:t>
            </w:r>
          </w:p>
        </w:tc>
        <w:tc>
          <w:tcPr>
            <w:tcW w:w="1739" w:type="dxa"/>
            <w:tcBorders>
              <w:left w:val="single" w:sz="2" w:space="0" w:color="000000"/>
              <w:bottom w:val="single" w:sz="2" w:space="0" w:color="000000"/>
            </w:tcBorders>
            <w:vAlign w:val="center"/>
          </w:tcPr>
          <w:p>
            <w:pPr>
              <w:pStyle w:val="Normal"/>
              <w:widowControl w:val="false"/>
              <w:tabs>
                <w:tab w:val="clear" w:pos="708"/>
              </w:tabs>
              <w:jc w:val="center"/>
              <w:rPr>
                <w:b/>
                <w:b/>
              </w:rPr>
            </w:pPr>
            <w:r>
              <w:rPr>
                <w:b/>
              </w:rPr>
            </w:r>
          </w:p>
        </w:tc>
        <w:tc>
          <w:tcPr>
            <w:tcW w:w="1924" w:type="dxa"/>
            <w:tcBorders>
              <w:left w:val="single" w:sz="2" w:space="0" w:color="000000"/>
              <w:bottom w:val="single" w:sz="2" w:space="0" w:color="000000"/>
              <w:right w:val="single" w:sz="2" w:space="0" w:color="000000"/>
            </w:tcBorders>
            <w:vAlign w:val="center"/>
          </w:tcPr>
          <w:p>
            <w:pPr>
              <w:pStyle w:val="Normal"/>
              <w:widowControl w:val="false"/>
              <w:tabs>
                <w:tab w:val="clear" w:pos="708"/>
              </w:tabs>
              <w:jc w:val="center"/>
              <w:rPr>
                <w:b/>
                <w:b/>
              </w:rPr>
            </w:pPr>
            <w:r>
              <w:rPr>
                <w:b/>
              </w:rPr>
            </w:r>
          </w:p>
        </w:tc>
      </w:tr>
      <w:tr>
        <w:trPr>
          <w:trHeight w:val="765" w:hRule="atLeast"/>
        </w:trPr>
        <w:tc>
          <w:tcPr>
            <w:tcW w:w="650" w:type="dxa"/>
            <w:tcBorders>
              <w:left w:val="single" w:sz="2" w:space="0" w:color="000000"/>
              <w:bottom w:val="single" w:sz="2" w:space="0" w:color="000000"/>
            </w:tcBorders>
            <w:vAlign w:val="center"/>
          </w:tcPr>
          <w:p>
            <w:pPr>
              <w:pStyle w:val="Normal"/>
              <w:widowControl w:val="false"/>
              <w:tabs>
                <w:tab w:val="clear" w:pos="708"/>
              </w:tabs>
              <w:jc w:val="center"/>
              <w:rPr>
                <w:b/>
                <w:b/>
              </w:rPr>
            </w:pPr>
            <w:r>
              <w:rPr/>
              <w:t>3</w:t>
            </w:r>
          </w:p>
        </w:tc>
        <w:tc>
          <w:tcPr>
            <w:tcW w:w="4363" w:type="dxa"/>
            <w:tcBorders>
              <w:left w:val="single" w:sz="2" w:space="0" w:color="000000"/>
              <w:bottom w:val="single" w:sz="2" w:space="0" w:color="000000"/>
            </w:tcBorders>
            <w:vAlign w:val="center"/>
          </w:tcPr>
          <w:p>
            <w:pPr>
              <w:pStyle w:val="Normal"/>
              <w:widowControl w:val="false"/>
              <w:tabs>
                <w:tab w:val="clear" w:pos="708"/>
              </w:tabs>
              <w:jc w:val="center"/>
              <w:rPr>
                <w:b/>
                <w:b/>
              </w:rPr>
            </w:pPr>
            <w:r>
              <w:rPr/>
              <w:t>Картридж XEROX 106R01078 (совместимый)</w:t>
            </w:r>
          </w:p>
        </w:tc>
        <w:tc>
          <w:tcPr>
            <w:tcW w:w="960" w:type="dxa"/>
            <w:tcBorders>
              <w:left w:val="single" w:sz="2" w:space="0" w:color="000000"/>
              <w:bottom w:val="single" w:sz="2" w:space="0" w:color="000000"/>
            </w:tcBorders>
            <w:vAlign w:val="center"/>
          </w:tcPr>
          <w:p>
            <w:pPr>
              <w:pStyle w:val="Normal"/>
              <w:widowControl w:val="false"/>
              <w:tabs>
                <w:tab w:val="clear" w:pos="708"/>
              </w:tabs>
              <w:jc w:val="center"/>
              <w:rPr>
                <w:b/>
                <w:b/>
              </w:rPr>
            </w:pPr>
            <w:r>
              <w:rPr/>
              <w:t>Шт.</w:t>
            </w:r>
          </w:p>
        </w:tc>
        <w:tc>
          <w:tcPr>
            <w:tcW w:w="851" w:type="dxa"/>
            <w:tcBorders>
              <w:left w:val="single" w:sz="2" w:space="0" w:color="000000"/>
              <w:bottom w:val="single" w:sz="2" w:space="0" w:color="000000"/>
            </w:tcBorders>
            <w:vAlign w:val="center"/>
          </w:tcPr>
          <w:p>
            <w:pPr>
              <w:pStyle w:val="Normal"/>
              <w:widowControl w:val="false"/>
              <w:tabs>
                <w:tab w:val="clear" w:pos="708"/>
              </w:tabs>
              <w:jc w:val="center"/>
              <w:rPr>
                <w:b/>
                <w:b/>
              </w:rPr>
            </w:pPr>
            <w:r>
              <w:rPr/>
              <w:t>4</w:t>
            </w:r>
          </w:p>
        </w:tc>
        <w:tc>
          <w:tcPr>
            <w:tcW w:w="1739" w:type="dxa"/>
            <w:tcBorders>
              <w:left w:val="single" w:sz="2" w:space="0" w:color="000000"/>
              <w:bottom w:val="single" w:sz="2" w:space="0" w:color="000000"/>
            </w:tcBorders>
            <w:vAlign w:val="center"/>
          </w:tcPr>
          <w:p>
            <w:pPr>
              <w:pStyle w:val="Normal"/>
              <w:widowControl w:val="false"/>
              <w:tabs>
                <w:tab w:val="clear" w:pos="708"/>
              </w:tabs>
              <w:jc w:val="center"/>
              <w:rPr>
                <w:b/>
                <w:b/>
              </w:rPr>
            </w:pPr>
            <w:r>
              <w:rPr>
                <w:b/>
              </w:rPr>
            </w:r>
          </w:p>
        </w:tc>
        <w:tc>
          <w:tcPr>
            <w:tcW w:w="1924" w:type="dxa"/>
            <w:tcBorders>
              <w:left w:val="single" w:sz="2" w:space="0" w:color="000000"/>
              <w:bottom w:val="single" w:sz="2" w:space="0" w:color="000000"/>
              <w:right w:val="single" w:sz="2" w:space="0" w:color="000000"/>
            </w:tcBorders>
            <w:vAlign w:val="center"/>
          </w:tcPr>
          <w:p>
            <w:pPr>
              <w:pStyle w:val="Normal"/>
              <w:widowControl w:val="false"/>
              <w:tabs>
                <w:tab w:val="clear" w:pos="708"/>
              </w:tabs>
              <w:jc w:val="center"/>
              <w:rPr>
                <w:b/>
                <w:b/>
              </w:rPr>
            </w:pPr>
            <w:r>
              <w:rPr>
                <w:b/>
              </w:rPr>
            </w:r>
          </w:p>
        </w:tc>
      </w:tr>
      <w:tr>
        <w:trPr>
          <w:trHeight w:val="765" w:hRule="atLeast"/>
        </w:trPr>
        <w:tc>
          <w:tcPr>
            <w:tcW w:w="650" w:type="dxa"/>
            <w:tcBorders>
              <w:left w:val="single" w:sz="2" w:space="0" w:color="000000"/>
              <w:bottom w:val="single" w:sz="2" w:space="0" w:color="000000"/>
            </w:tcBorders>
            <w:vAlign w:val="center"/>
          </w:tcPr>
          <w:p>
            <w:pPr>
              <w:pStyle w:val="Normal"/>
              <w:widowControl w:val="false"/>
              <w:tabs>
                <w:tab w:val="clear" w:pos="708"/>
              </w:tabs>
              <w:jc w:val="center"/>
              <w:rPr>
                <w:b/>
                <w:b/>
              </w:rPr>
            </w:pPr>
            <w:r>
              <w:rPr/>
              <w:t>4</w:t>
            </w:r>
          </w:p>
        </w:tc>
        <w:tc>
          <w:tcPr>
            <w:tcW w:w="4363" w:type="dxa"/>
            <w:tcBorders>
              <w:left w:val="single" w:sz="2" w:space="0" w:color="000000"/>
              <w:bottom w:val="single" w:sz="2" w:space="0" w:color="000000"/>
            </w:tcBorders>
            <w:vAlign w:val="center"/>
          </w:tcPr>
          <w:p>
            <w:pPr>
              <w:pStyle w:val="Normal"/>
              <w:widowControl w:val="false"/>
              <w:tabs>
                <w:tab w:val="clear" w:pos="708"/>
              </w:tabs>
              <w:jc w:val="center"/>
              <w:rPr>
                <w:b/>
                <w:b/>
              </w:rPr>
            </w:pPr>
            <w:r>
              <w:rPr/>
              <w:t>Картридж XEROX 106R01079 (совместимый)</w:t>
            </w:r>
          </w:p>
        </w:tc>
        <w:tc>
          <w:tcPr>
            <w:tcW w:w="960" w:type="dxa"/>
            <w:tcBorders>
              <w:left w:val="single" w:sz="2" w:space="0" w:color="000000"/>
              <w:bottom w:val="single" w:sz="2" w:space="0" w:color="000000"/>
            </w:tcBorders>
            <w:vAlign w:val="center"/>
          </w:tcPr>
          <w:p>
            <w:pPr>
              <w:pStyle w:val="Normal"/>
              <w:widowControl w:val="false"/>
              <w:tabs>
                <w:tab w:val="clear" w:pos="708"/>
              </w:tabs>
              <w:jc w:val="center"/>
              <w:rPr>
                <w:b/>
                <w:b/>
              </w:rPr>
            </w:pPr>
            <w:r>
              <w:rPr/>
              <w:t>Шт.</w:t>
            </w:r>
          </w:p>
        </w:tc>
        <w:tc>
          <w:tcPr>
            <w:tcW w:w="851" w:type="dxa"/>
            <w:tcBorders>
              <w:left w:val="single" w:sz="2" w:space="0" w:color="000000"/>
              <w:bottom w:val="single" w:sz="2" w:space="0" w:color="000000"/>
            </w:tcBorders>
            <w:vAlign w:val="center"/>
          </w:tcPr>
          <w:p>
            <w:pPr>
              <w:pStyle w:val="Normal"/>
              <w:widowControl w:val="false"/>
              <w:tabs>
                <w:tab w:val="clear" w:pos="708"/>
              </w:tabs>
              <w:jc w:val="center"/>
              <w:rPr>
                <w:b/>
                <w:b/>
              </w:rPr>
            </w:pPr>
            <w:r>
              <w:rPr/>
              <w:t>4</w:t>
            </w:r>
          </w:p>
        </w:tc>
        <w:tc>
          <w:tcPr>
            <w:tcW w:w="1739" w:type="dxa"/>
            <w:tcBorders>
              <w:left w:val="single" w:sz="2" w:space="0" w:color="000000"/>
              <w:bottom w:val="single" w:sz="2" w:space="0" w:color="000000"/>
            </w:tcBorders>
            <w:vAlign w:val="center"/>
          </w:tcPr>
          <w:p>
            <w:pPr>
              <w:pStyle w:val="Normal"/>
              <w:widowControl w:val="false"/>
              <w:tabs>
                <w:tab w:val="clear" w:pos="708"/>
              </w:tabs>
              <w:jc w:val="center"/>
              <w:rPr>
                <w:b/>
                <w:b/>
              </w:rPr>
            </w:pPr>
            <w:r>
              <w:rPr>
                <w:b/>
              </w:rPr>
            </w:r>
          </w:p>
        </w:tc>
        <w:tc>
          <w:tcPr>
            <w:tcW w:w="1924" w:type="dxa"/>
            <w:tcBorders>
              <w:left w:val="single" w:sz="2" w:space="0" w:color="000000"/>
              <w:bottom w:val="single" w:sz="2" w:space="0" w:color="000000"/>
              <w:right w:val="single" w:sz="2" w:space="0" w:color="000000"/>
            </w:tcBorders>
            <w:vAlign w:val="center"/>
          </w:tcPr>
          <w:p>
            <w:pPr>
              <w:pStyle w:val="Normal"/>
              <w:widowControl w:val="false"/>
              <w:tabs>
                <w:tab w:val="clear" w:pos="708"/>
              </w:tabs>
              <w:jc w:val="center"/>
              <w:rPr>
                <w:b/>
                <w:b/>
              </w:rPr>
            </w:pPr>
            <w:r>
              <w:rPr>
                <w:b/>
              </w:rPr>
            </w:r>
          </w:p>
        </w:tc>
      </w:tr>
      <w:tr>
        <w:trPr>
          <w:trHeight w:val="765" w:hRule="atLeast"/>
        </w:trPr>
        <w:tc>
          <w:tcPr>
            <w:tcW w:w="650" w:type="dxa"/>
            <w:tcBorders>
              <w:left w:val="single" w:sz="2" w:space="0" w:color="000000"/>
              <w:bottom w:val="single" w:sz="2" w:space="0" w:color="000000"/>
            </w:tcBorders>
            <w:vAlign w:val="center"/>
          </w:tcPr>
          <w:p>
            <w:pPr>
              <w:pStyle w:val="Normal"/>
              <w:widowControl w:val="false"/>
              <w:tabs>
                <w:tab w:val="clear" w:pos="708"/>
              </w:tabs>
              <w:jc w:val="center"/>
              <w:rPr>
                <w:b/>
                <w:b/>
              </w:rPr>
            </w:pPr>
            <w:r>
              <w:rPr/>
              <w:t>5</w:t>
            </w:r>
          </w:p>
        </w:tc>
        <w:tc>
          <w:tcPr>
            <w:tcW w:w="4363" w:type="dxa"/>
            <w:tcBorders>
              <w:left w:val="single" w:sz="2" w:space="0" w:color="000000"/>
              <w:bottom w:val="single" w:sz="2" w:space="0" w:color="000000"/>
            </w:tcBorders>
            <w:vAlign w:val="center"/>
          </w:tcPr>
          <w:p>
            <w:pPr>
              <w:pStyle w:val="Normal"/>
              <w:widowControl w:val="false"/>
              <w:tabs>
                <w:tab w:val="clear" w:pos="708"/>
              </w:tabs>
              <w:jc w:val="center"/>
              <w:rPr>
                <w:b/>
                <w:b/>
              </w:rPr>
            </w:pPr>
            <w:r>
              <w:rPr/>
              <w:t>Картридж XEROX 106R01080 (совместимый)</w:t>
            </w:r>
          </w:p>
        </w:tc>
        <w:tc>
          <w:tcPr>
            <w:tcW w:w="960" w:type="dxa"/>
            <w:tcBorders>
              <w:left w:val="single" w:sz="2" w:space="0" w:color="000000"/>
              <w:bottom w:val="single" w:sz="2" w:space="0" w:color="000000"/>
            </w:tcBorders>
            <w:vAlign w:val="center"/>
          </w:tcPr>
          <w:p>
            <w:pPr>
              <w:pStyle w:val="Normal"/>
              <w:widowControl w:val="false"/>
              <w:tabs>
                <w:tab w:val="clear" w:pos="708"/>
              </w:tabs>
              <w:jc w:val="center"/>
              <w:rPr>
                <w:b/>
                <w:b/>
              </w:rPr>
            </w:pPr>
            <w:r>
              <w:rPr/>
              <w:t>Шт.</w:t>
            </w:r>
          </w:p>
        </w:tc>
        <w:tc>
          <w:tcPr>
            <w:tcW w:w="851" w:type="dxa"/>
            <w:tcBorders>
              <w:left w:val="single" w:sz="2" w:space="0" w:color="000000"/>
              <w:bottom w:val="single" w:sz="2" w:space="0" w:color="000000"/>
            </w:tcBorders>
            <w:vAlign w:val="center"/>
          </w:tcPr>
          <w:p>
            <w:pPr>
              <w:pStyle w:val="Normal"/>
              <w:widowControl w:val="false"/>
              <w:tabs>
                <w:tab w:val="clear" w:pos="708"/>
              </w:tabs>
              <w:jc w:val="center"/>
              <w:rPr>
                <w:b/>
                <w:b/>
              </w:rPr>
            </w:pPr>
            <w:r>
              <w:rPr/>
              <w:t>4</w:t>
            </w:r>
          </w:p>
        </w:tc>
        <w:tc>
          <w:tcPr>
            <w:tcW w:w="1739" w:type="dxa"/>
            <w:tcBorders>
              <w:left w:val="single" w:sz="2" w:space="0" w:color="000000"/>
              <w:bottom w:val="single" w:sz="2" w:space="0" w:color="000000"/>
            </w:tcBorders>
            <w:vAlign w:val="center"/>
          </w:tcPr>
          <w:p>
            <w:pPr>
              <w:pStyle w:val="Normal"/>
              <w:widowControl w:val="false"/>
              <w:tabs>
                <w:tab w:val="clear" w:pos="708"/>
              </w:tabs>
              <w:jc w:val="center"/>
              <w:rPr>
                <w:b/>
                <w:b/>
              </w:rPr>
            </w:pPr>
            <w:r>
              <w:rPr>
                <w:b/>
              </w:rPr>
            </w:r>
          </w:p>
        </w:tc>
        <w:tc>
          <w:tcPr>
            <w:tcW w:w="1924" w:type="dxa"/>
            <w:tcBorders>
              <w:left w:val="single" w:sz="2" w:space="0" w:color="000000"/>
              <w:bottom w:val="single" w:sz="2" w:space="0" w:color="000000"/>
              <w:right w:val="single" w:sz="2" w:space="0" w:color="000000"/>
            </w:tcBorders>
            <w:vAlign w:val="center"/>
          </w:tcPr>
          <w:p>
            <w:pPr>
              <w:pStyle w:val="Normal"/>
              <w:widowControl w:val="false"/>
              <w:tabs>
                <w:tab w:val="clear" w:pos="708"/>
              </w:tabs>
              <w:jc w:val="center"/>
              <w:rPr>
                <w:b/>
                <w:b/>
              </w:rPr>
            </w:pPr>
            <w:r>
              <w:rPr>
                <w:b/>
              </w:rPr>
            </w:r>
          </w:p>
        </w:tc>
      </w:tr>
      <w:tr>
        <w:trPr>
          <w:trHeight w:val="731" w:hRule="atLeast"/>
        </w:trPr>
        <w:tc>
          <w:tcPr>
            <w:tcW w:w="8563" w:type="dxa"/>
            <w:gridSpan w:val="5"/>
            <w:tcBorders>
              <w:left w:val="single" w:sz="2" w:space="0" w:color="000000"/>
              <w:bottom w:val="single" w:sz="2" w:space="0" w:color="000000"/>
            </w:tcBorders>
            <w:vAlign w:val="center"/>
          </w:tcPr>
          <w:p>
            <w:pPr>
              <w:pStyle w:val="Normal"/>
              <w:widowControl w:val="false"/>
              <w:tabs>
                <w:tab w:val="clear" w:pos="708"/>
              </w:tabs>
              <w:jc w:val="center"/>
              <w:rPr>
                <w:b/>
                <w:b/>
              </w:rPr>
            </w:pPr>
            <w:r>
              <w:rPr>
                <w:b/>
              </w:rPr>
              <w:t>ИТОГО</w:t>
            </w:r>
          </w:p>
        </w:tc>
        <w:tc>
          <w:tcPr>
            <w:tcW w:w="1924" w:type="dxa"/>
            <w:tcBorders>
              <w:left w:val="single" w:sz="2" w:space="0" w:color="000000"/>
              <w:bottom w:val="single" w:sz="2" w:space="0" w:color="000000"/>
              <w:right w:val="single" w:sz="2" w:space="0" w:color="000000"/>
            </w:tcBorders>
            <w:vAlign w:val="center"/>
          </w:tcPr>
          <w:p>
            <w:pPr>
              <w:pStyle w:val="Normal"/>
              <w:widowControl w:val="false"/>
              <w:tabs>
                <w:tab w:val="clear" w:pos="708"/>
              </w:tabs>
              <w:jc w:val="center"/>
              <w:rPr>
                <w:b/>
                <w:b/>
              </w:rPr>
            </w:pPr>
            <w:r>
              <w:rPr>
                <w:b/>
              </w:rPr>
            </w:r>
          </w:p>
        </w:tc>
      </w:tr>
    </w:tbl>
    <w:p>
      <w:pPr>
        <w:pStyle w:val="Normal"/>
        <w:rPr>
          <w:b/>
          <w:b/>
        </w:rPr>
      </w:pPr>
      <w:r>
        <w:rPr>
          <w:b/>
        </w:rPr>
      </w:r>
    </w:p>
    <w:p>
      <w:pPr>
        <w:pStyle w:val="Normal"/>
        <w:tabs>
          <w:tab w:val="clear" w:pos="708"/>
          <w:tab w:val="left" w:pos="4245" w:leader="none"/>
        </w:tabs>
        <w:jc w:val="right"/>
        <w:rPr>
          <w:b/>
          <w:b/>
        </w:rPr>
      </w:pPr>
      <w:r>
        <w:rPr>
          <w:b/>
        </w:rPr>
        <w:t xml:space="preserve">В том числе НДС – </w:t>
      </w:r>
    </w:p>
    <w:p>
      <w:pPr>
        <w:pStyle w:val="Normal"/>
        <w:tabs>
          <w:tab w:val="clear" w:pos="708"/>
          <w:tab w:val="left" w:pos="4245" w:leader="none"/>
        </w:tabs>
        <w:jc w:val="right"/>
        <w:rPr>
          <w:b/>
          <w:b/>
        </w:rPr>
      </w:pPr>
      <w:r>
        <w:rPr>
          <w:b/>
        </w:rPr>
      </w:r>
    </w:p>
    <w:p>
      <w:pPr>
        <w:pStyle w:val="Normal"/>
        <w:rPr/>
      </w:pPr>
      <w:r>
        <w:rPr/>
      </w:r>
    </w:p>
    <w:p>
      <w:pPr>
        <w:pStyle w:val="Normal"/>
        <w:ind w:left="142" w:hanging="0"/>
        <w:rPr/>
      </w:pPr>
      <w:r>
        <w:rPr/>
      </w:r>
    </w:p>
    <w:p>
      <w:pPr>
        <w:pStyle w:val="Normal"/>
        <w:tabs>
          <w:tab w:val="clear" w:pos="708"/>
          <w:tab w:val="left" w:pos="5325" w:leader="none"/>
          <w:tab w:val="left" w:pos="6315" w:leader="none"/>
        </w:tabs>
        <w:ind w:left="142" w:hanging="0"/>
        <w:rPr>
          <w:b/>
          <w:b/>
        </w:rPr>
      </w:pPr>
      <w:r>
        <w:rPr>
          <w:b/>
        </w:rPr>
        <w:t>Заказчик</w:t>
        <w:tab/>
        <w:t>Поставщик</w:t>
      </w:r>
    </w:p>
    <w:p>
      <w:pPr>
        <w:pStyle w:val="Normal"/>
        <w:tabs>
          <w:tab w:val="clear" w:pos="708"/>
          <w:tab w:val="left" w:pos="5325" w:leader="none"/>
          <w:tab w:val="left" w:pos="6315" w:leader="none"/>
        </w:tabs>
        <w:ind w:left="142" w:hanging="0"/>
        <w:rPr/>
      </w:pPr>
      <w:r>
        <w:rPr/>
      </w:r>
    </w:p>
    <w:tbl>
      <w:tblPr>
        <w:tblW w:w="9889"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5071"/>
        <w:gridCol w:w="4817"/>
      </w:tblGrid>
      <w:tr>
        <w:trPr/>
        <w:tc>
          <w:tcPr>
            <w:tcW w:w="5071" w:type="dxa"/>
            <w:tcBorders/>
          </w:tcPr>
          <w:p>
            <w:pPr>
              <w:pStyle w:val="Normal"/>
              <w:widowControl w:val="false"/>
              <w:tabs>
                <w:tab w:val="clear" w:pos="708"/>
                <w:tab w:val="left" w:pos="5325" w:leader="none"/>
                <w:tab w:val="left" w:pos="6315" w:leader="none"/>
              </w:tabs>
              <w:rPr/>
            </w:pPr>
            <w:r>
              <w:rPr>
                <w:bCs/>
              </w:rPr>
              <w:t>Руководитель</w:t>
            </w:r>
          </w:p>
          <w:p>
            <w:pPr>
              <w:pStyle w:val="Normal"/>
              <w:widowControl w:val="false"/>
              <w:tabs>
                <w:tab w:val="clear" w:pos="708"/>
                <w:tab w:val="left" w:pos="5325" w:leader="none"/>
                <w:tab w:val="left" w:pos="6315" w:leader="none"/>
              </w:tabs>
              <w:rPr>
                <w:bCs/>
              </w:rPr>
            </w:pPr>
            <w:r>
              <w:rPr>
                <w:bCs/>
              </w:rPr>
            </w:r>
          </w:p>
          <w:p>
            <w:pPr>
              <w:pStyle w:val="Normal"/>
              <w:widowControl w:val="false"/>
              <w:tabs>
                <w:tab w:val="clear" w:pos="708"/>
                <w:tab w:val="left" w:pos="5325" w:leader="none"/>
                <w:tab w:val="left" w:pos="6315" w:leader="none"/>
              </w:tabs>
              <w:rPr>
                <w:bCs/>
              </w:rPr>
            </w:pPr>
            <w:r>
              <w:rPr>
                <w:bCs/>
              </w:rPr>
            </w:r>
          </w:p>
          <w:p>
            <w:pPr>
              <w:pStyle w:val="Normal"/>
              <w:widowControl w:val="false"/>
              <w:tabs>
                <w:tab w:val="clear" w:pos="708"/>
                <w:tab w:val="left" w:pos="5325" w:leader="none"/>
                <w:tab w:val="left" w:pos="6315" w:leader="none"/>
              </w:tabs>
              <w:rPr>
                <w:bCs/>
              </w:rPr>
            </w:pPr>
            <w:r>
              <w:rPr>
                <w:bCs/>
              </w:rPr>
              <w:t>_____________________ С.И Чиркун.</w:t>
            </w:r>
          </w:p>
        </w:tc>
        <w:tc>
          <w:tcPr>
            <w:tcW w:w="4817" w:type="dxa"/>
            <w:tcBorders/>
          </w:tcPr>
          <w:p>
            <w:pPr>
              <w:pStyle w:val="Heading"/>
              <w:widowControl w:val="false"/>
              <w:rPr>
                <w:rFonts w:ascii="Times New Roman" w:hAnsi="Times New Roman" w:cs="Times New Roman"/>
                <w:b w:val="false"/>
                <w:b w:val="false"/>
                <w:color w:val="000000"/>
              </w:rPr>
            </w:pPr>
            <w:r>
              <w:rPr>
                <w:rFonts w:cs="Times New Roman" w:ascii="Times New Roman" w:hAnsi="Times New Roman"/>
                <w:b w:val="false"/>
                <w:color w:val="000000"/>
              </w:rPr>
            </w:r>
          </w:p>
          <w:p>
            <w:pPr>
              <w:pStyle w:val="Heading"/>
              <w:widowControl w:val="false"/>
              <w:rPr>
                <w:rFonts w:ascii="Times New Roman" w:hAnsi="Times New Roman" w:cs="Times New Roman"/>
                <w:b w:val="false"/>
                <w:b w:val="false"/>
                <w:color w:val="000000"/>
              </w:rPr>
            </w:pPr>
            <w:r>
              <w:rPr>
                <w:rFonts w:cs="Times New Roman" w:ascii="Times New Roman" w:hAnsi="Times New Roman"/>
                <w:b w:val="false"/>
                <w:color w:val="000000"/>
              </w:rPr>
            </w:r>
          </w:p>
          <w:p>
            <w:pPr>
              <w:pStyle w:val="Heading"/>
              <w:widowControl w:val="false"/>
              <w:rPr>
                <w:rFonts w:ascii="Times New Roman" w:hAnsi="Times New Roman" w:cs="Times New Roman"/>
                <w:b w:val="false"/>
                <w:b w:val="false"/>
                <w:color w:val="000000"/>
              </w:rPr>
            </w:pPr>
            <w:r>
              <w:rPr>
                <w:rFonts w:cs="Times New Roman" w:ascii="Times New Roman" w:hAnsi="Times New Roman"/>
                <w:b w:val="false"/>
                <w:color w:val="000000"/>
              </w:rPr>
            </w:r>
          </w:p>
          <w:p>
            <w:pPr>
              <w:pStyle w:val="Heading"/>
              <w:widowControl w:val="false"/>
              <w:rPr>
                <w:rFonts w:ascii="Times New Roman" w:hAnsi="Times New Roman" w:cs="Times New Roman"/>
                <w:b w:val="false"/>
                <w:b w:val="false"/>
                <w:color w:val="000000"/>
              </w:rPr>
            </w:pPr>
            <w:r>
              <w:rPr>
                <w:rFonts w:cs="Times New Roman" w:ascii="Times New Roman" w:hAnsi="Times New Roman"/>
                <w:b w:val="false"/>
                <w:color w:val="000000"/>
              </w:rPr>
              <w:t xml:space="preserve"> </w:t>
            </w:r>
            <w:r>
              <w:rPr>
                <w:rFonts w:cs="Times New Roman" w:ascii="Times New Roman" w:hAnsi="Times New Roman"/>
                <w:b w:val="false"/>
                <w:color w:val="000000"/>
              </w:rPr>
              <w:t>______________________</w:t>
            </w:r>
          </w:p>
          <w:p>
            <w:pPr>
              <w:pStyle w:val="Normal"/>
              <w:widowControl w:val="false"/>
              <w:rPr/>
            </w:pPr>
            <w:r>
              <w:rPr/>
            </w:r>
          </w:p>
        </w:tc>
      </w:tr>
    </w:tbl>
    <w:p>
      <w:pPr>
        <w:pStyle w:val="Normal"/>
        <w:jc w:val="center"/>
        <w:rPr>
          <w:b/>
          <w:b/>
        </w:rPr>
      </w:pPr>
      <w:r>
        <w:rPr>
          <w:b/>
        </w:rPr>
      </w:r>
    </w:p>
    <w:p>
      <w:pPr>
        <w:pStyle w:val="Normal"/>
        <w:jc w:val="center"/>
        <w:rPr/>
      </w:pPr>
      <w:r>
        <w:rPr/>
      </w:r>
    </w:p>
    <w:sectPr>
      <w:footerReference w:type="default" r:id="rId2"/>
      <w:type w:val="nextPage"/>
      <w:pgSz w:w="11906" w:h="16838"/>
      <w:pgMar w:left="720" w:right="720" w:gutter="0" w:header="0" w:top="720" w:footer="720" w:bottom="862"/>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Tahoma">
    <w:charset w:val="01"/>
    <w:family w:val="roman"/>
    <w:pitch w:val="variable"/>
  </w:font>
  <w:font w:name="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0</w:t>
    </w:r>
    <w:r>
      <w:rPr/>
      <w:fldChar w:fldCharType="end"/>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900"/>
        </w:tabs>
        <w:ind w:left="900" w:hanging="360"/>
      </w:pPr>
      <w:rPr/>
    </w:lvl>
    <w:lvl w:ilvl="1">
      <w:start w:val="1"/>
      <w:numFmt w:val="decimal"/>
      <w:lvlText w:val="%1.%2."/>
      <w:lvlJc w:val="left"/>
      <w:pPr>
        <w:tabs>
          <w:tab w:val="num" w:pos="0"/>
        </w:tabs>
        <w:ind w:left="1287" w:hanging="720"/>
      </w:pPr>
      <w:rPr/>
    </w:lvl>
    <w:lvl w:ilvl="2">
      <w:start w:val="1"/>
      <w:numFmt w:val="decimal"/>
      <w:lvlText w:val="%1.%2.%3."/>
      <w:lvlJc w:val="left"/>
      <w:pPr>
        <w:tabs>
          <w:tab w:val="num" w:pos="0"/>
        </w:tabs>
        <w:ind w:left="1314" w:hanging="720"/>
      </w:pPr>
      <w:rPr/>
    </w:lvl>
    <w:lvl w:ilvl="3">
      <w:start w:val="1"/>
      <w:numFmt w:val="decimal"/>
      <w:lvlText w:val="%1.%2.%3.%4."/>
      <w:lvlJc w:val="left"/>
      <w:pPr>
        <w:tabs>
          <w:tab w:val="num" w:pos="0"/>
        </w:tabs>
        <w:ind w:left="1701" w:hanging="1080"/>
      </w:pPr>
      <w:rPr/>
    </w:lvl>
    <w:lvl w:ilvl="4">
      <w:start w:val="1"/>
      <w:numFmt w:val="decimal"/>
      <w:lvlText w:val="%1.%2.%3.%4.%5."/>
      <w:lvlJc w:val="left"/>
      <w:pPr>
        <w:tabs>
          <w:tab w:val="num" w:pos="0"/>
        </w:tabs>
        <w:ind w:left="1728" w:hanging="1080"/>
      </w:pPr>
      <w:rPr/>
    </w:lvl>
    <w:lvl w:ilvl="5">
      <w:start w:val="1"/>
      <w:numFmt w:val="decimal"/>
      <w:lvlText w:val="%1.%2.%3.%4.%5.%6."/>
      <w:lvlJc w:val="left"/>
      <w:pPr>
        <w:tabs>
          <w:tab w:val="num" w:pos="0"/>
        </w:tabs>
        <w:ind w:left="2115" w:hanging="1440"/>
      </w:pPr>
      <w:rPr/>
    </w:lvl>
    <w:lvl w:ilvl="6">
      <w:start w:val="1"/>
      <w:numFmt w:val="decimal"/>
      <w:lvlText w:val="%1.%2.%3.%4.%5.%6.%7."/>
      <w:lvlJc w:val="left"/>
      <w:pPr>
        <w:tabs>
          <w:tab w:val="num" w:pos="0"/>
        </w:tabs>
        <w:ind w:left="2142" w:hanging="1440"/>
      </w:pPr>
      <w:rPr/>
    </w:lvl>
    <w:lvl w:ilvl="7">
      <w:start w:val="1"/>
      <w:numFmt w:val="decimal"/>
      <w:lvlText w:val="%1.%2.%3.%4.%5.%6.%7.%8."/>
      <w:lvlJc w:val="left"/>
      <w:pPr>
        <w:tabs>
          <w:tab w:val="num" w:pos="0"/>
        </w:tabs>
        <w:ind w:left="2529" w:hanging="1800"/>
      </w:pPr>
      <w:rPr/>
    </w:lvl>
    <w:lvl w:ilvl="8">
      <w:start w:val="1"/>
      <w:numFmt w:val="decimal"/>
      <w:lvlText w:val="%1.%2.%3.%4.%5.%6.%7.%8.%9."/>
      <w:lvlJc w:val="left"/>
      <w:pPr>
        <w:tabs>
          <w:tab w:val="num" w:pos="0"/>
        </w:tabs>
        <w:ind w:left="2556" w:hanging="1800"/>
      </w:pPr>
      <w:rPr/>
    </w:lvl>
  </w:abstractNum>
  <w:num w:numId="1">
    <w:abstractNumId w:val="1"/>
  </w:num>
  <w:num w:numId="2">
    <w:abstractNumId w:val="2"/>
  </w:num>
</w:numbering>
</file>

<file path=word/settings.xml><?xml version="1.0" encoding="utf-8"?>
<w:settings xmlns:w="http://schemas.openxmlformats.org/wordprocessingml/2006/main">
  <w:zoom w:percent="120"/>
  <w:embedSystemFonts/>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qFormat/>
    <w:pPr>
      <w:keepNext w:val="true"/>
      <w:ind w:firstLine="540"/>
      <w:outlineLvl w:val="0"/>
    </w:pPr>
    <w:rPr>
      <w:b/>
      <w:bCs/>
    </w:rPr>
  </w:style>
  <w:style w:type="paragraph" w:styleId="Heading2">
    <w:name w:val="Heading 2"/>
    <w:basedOn w:val="Normal"/>
    <w:next w:val="Normal"/>
    <w:link w:val="2"/>
    <w:qFormat/>
    <w:pPr>
      <w:keepNext w:val="true"/>
      <w:spacing w:before="240" w:after="60"/>
      <w:outlineLvl w:val="1"/>
    </w:pPr>
    <w:rPr>
      <w:rFonts w:ascii="Cambria" w:hAnsi="Cambria"/>
      <w:b/>
      <w:bCs/>
      <w:i/>
      <w:iCs/>
      <w:sz w:val="28"/>
      <w:szCs w:val="28"/>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keepNext w:val="true"/>
      <w:ind w:firstLine="540"/>
      <w:outlineLvl w:val="6"/>
    </w:pPr>
    <w:rPr>
      <w:sz w:val="28"/>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Style10" w:customStyle="1">
    <w:name w:val="Текст выноски Знак"/>
    <w:link w:val="BalloonText"/>
    <w:qFormat/>
    <w:rPr>
      <w:rFonts w:ascii="Tahoma" w:hAnsi="Tahoma" w:cs="Tahoma"/>
      <w:sz w:val="16"/>
      <w:szCs w:val="16"/>
    </w:rPr>
  </w:style>
  <w:style w:type="character" w:styleId="Style11" w:customStyle="1">
    <w:name w:val="Основной текст с отступом Знак"/>
    <w:qFormat/>
    <w:rPr>
      <w:sz w:val="24"/>
      <w:szCs w:val="24"/>
    </w:rPr>
  </w:style>
  <w:style w:type="character" w:styleId="Style12" w:customStyle="1">
    <w:name w:val="Нижний колонтитул Знак"/>
    <w:link w:val="Footer"/>
    <w:qFormat/>
    <w:rPr>
      <w:sz w:val="24"/>
      <w:szCs w:val="24"/>
    </w:rPr>
  </w:style>
  <w:style w:type="character" w:styleId="2" w:customStyle="1">
    <w:name w:val="Заголовок 2 Знак"/>
    <w:link w:val="Heading2"/>
    <w:qFormat/>
    <w:rPr>
      <w:rFonts w:ascii="Cambria" w:hAnsi="Cambria" w:eastAsia="Times New Roman" w:cs="Times New Roman"/>
      <w:b/>
      <w:bCs/>
      <w:i/>
      <w:iCs/>
      <w:sz w:val="28"/>
      <w:szCs w:val="28"/>
    </w:rPr>
  </w:style>
  <w:style w:type="character" w:styleId="21" w:customStyle="1">
    <w:name w:val="Основной текст 2 Знак"/>
    <w:link w:val="BodyText2"/>
    <w:qFormat/>
    <w:rPr>
      <w:sz w:val="24"/>
      <w:szCs w:val="24"/>
    </w:rPr>
  </w:style>
  <w:style w:type="paragraph" w:styleId="Heading" w:customStyle="1">
    <w:name w:val="Heading"/>
    <w:next w:val="TextBody"/>
    <w:qFormat/>
    <w:pPr>
      <w:widowControl/>
      <w:suppressAutoHyphens w:val="true"/>
      <w:bidi w:val="0"/>
      <w:spacing w:before="0" w:after="0"/>
      <w:jc w:val="left"/>
    </w:pPr>
    <w:rPr>
      <w:rFonts w:ascii="Arial" w:hAnsi="Arial" w:eastAsia="Times New Roman" w:cs="Arial"/>
      <w:b/>
      <w:bCs/>
      <w:color w:val="auto"/>
      <w:kern w:val="0"/>
      <w:sz w:val="22"/>
      <w:szCs w:val="22"/>
      <w:lang w:val="ru-RU" w:eastAsia="ru-RU" w:bidi="ar-SA"/>
    </w:rPr>
  </w:style>
  <w:style w:type="paragraph" w:styleId="TextBody">
    <w:name w:val="Body Text"/>
    <w:basedOn w:val="Normal"/>
    <w:pPr>
      <w:jc w:val="center"/>
    </w:pPr>
    <w:rPr>
      <w:sz w:val="22"/>
      <w:szCs w:val="20"/>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customStyle="1">
    <w:name w:val="Index"/>
    <w:basedOn w:val="Normal"/>
    <w:qFormat/>
    <w:pPr>
      <w:suppressLineNumbers/>
    </w:pPr>
    <w:rPr>
      <w:rFonts w:cs="Lohit Devanagari"/>
    </w:rPr>
  </w:style>
  <w:style w:type="paragraph" w:styleId="Caption1">
    <w:name w:val="caption"/>
    <w:basedOn w:val="Normal"/>
    <w:qFormat/>
    <w:pPr>
      <w:suppressLineNumbers/>
      <w:spacing w:before="120" w:after="120"/>
    </w:pPr>
    <w:rPr>
      <w:rFonts w:cs="Lohit Devanagari"/>
      <w:i/>
      <w:iCs/>
    </w:rPr>
  </w:style>
  <w:style w:type="paragraph" w:styleId="TextBodyIndent">
    <w:name w:val="Body Text Indent"/>
    <w:basedOn w:val="Normal"/>
    <w:link w:val="Style11"/>
    <w:pPr>
      <w:ind w:firstLine="540"/>
      <w:jc w:val="both"/>
    </w:pPr>
    <w:rPr/>
  </w:style>
  <w:style w:type="paragraph" w:styleId="Title">
    <w:name w:val="Title"/>
    <w:basedOn w:val="Normal"/>
    <w:qFormat/>
    <w:pPr>
      <w:jc w:val="center"/>
    </w:pPr>
    <w:rPr>
      <w:b/>
      <w:bCs/>
    </w:rPr>
  </w:style>
  <w:style w:type="paragraph" w:styleId="BodyTextIndent2">
    <w:name w:val="Body Text Indent 2"/>
    <w:basedOn w:val="Normal"/>
    <w:qFormat/>
    <w:pPr>
      <w:ind w:firstLine="540"/>
    </w:pPr>
    <w:rPr/>
  </w:style>
  <w:style w:type="paragraph" w:styleId="HeaderandFooter" w:customStyle="1">
    <w:name w:val="Header and Footer"/>
    <w:basedOn w:val="Normal"/>
    <w:qFormat/>
    <w:pPr/>
    <w:rPr/>
  </w:style>
  <w:style w:type="paragraph" w:styleId="Footer">
    <w:name w:val="Footer"/>
    <w:basedOn w:val="Normal"/>
    <w:link w:val="Style12"/>
    <w:pPr>
      <w:tabs>
        <w:tab w:val="clear" w:pos="708"/>
        <w:tab w:val="center" w:pos="4677" w:leader="none"/>
        <w:tab w:val="right" w:pos="9355" w:leader="none"/>
      </w:tabs>
    </w:pPr>
    <w:rPr/>
  </w:style>
  <w:style w:type="paragraph" w:styleId="BodyTextIndent3">
    <w:name w:val="Body Text Indent 3"/>
    <w:basedOn w:val="Normal"/>
    <w:qFormat/>
    <w:pPr>
      <w:spacing w:before="0" w:after="120"/>
      <w:ind w:left="283" w:hanging="0"/>
    </w:pPr>
    <w:rPr>
      <w:sz w:val="16"/>
      <w:szCs w:val="16"/>
    </w:rPr>
  </w:style>
  <w:style w:type="paragraph" w:styleId="ConsNormal" w:customStyle="1">
    <w:name w:val="ConsNormal"/>
    <w:qFormat/>
    <w:pPr>
      <w:widowControl w:val="false"/>
      <w:suppressAutoHyphens w:val="true"/>
      <w:bidi w:val="0"/>
      <w:spacing w:before="0" w:after="0"/>
      <w:ind w:right="19772" w:firstLine="720"/>
      <w:jc w:val="left"/>
    </w:pPr>
    <w:rPr>
      <w:rFonts w:ascii="Arial" w:hAnsi="Arial" w:eastAsia="Times New Roman" w:cs="Arial"/>
      <w:color w:val="auto"/>
      <w:kern w:val="0"/>
      <w:sz w:val="32"/>
      <w:szCs w:val="32"/>
      <w:lang w:val="ru-RU" w:eastAsia="ru-RU" w:bidi="ar-SA"/>
    </w:rPr>
  </w:style>
  <w:style w:type="paragraph" w:styleId="31" w:customStyle="1">
    <w:name w:val="аголовок 31"/>
    <w:basedOn w:val="Normal"/>
    <w:next w:val="Normal"/>
    <w:qFormat/>
    <w:pPr>
      <w:keepNext w:val="true"/>
      <w:jc w:val="both"/>
    </w:pPr>
    <w:rPr/>
  </w:style>
  <w:style w:type="paragraph" w:styleId="1" w:customStyle="1">
    <w:name w:val="Обычный1"/>
    <w:qFormat/>
    <w:pPr>
      <w:widowControl w:val="false"/>
      <w:suppressAutoHyphens w:val="true"/>
      <w:bidi w:val="0"/>
      <w:snapToGrid w:val="false"/>
      <w:spacing w:before="0" w:after="0"/>
      <w:ind w:firstLine="400"/>
      <w:jc w:val="both"/>
    </w:pPr>
    <w:rPr>
      <w:rFonts w:ascii="Times New Roman" w:hAnsi="Times New Roman" w:eastAsia="Times New Roman" w:cs="Times New Roman"/>
      <w:color w:val="auto"/>
      <w:kern w:val="0"/>
      <w:sz w:val="24"/>
      <w:szCs w:val="20"/>
      <w:lang w:val="ru-RU" w:eastAsia="ru-RU" w:bidi="ar-SA"/>
    </w:rPr>
  </w:style>
  <w:style w:type="paragraph" w:styleId="Header">
    <w:name w:val="Header"/>
    <w:basedOn w:val="Normal"/>
    <w:pPr>
      <w:tabs>
        <w:tab w:val="clear" w:pos="708"/>
        <w:tab w:val="center" w:pos="4677" w:leader="none"/>
        <w:tab w:val="right" w:pos="9355" w:leader="none"/>
      </w:tabs>
    </w:pPr>
    <w:rPr/>
  </w:style>
  <w:style w:type="paragraph" w:styleId="Style13" w:customStyle="1">
    <w:name w:val="Письмо"/>
    <w:basedOn w:val="Normal"/>
    <w:qFormat/>
    <w:pPr>
      <w:spacing w:lineRule="auto" w:line="360" w:before="120" w:after="0"/>
      <w:ind w:firstLine="720"/>
      <w:jc w:val="both"/>
    </w:pPr>
    <w:rPr>
      <w:szCs w:val="20"/>
    </w:rPr>
  </w:style>
  <w:style w:type="paragraph" w:styleId="Style14" w:customStyle="1">
    <w:name w:val="Абзац"/>
    <w:basedOn w:val="Normal"/>
    <w:qFormat/>
    <w:pPr>
      <w:spacing w:before="120" w:after="0"/>
      <w:ind w:firstLine="709"/>
      <w:jc w:val="both"/>
    </w:pPr>
    <w:rPr/>
  </w:style>
  <w:style w:type="paragraph" w:styleId="BalloonText">
    <w:name w:val="Balloon Text"/>
    <w:basedOn w:val="Normal"/>
    <w:link w:val="Style10"/>
    <w:qFormat/>
    <w:pPr/>
    <w:rPr>
      <w:rFonts w:ascii="Tahoma" w:hAnsi="Tahoma" w:cs="Tahoma"/>
      <w:sz w:val="16"/>
      <w:szCs w:val="16"/>
    </w:rPr>
  </w:style>
  <w:style w:type="paragraph" w:styleId="NoSpacing">
    <w:name w:val="No Spacing"/>
    <w:qFormat/>
    <w:pPr>
      <w:widowControl/>
      <w:suppressAutoHyphens w:val="true"/>
      <w:bidi w:val="0"/>
      <w:spacing w:before="0" w:after="0"/>
      <w:jc w:val="both"/>
    </w:pPr>
    <w:rPr>
      <w:rFonts w:ascii="Times New Roman" w:hAnsi="Times New Roman" w:eastAsia="Times New Roman" w:cs="Times New Roman"/>
      <w:color w:val="auto"/>
      <w:kern w:val="0"/>
      <w:sz w:val="24"/>
      <w:szCs w:val="24"/>
      <w:lang w:val="ru-RU" w:eastAsia="ru-RU" w:bidi="ar-SA"/>
    </w:rPr>
  </w:style>
  <w:style w:type="paragraph" w:styleId="BodyText2">
    <w:name w:val="Body Text 2"/>
    <w:basedOn w:val="Normal"/>
    <w:link w:val="21"/>
    <w:qFormat/>
    <w:pPr>
      <w:spacing w:lineRule="auto" w:line="480" w:before="0" w:after="120"/>
    </w:pPr>
    <w:rPr/>
  </w:style>
  <w:style w:type="paragraph" w:styleId="FrameContents" w:customStyle="1">
    <w:name w:val="Frame Contents"/>
    <w:basedOn w:val="Normal"/>
    <w:qFormat/>
    <w:pPr/>
    <w:rPr/>
  </w:style>
  <w:style w:type="paragraph" w:styleId="TableContents" w:customStyle="1">
    <w:name w:val="Table Contents"/>
    <w:basedOn w:val="Normal"/>
    <w:qFormat/>
    <w:pPr>
      <w:widowControl w:val="false"/>
      <w:suppressLineNumbers/>
    </w:pPr>
    <w:rPr/>
  </w:style>
  <w:style w:type="paragraph" w:styleId="TableHeading" w:customStyle="1">
    <w:name w:val="Table Heading"/>
    <w:basedOn w:val="TableContents"/>
    <w:qFormat/>
    <w:pPr>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558</TotalTime>
  <Application>LibreOffice/7.4.7.2$Linux_X86_64 LibreOffice_project/40$Build-2</Application>
  <AppVersion>15.0000</AppVersion>
  <Pages>4</Pages>
  <Words>1282</Words>
  <Characters>9060</Characters>
  <CharactersWithSpaces>10277</CharactersWithSpaces>
  <Paragraphs>102</Paragraphs>
  <Company>Яроблстат</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2021-11-17T13:32:00Z</dcterms:created>
  <dc:creator>adm697</dc:creator>
  <dc:description/>
  <dc:language>ru-RU</dc:language>
  <cp:lastModifiedBy/>
  <cp:lastPrinted>2023-06-08T10:26:00Z</cp:lastPrinted>
  <dcterms:modified xsi:type="dcterms:W3CDTF">2026-04-15T09:57:03Z</dcterms:modified>
  <cp:revision>46</cp:revision>
  <dc:subject/>
  <dc:title/>
</cp:coreProperties>
</file>

<file path=docProps/custom.xml><?xml version="1.0" encoding="utf-8"?>
<Properties xmlns="http://schemas.openxmlformats.org/officeDocument/2006/custom-properties" xmlns:vt="http://schemas.openxmlformats.org/officeDocument/2006/docPropsVTypes"/>
</file>