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677AB1" w:rsidTr="0000479E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677AB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677AB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677AB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074B1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Количество</w:t>
            </w:r>
            <w:r w:rsidR="00B43AE3">
              <w:rPr>
                <w:color w:val="000000"/>
                <w:sz w:val="20"/>
                <w:szCs w:val="20"/>
              </w:rPr>
              <w:t xml:space="preserve">, </w:t>
            </w:r>
            <w:r w:rsidR="00074B19">
              <w:rPr>
                <w:color w:val="000000"/>
                <w:sz w:val="20"/>
                <w:szCs w:val="20"/>
              </w:rPr>
              <w:t>шт</w:t>
            </w:r>
            <w:r w:rsidR="00D41A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677AB1" w:rsidTr="0000479E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4B19" w:rsidRPr="00677AB1" w:rsidTr="007B218F">
        <w:trPr>
          <w:cantSplit/>
          <w:trHeight w:val="143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074B19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19" w:rsidRPr="00677AB1" w:rsidRDefault="00074B19" w:rsidP="008C6C6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rFonts w:eastAsiaTheme="minorHAnsi"/>
                <w:sz w:val="20"/>
                <w:szCs w:val="20"/>
                <w:lang w:eastAsia="en-US"/>
              </w:rPr>
              <w:t xml:space="preserve">Переплёт архивных документов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A815C5" w:rsidRDefault="004D1285" w:rsidP="008C6C6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1285">
              <w:rPr>
                <w:color w:val="000000"/>
                <w:sz w:val="20"/>
                <w:szCs w:val="20"/>
                <w:lang w:val="en-US"/>
              </w:rPr>
              <w:t>525.00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A815C5" w:rsidRDefault="004D1285" w:rsidP="00A815C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1285">
              <w:rPr>
                <w:color w:val="000000"/>
                <w:sz w:val="20"/>
                <w:szCs w:val="20"/>
                <w:lang w:val="en-US"/>
              </w:rPr>
              <w:t>550.00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677AB1" w:rsidRDefault="004D1285" w:rsidP="008C6C69">
            <w:pPr>
              <w:jc w:val="center"/>
              <w:rPr>
                <w:color w:val="000000"/>
                <w:sz w:val="20"/>
                <w:szCs w:val="20"/>
              </w:rPr>
            </w:pPr>
            <w:r w:rsidRPr="004D1285">
              <w:rPr>
                <w:color w:val="000000"/>
                <w:sz w:val="20"/>
                <w:szCs w:val="20"/>
                <w:lang w:val="en-US"/>
              </w:rPr>
              <w:t>575.00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4D1285" w:rsidP="008C6C69">
            <w:pPr>
              <w:jc w:val="center"/>
              <w:rPr>
                <w:sz w:val="20"/>
                <w:szCs w:val="20"/>
              </w:rPr>
            </w:pPr>
            <w:r w:rsidRPr="004D1285">
              <w:rPr>
                <w:sz w:val="20"/>
                <w:szCs w:val="20"/>
              </w:rPr>
              <w:t>550.00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4D1285" w:rsidP="008C6C69">
            <w:pPr>
              <w:jc w:val="center"/>
              <w:rPr>
                <w:sz w:val="20"/>
                <w:szCs w:val="20"/>
              </w:rPr>
            </w:pPr>
            <w:r w:rsidRPr="004D128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4D1285" w:rsidP="008C6C69">
            <w:pPr>
              <w:jc w:val="center"/>
              <w:rPr>
                <w:sz w:val="20"/>
                <w:szCs w:val="20"/>
              </w:rPr>
            </w:pPr>
            <w:r w:rsidRPr="004D1285">
              <w:rPr>
                <w:sz w:val="20"/>
                <w:szCs w:val="20"/>
              </w:rPr>
              <w:t>4.55%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074B19" w:rsidRDefault="00A815C5" w:rsidP="007B26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7</w:t>
            </w:r>
            <w:r w:rsidR="007B265A">
              <w:rPr>
                <w:rFonts w:eastAsiaTheme="minorHAnsi"/>
                <w:sz w:val="20"/>
                <w:szCs w:val="20"/>
                <w:lang w:val="en-US" w:eastAsia="en-US"/>
              </w:rPr>
              <w:t>0</w:t>
            </w:r>
            <w:r w:rsidR="00074B19">
              <w:rPr>
                <w:rFonts w:eastAsiaTheme="minorHAnsi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3F0119" w:rsidRDefault="004D1285" w:rsidP="008C6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1285">
              <w:rPr>
                <w:rFonts w:eastAsiaTheme="minorHAnsi"/>
                <w:sz w:val="20"/>
                <w:szCs w:val="20"/>
                <w:lang w:eastAsia="en-US"/>
              </w:rPr>
              <w:t>385000.00</w:t>
            </w:r>
          </w:p>
        </w:tc>
      </w:tr>
      <w:tr w:rsidR="00822A2F" w:rsidRPr="00677AB1" w:rsidTr="0000479E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3D5916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3D5916" w:rsidRDefault="004D1285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4D1285">
              <w:rPr>
                <w:color w:val="000000"/>
                <w:sz w:val="20"/>
                <w:szCs w:val="20"/>
              </w:rPr>
              <w:t>385000.00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33B37" w:rsidRDefault="00633B37">
      <w:pPr>
        <w:rPr>
          <w:sz w:val="22"/>
          <w:szCs w:val="22"/>
        </w:rPr>
      </w:pPr>
      <w:r>
        <w:rPr>
          <w:szCs w:val="22"/>
        </w:rPr>
        <w:br w:type="page"/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lastRenderedPageBreak/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0479E"/>
    <w:rsid w:val="00013EE5"/>
    <w:rsid w:val="00074B19"/>
    <w:rsid w:val="00090173"/>
    <w:rsid w:val="000A0787"/>
    <w:rsid w:val="000A08E0"/>
    <w:rsid w:val="000E4410"/>
    <w:rsid w:val="000F5C5A"/>
    <w:rsid w:val="00117891"/>
    <w:rsid w:val="00124074"/>
    <w:rsid w:val="00143287"/>
    <w:rsid w:val="0015655F"/>
    <w:rsid w:val="00161425"/>
    <w:rsid w:val="001A426C"/>
    <w:rsid w:val="001E261D"/>
    <w:rsid w:val="001E671B"/>
    <w:rsid w:val="0020378F"/>
    <w:rsid w:val="00251C81"/>
    <w:rsid w:val="00252EEC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46FB"/>
    <w:rsid w:val="00471486"/>
    <w:rsid w:val="00497A00"/>
    <w:rsid w:val="004C2485"/>
    <w:rsid w:val="004D10AD"/>
    <w:rsid w:val="004D1285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14C6"/>
    <w:rsid w:val="00562054"/>
    <w:rsid w:val="00572FE8"/>
    <w:rsid w:val="00590705"/>
    <w:rsid w:val="005A491F"/>
    <w:rsid w:val="005D6DA5"/>
    <w:rsid w:val="0062025B"/>
    <w:rsid w:val="00633B37"/>
    <w:rsid w:val="006472AD"/>
    <w:rsid w:val="006650EA"/>
    <w:rsid w:val="00677AB1"/>
    <w:rsid w:val="006A3E8D"/>
    <w:rsid w:val="006A601E"/>
    <w:rsid w:val="006B78E9"/>
    <w:rsid w:val="006C18F3"/>
    <w:rsid w:val="006E4961"/>
    <w:rsid w:val="006E50DE"/>
    <w:rsid w:val="00714AC8"/>
    <w:rsid w:val="00732F5A"/>
    <w:rsid w:val="00733D61"/>
    <w:rsid w:val="00752A39"/>
    <w:rsid w:val="00754D4E"/>
    <w:rsid w:val="00755923"/>
    <w:rsid w:val="00766A93"/>
    <w:rsid w:val="00771FDD"/>
    <w:rsid w:val="0078668A"/>
    <w:rsid w:val="007B265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2A73"/>
    <w:rsid w:val="009275DD"/>
    <w:rsid w:val="00932D3A"/>
    <w:rsid w:val="00935908"/>
    <w:rsid w:val="00953E39"/>
    <w:rsid w:val="00962B9D"/>
    <w:rsid w:val="0098763E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815C5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20A3A"/>
    <w:rsid w:val="00E76DF3"/>
    <w:rsid w:val="00E94634"/>
    <w:rsid w:val="00ED2B53"/>
    <w:rsid w:val="00EE16FD"/>
    <w:rsid w:val="00EF08AF"/>
    <w:rsid w:val="00F03D98"/>
    <w:rsid w:val="00F11C31"/>
    <w:rsid w:val="00F13258"/>
    <w:rsid w:val="00F26D24"/>
    <w:rsid w:val="00F44384"/>
    <w:rsid w:val="00F6408A"/>
    <w:rsid w:val="00F90DA2"/>
    <w:rsid w:val="00F94870"/>
    <w:rsid w:val="00F966D8"/>
    <w:rsid w:val="00FA1C3A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29725ED7</Template>
  <TotalTime>655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143</cp:revision>
  <cp:lastPrinted>2021-12-22T09:09:00Z</cp:lastPrinted>
  <dcterms:created xsi:type="dcterms:W3CDTF">2018-03-02T07:45:00Z</dcterms:created>
  <dcterms:modified xsi:type="dcterms:W3CDTF">2026-04-17T11:28:00Z</dcterms:modified>
</cp:coreProperties>
</file>