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5364B">
      <w:pPr>
        <w:pStyle w:val="4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№1 к Извещению</w:t>
      </w:r>
    </w:p>
    <w:p w14:paraId="003A8F80">
      <w:pPr>
        <w:pStyle w:val="4"/>
        <w:ind w:left="708"/>
        <w:jc w:val="center"/>
        <w:rPr>
          <w:b/>
          <w:bCs/>
          <w:sz w:val="22"/>
          <w:szCs w:val="22"/>
        </w:rPr>
      </w:pPr>
    </w:p>
    <w:p w14:paraId="07FDD571">
      <w:pPr>
        <w:pStyle w:val="4"/>
        <w:ind w:left="70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Описание объекта закупки</w:t>
      </w:r>
    </w:p>
    <w:p w14:paraId="2D8CAE2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3"/>
        <w:tblpPr w:leftFromText="180" w:rightFromText="180" w:vertAnchor="text" w:horzAnchor="margin" w:tblpXSpec="center" w:tblpY="134"/>
        <w:tblW w:w="143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672"/>
        <w:gridCol w:w="1207"/>
        <w:gridCol w:w="1487"/>
        <w:gridCol w:w="1446"/>
        <w:gridCol w:w="1701"/>
        <w:gridCol w:w="2693"/>
        <w:gridCol w:w="1559"/>
        <w:gridCol w:w="709"/>
        <w:gridCol w:w="1134"/>
      </w:tblGrid>
      <w:tr w14:paraId="749ED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04" w:type="dxa"/>
            <w:vMerge w:val="restart"/>
            <w:shd w:val="clear" w:color="auto" w:fill="auto"/>
            <w:noWrap/>
          </w:tcPr>
          <w:p w14:paraId="291337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672" w:type="dxa"/>
            <w:vMerge w:val="restart"/>
          </w:tcPr>
          <w:p w14:paraId="28A8B44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товара</w:t>
            </w:r>
          </w:p>
        </w:tc>
        <w:tc>
          <w:tcPr>
            <w:tcW w:w="1207" w:type="dxa"/>
            <w:vMerge w:val="restart"/>
          </w:tcPr>
          <w:p w14:paraId="72C574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Код позиции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ОКПД 2/</w:t>
            </w:r>
          </w:p>
          <w:p w14:paraId="1EF11BB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КТРУ</w:t>
            </w:r>
          </w:p>
        </w:tc>
        <w:tc>
          <w:tcPr>
            <w:tcW w:w="2933" w:type="dxa"/>
            <w:gridSpan w:val="2"/>
          </w:tcPr>
          <w:p w14:paraId="52B72E7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Характеристика товара</w:t>
            </w:r>
          </w:p>
          <w:p w14:paraId="2F95978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57A95821">
            <w:pPr>
              <w:tabs>
                <w:tab w:val="left" w:pos="33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Тип характеристики</w:t>
            </w:r>
          </w:p>
        </w:tc>
        <w:tc>
          <w:tcPr>
            <w:tcW w:w="2693" w:type="dxa"/>
            <w:vMerge w:val="restart"/>
          </w:tcPr>
          <w:p w14:paraId="3C0882D3">
            <w:pPr>
              <w:tabs>
                <w:tab w:val="left" w:pos="33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1559" w:type="dxa"/>
            <w:vMerge w:val="restart"/>
          </w:tcPr>
          <w:p w14:paraId="636B748B">
            <w:pPr>
              <w:tabs>
                <w:tab w:val="left" w:pos="33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Обоснование дополнительной информации 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instrText xml:space="preserve"> HYPERLINK "consultantplus://offline/ref=C224DF9DFE4914406A4DF822D09ECC8D18487FD084133F73E1753E8A63538CE487DC96A0BE17ABD4Y6kFG" </w:instrTex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пп. 5</w:t>
            </w: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fldChar w:fldCharType="end"/>
            </w: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 xml:space="preserve">,6 Правил использования КТРУ, </w:t>
            </w: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утверждённых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 xml:space="preserve"> ПП РФ от 08.02.2017 № 145)</w:t>
            </w:r>
          </w:p>
        </w:tc>
        <w:tc>
          <w:tcPr>
            <w:tcW w:w="709" w:type="dxa"/>
            <w:vMerge w:val="restart"/>
            <w:shd w:val="clear" w:color="auto" w:fill="auto"/>
            <w:noWrap/>
          </w:tcPr>
          <w:p w14:paraId="7BD2BAE7">
            <w:pPr>
              <w:tabs>
                <w:tab w:val="left" w:pos="33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1134" w:type="dxa"/>
            <w:vMerge w:val="restart"/>
            <w:shd w:val="clear" w:color="auto" w:fill="auto"/>
            <w:noWrap/>
          </w:tcPr>
          <w:p w14:paraId="44C1EE6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Единица измерения</w:t>
            </w:r>
          </w:p>
        </w:tc>
      </w:tr>
      <w:tr w14:paraId="2B42F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704" w:type="dxa"/>
            <w:vMerge w:val="continue"/>
            <w:shd w:val="clear" w:color="auto" w:fill="auto"/>
            <w:noWrap/>
          </w:tcPr>
          <w:p w14:paraId="0E44B6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72" w:type="dxa"/>
            <w:vMerge w:val="continue"/>
          </w:tcPr>
          <w:p w14:paraId="3A227A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vMerge w:val="continue"/>
          </w:tcPr>
          <w:p w14:paraId="6F306EB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</w:tcPr>
          <w:p w14:paraId="67174E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446" w:type="dxa"/>
          </w:tcPr>
          <w:p w14:paraId="484EE15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Значение характеристики</w:t>
            </w:r>
          </w:p>
        </w:tc>
        <w:tc>
          <w:tcPr>
            <w:tcW w:w="1701" w:type="dxa"/>
            <w:vMerge w:val="continue"/>
            <w:shd w:val="clear" w:color="auto" w:fill="auto"/>
          </w:tcPr>
          <w:p w14:paraId="60521DAA">
            <w:pPr>
              <w:tabs>
                <w:tab w:val="left" w:pos="334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 w:val="continue"/>
          </w:tcPr>
          <w:p w14:paraId="7829F969">
            <w:pPr>
              <w:tabs>
                <w:tab w:val="left" w:pos="334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continue"/>
          </w:tcPr>
          <w:p w14:paraId="51ABC312">
            <w:pPr>
              <w:tabs>
                <w:tab w:val="left" w:pos="334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shd w:val="clear" w:color="auto" w:fill="auto"/>
            <w:noWrap/>
          </w:tcPr>
          <w:p w14:paraId="08FA2B60">
            <w:pPr>
              <w:tabs>
                <w:tab w:val="left" w:pos="33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/>
          </w:tcPr>
          <w:p w14:paraId="107A3E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14:paraId="695E9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" w:hRule="atLeast"/>
        </w:trPr>
        <w:tc>
          <w:tcPr>
            <w:tcW w:w="704" w:type="dxa"/>
            <w:shd w:val="clear" w:color="auto" w:fill="auto"/>
            <w:noWrap/>
          </w:tcPr>
          <w:p w14:paraId="1AC21D3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2" w:type="dxa"/>
          </w:tcPr>
          <w:p w14:paraId="044B94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07" w:type="dxa"/>
          </w:tcPr>
          <w:p w14:paraId="0A0226C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87" w:type="dxa"/>
          </w:tcPr>
          <w:p w14:paraId="5AD6B50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1446" w:type="dxa"/>
          </w:tcPr>
          <w:p w14:paraId="553A9A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7DBC0AA2">
            <w:pPr>
              <w:tabs>
                <w:tab w:val="left" w:pos="33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693" w:type="dxa"/>
          </w:tcPr>
          <w:p w14:paraId="6217C448">
            <w:pPr>
              <w:tabs>
                <w:tab w:val="left" w:pos="33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14:paraId="4A8163C0">
            <w:pPr>
              <w:tabs>
                <w:tab w:val="left" w:pos="33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</w:tcPr>
          <w:p w14:paraId="2D7C23B6">
            <w:pPr>
              <w:tabs>
                <w:tab w:val="left" w:pos="33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</w:tcPr>
          <w:p w14:paraId="6864F8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  <w:t>10</w:t>
            </w:r>
          </w:p>
        </w:tc>
      </w:tr>
      <w:tr w14:paraId="0CB7E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704" w:type="dxa"/>
            <w:vMerge w:val="restart"/>
            <w:shd w:val="clear" w:color="auto" w:fill="auto"/>
            <w:noWrap/>
            <w:vAlign w:val="center"/>
          </w:tcPr>
          <w:p w14:paraId="2BE2437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1672" w:type="dxa"/>
            <w:vMerge w:val="restart"/>
            <w:vAlign w:val="center"/>
          </w:tcPr>
          <w:p w14:paraId="0CDACFD8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36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Рыба</w:t>
            </w:r>
          </w:p>
          <w:p w14:paraId="5A00F217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hint="default" w:ascii="Times New Roman" w:hAnsi="Times New Roman" w:cs="Times New Roman"/>
                <w:color w:val="000000" w:themeColor="text1"/>
                <w:kern w:val="36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36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мороженая</w:t>
            </w:r>
          </w:p>
          <w:p w14:paraId="5A28D08D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hint="default"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</w:p>
        </w:tc>
        <w:tc>
          <w:tcPr>
            <w:tcW w:w="1207" w:type="dxa"/>
            <w:vMerge w:val="restart"/>
          </w:tcPr>
          <w:p w14:paraId="66C8D6F7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  <w:p w14:paraId="618B4D13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  <w:p w14:paraId="74E95AE6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  <w:p w14:paraId="7E5F1E77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  <w:p w14:paraId="1F71AC3D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  <w:p w14:paraId="6D894321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  <w:p w14:paraId="39D7F6A4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  <w:p w14:paraId="316FF311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  <w:p w14:paraId="2FC6403F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  <w:p w14:paraId="1305C46F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  <w:p w14:paraId="50E8250A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hint="default"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10.20.14.120/</w:t>
            </w:r>
            <w:r>
              <w:rPr>
                <w:rFonts w:hint="default" w:ascii="Times New Roman" w:hAnsi="Times New Roman" w:eastAsia="Arial" w:cs="Times New Roman"/>
                <w:sz w:val="18"/>
                <w:szCs w:val="18"/>
                <w:shd w:val="clear" w:color="auto" w:fill="FFFFFF"/>
              </w:rPr>
              <w:t>10.20.14.120-00000005</w:t>
            </w:r>
          </w:p>
        </w:tc>
        <w:tc>
          <w:tcPr>
            <w:tcW w:w="1487" w:type="dxa"/>
          </w:tcPr>
          <w:p w14:paraId="25151034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sz w:val="18"/>
                <w:szCs w:val="18"/>
              </w:rPr>
              <w:t xml:space="preserve">Вид рыбы </w:t>
            </w:r>
          </w:p>
        </w:tc>
        <w:tc>
          <w:tcPr>
            <w:tcW w:w="1446" w:type="dxa"/>
          </w:tcPr>
          <w:p w14:paraId="22D92B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sz w:val="18"/>
                <w:szCs w:val="18"/>
              </w:rPr>
              <w:t>минтай</w:t>
            </w:r>
          </w:p>
        </w:tc>
        <w:tc>
          <w:tcPr>
            <w:tcW w:w="1701" w:type="dxa"/>
            <w:shd w:val="clear" w:color="auto" w:fill="auto"/>
          </w:tcPr>
          <w:p w14:paraId="7EC66B06">
            <w:pPr>
              <w:tabs>
                <w:tab w:val="left" w:pos="334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Arial" w:cs="Times New Roman"/>
                <w:kern w:val="2"/>
                <w:sz w:val="18"/>
                <w:szCs w:val="18"/>
              </w:rPr>
              <w:t>Качественная характеристика</w:t>
            </w:r>
          </w:p>
        </w:tc>
        <w:tc>
          <w:tcPr>
            <w:tcW w:w="2693" w:type="dxa"/>
            <w:shd w:val="clear" w:color="auto" w:fill="auto"/>
          </w:tcPr>
          <w:p w14:paraId="2B9A0490">
            <w:pPr>
              <w:tabs>
                <w:tab w:val="left" w:pos="334"/>
              </w:tabs>
              <w:spacing w:after="0" w:line="240" w:lineRule="auto"/>
              <w:jc w:val="both"/>
              <w:rPr>
                <w:rFonts w:hint="default" w:ascii="Times New Roman" w:hAnsi="Times New Roman" w:eastAsia="Arial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sz w:val="18"/>
                <w:szCs w:val="18"/>
                <w:lang w:eastAsia="hi-IN" w:bidi="hi-I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9" w:type="dxa"/>
            <w:vMerge w:val="restart"/>
          </w:tcPr>
          <w:p w14:paraId="09BD29B4">
            <w:pPr>
              <w:tabs>
                <w:tab w:val="left" w:pos="334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  <w:t>В соответствии с КТРУ</w:t>
            </w:r>
          </w:p>
          <w:p w14:paraId="7EEBE7E4">
            <w:pPr>
              <w:tabs>
                <w:tab w:val="left" w:pos="334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</w:tcPr>
          <w:p w14:paraId="4A3B20D1">
            <w:pPr>
              <w:tabs>
                <w:tab w:val="left" w:pos="33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  <w:lang w:val="ru-RU"/>
              </w:rPr>
              <w:t>60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14:paraId="7825C8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  <w:t>Килограмм</w:t>
            </w:r>
          </w:p>
        </w:tc>
      </w:tr>
      <w:tr w14:paraId="0454D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704" w:type="dxa"/>
            <w:vMerge w:val="continue"/>
            <w:shd w:val="clear" w:color="auto" w:fill="auto"/>
            <w:noWrap/>
          </w:tcPr>
          <w:p w14:paraId="38DC11D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72" w:type="dxa"/>
            <w:vMerge w:val="continue"/>
          </w:tcPr>
          <w:p w14:paraId="75EBBBE8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hint="default"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</w:p>
        </w:tc>
        <w:tc>
          <w:tcPr>
            <w:tcW w:w="1207" w:type="dxa"/>
            <w:vMerge w:val="continue"/>
          </w:tcPr>
          <w:p w14:paraId="392D966C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hint="default" w:ascii="Times New Roman" w:hAnsi="Times New Roman" w:cs="Times New Roman"/>
                <w:bCs/>
                <w:color w:val="000000"/>
                <w:kern w:val="36"/>
                <w:sz w:val="18"/>
                <w:szCs w:val="18"/>
              </w:rPr>
            </w:pPr>
          </w:p>
        </w:tc>
        <w:tc>
          <w:tcPr>
            <w:tcW w:w="1487" w:type="dxa"/>
          </w:tcPr>
          <w:p w14:paraId="6FD1AF31">
            <w:pPr>
              <w:spacing w:after="255"/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Филе минтая </w:t>
            </w:r>
          </w:p>
          <w:p w14:paraId="6D24A86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46" w:type="dxa"/>
          </w:tcPr>
          <w:p w14:paraId="7BF3D9A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  <w:t>без кожи</w:t>
            </w:r>
          </w:p>
        </w:tc>
        <w:tc>
          <w:tcPr>
            <w:tcW w:w="1701" w:type="dxa"/>
            <w:shd w:val="clear" w:color="auto" w:fill="auto"/>
          </w:tcPr>
          <w:p w14:paraId="1CD0F96C">
            <w:pPr>
              <w:tabs>
                <w:tab w:val="left" w:pos="334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Arial" w:cs="Times New Roman"/>
                <w:kern w:val="2"/>
                <w:sz w:val="18"/>
                <w:szCs w:val="18"/>
              </w:rPr>
              <w:t>Качественная характеристика</w:t>
            </w:r>
          </w:p>
        </w:tc>
        <w:tc>
          <w:tcPr>
            <w:tcW w:w="2693" w:type="dxa"/>
            <w:shd w:val="clear" w:color="auto" w:fill="auto"/>
          </w:tcPr>
          <w:p w14:paraId="04D350FD">
            <w:pPr>
              <w:tabs>
                <w:tab w:val="left" w:pos="334"/>
              </w:tabs>
              <w:spacing w:after="0" w:line="240" w:lineRule="auto"/>
              <w:jc w:val="both"/>
              <w:rPr>
                <w:rFonts w:hint="default" w:ascii="Times New Roman" w:hAnsi="Times New Roman" w:eastAsia="Arial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sz w:val="18"/>
                <w:szCs w:val="18"/>
                <w:lang w:eastAsia="hi-IN" w:bidi="hi-I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9" w:type="dxa"/>
            <w:vMerge w:val="continue"/>
          </w:tcPr>
          <w:p w14:paraId="5487E032">
            <w:pPr>
              <w:tabs>
                <w:tab w:val="left" w:pos="334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shd w:val="clear" w:color="auto" w:fill="auto"/>
            <w:noWrap/>
          </w:tcPr>
          <w:p w14:paraId="205C5539">
            <w:pPr>
              <w:tabs>
                <w:tab w:val="left" w:pos="33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/>
          </w:tcPr>
          <w:p w14:paraId="40FBE1E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14:paraId="14998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704" w:type="dxa"/>
            <w:vMerge w:val="continue"/>
            <w:shd w:val="clear" w:color="auto" w:fill="auto"/>
            <w:noWrap/>
          </w:tcPr>
          <w:p w14:paraId="1E54214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72" w:type="dxa"/>
            <w:vMerge w:val="continue"/>
          </w:tcPr>
          <w:p w14:paraId="69A6CD6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vMerge w:val="continue"/>
          </w:tcPr>
          <w:p w14:paraId="0FBF233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</w:tcPr>
          <w:p w14:paraId="2DEB1D8B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  <w:t>Сорт рыбы</w:t>
            </w:r>
          </w:p>
        </w:tc>
        <w:tc>
          <w:tcPr>
            <w:tcW w:w="1446" w:type="dxa"/>
          </w:tcPr>
          <w:p w14:paraId="4A6B0E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iCs/>
                <w:sz w:val="18"/>
                <w:szCs w:val="18"/>
              </w:rPr>
              <w:t>Высшая, А</w:t>
            </w:r>
          </w:p>
        </w:tc>
        <w:tc>
          <w:tcPr>
            <w:tcW w:w="1701" w:type="dxa"/>
            <w:shd w:val="clear" w:color="auto" w:fill="auto"/>
          </w:tcPr>
          <w:p w14:paraId="2E408E16">
            <w:pPr>
              <w:tabs>
                <w:tab w:val="left" w:pos="334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Arial" w:cs="Times New Roman"/>
                <w:kern w:val="2"/>
                <w:sz w:val="18"/>
                <w:szCs w:val="18"/>
              </w:rPr>
              <w:t>Качественная характеристика</w:t>
            </w:r>
          </w:p>
        </w:tc>
        <w:tc>
          <w:tcPr>
            <w:tcW w:w="2693" w:type="dxa"/>
            <w:shd w:val="clear" w:color="auto" w:fill="auto"/>
          </w:tcPr>
          <w:p w14:paraId="47D2B933">
            <w:pPr>
              <w:tabs>
                <w:tab w:val="left" w:pos="334"/>
              </w:tabs>
              <w:spacing w:after="0" w:line="240" w:lineRule="auto"/>
              <w:jc w:val="both"/>
              <w:rPr>
                <w:rFonts w:hint="default" w:ascii="Times New Roman" w:hAnsi="Times New Roman" w:eastAsia="Arial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sz w:val="18"/>
                <w:szCs w:val="18"/>
                <w:lang w:eastAsia="hi-IN" w:bidi="hi-I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9" w:type="dxa"/>
            <w:vMerge w:val="continue"/>
          </w:tcPr>
          <w:p w14:paraId="51F6477B">
            <w:pPr>
              <w:tabs>
                <w:tab w:val="left" w:pos="334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shd w:val="clear" w:color="auto" w:fill="auto"/>
            <w:noWrap/>
          </w:tcPr>
          <w:p w14:paraId="16CA44C0">
            <w:pPr>
              <w:tabs>
                <w:tab w:val="left" w:pos="33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/>
          </w:tcPr>
          <w:p w14:paraId="710ED9B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14:paraId="71B62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7" w:hRule="atLeast"/>
        </w:trPr>
        <w:tc>
          <w:tcPr>
            <w:tcW w:w="704" w:type="dxa"/>
            <w:vMerge w:val="continue"/>
            <w:shd w:val="clear" w:color="auto" w:fill="auto"/>
            <w:noWrap/>
          </w:tcPr>
          <w:p w14:paraId="06F639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72" w:type="dxa"/>
            <w:vMerge w:val="continue"/>
          </w:tcPr>
          <w:p w14:paraId="58648C8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vMerge w:val="continue"/>
          </w:tcPr>
          <w:p w14:paraId="65B80B8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</w:tcPr>
          <w:p w14:paraId="0A311E86">
            <w:pPr>
              <w:spacing w:after="0" w:line="240" w:lineRule="auto"/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iCs/>
                <w:sz w:val="18"/>
                <w:szCs w:val="18"/>
              </w:rPr>
              <w:t>Температура</w:t>
            </w:r>
            <w:r>
              <w:rPr>
                <w:rFonts w:hint="default" w:ascii="Times New Roman" w:hAnsi="Times New Roman" w:eastAsia="Calibr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46" w:type="dxa"/>
          </w:tcPr>
          <w:p w14:paraId="05C022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18"/>
                <w:szCs w:val="18"/>
                <w:lang w:val="ru-RU"/>
              </w:rPr>
              <w:t>Мороженная</w:t>
            </w:r>
          </w:p>
        </w:tc>
        <w:tc>
          <w:tcPr>
            <w:tcW w:w="1701" w:type="dxa"/>
            <w:shd w:val="clear" w:color="auto" w:fill="auto"/>
          </w:tcPr>
          <w:p w14:paraId="26C9D358">
            <w:pPr>
              <w:spacing w:after="0" w:line="240" w:lineRule="auto"/>
              <w:jc w:val="both"/>
              <w:rPr>
                <w:rFonts w:hint="default" w:ascii="Times New Roman" w:hAnsi="Times New Roman" w:eastAsia="Arial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Arial" w:cs="Times New Roman"/>
                <w:kern w:val="2"/>
                <w:sz w:val="18"/>
                <w:szCs w:val="18"/>
              </w:rPr>
              <w:t>Количественная характеристика</w:t>
            </w:r>
          </w:p>
        </w:tc>
        <w:tc>
          <w:tcPr>
            <w:tcW w:w="2693" w:type="dxa"/>
            <w:shd w:val="clear" w:color="auto" w:fill="auto"/>
          </w:tcPr>
          <w:p w14:paraId="14413B97">
            <w:pPr>
              <w:spacing w:after="0" w:line="240" w:lineRule="auto"/>
              <w:jc w:val="both"/>
              <w:rPr>
                <w:rFonts w:hint="default" w:ascii="Times New Roman" w:hAnsi="Times New Roman" w:eastAsia="Arial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sz w:val="18"/>
                <w:szCs w:val="18"/>
                <w:lang w:eastAsia="hi-IN" w:bidi="hi-I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9" w:type="dxa"/>
          </w:tcPr>
          <w:p w14:paraId="0D48D16D">
            <w:pPr>
              <w:spacing w:after="0" w:line="240" w:lineRule="auto"/>
              <w:jc w:val="both"/>
              <w:rPr>
                <w:rFonts w:hint="default" w:ascii="Times New Roman" w:hAnsi="Times New Roman" w:eastAsia="Arial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Arial" w:cs="Times New Roman"/>
                <w:kern w:val="2"/>
                <w:sz w:val="18"/>
                <w:szCs w:val="18"/>
              </w:rPr>
              <w:t>В соответствии с ГОСТ 1368-2003 «Рыба. Длина и масса»Длина тушки установлена в соответствии с потребностью и спецификой организации питания в учреждении</w:t>
            </w:r>
          </w:p>
          <w:p w14:paraId="3DACCC4C">
            <w:pPr>
              <w:spacing w:after="0" w:line="240" w:lineRule="auto"/>
              <w:jc w:val="both"/>
              <w:rPr>
                <w:rFonts w:hint="default" w:ascii="Times New Roman" w:hAnsi="Times New Roman" w:eastAsia="Arial" w:cs="Times New Roman"/>
                <w:b/>
                <w:kern w:val="2"/>
                <w:sz w:val="18"/>
                <w:szCs w:val="18"/>
              </w:rPr>
            </w:pPr>
          </w:p>
          <w:p w14:paraId="6B3F3C42">
            <w:pPr>
              <w:spacing w:after="0" w:line="240" w:lineRule="auto"/>
              <w:jc w:val="both"/>
              <w:rPr>
                <w:rFonts w:hint="default" w:ascii="Times New Roman" w:hAnsi="Times New Roman" w:eastAsia="Arial" w:cs="Times New Roman"/>
                <w:kern w:val="2"/>
                <w:sz w:val="18"/>
                <w:szCs w:val="18"/>
              </w:rPr>
            </w:pPr>
          </w:p>
          <w:p w14:paraId="039A316C">
            <w:pPr>
              <w:spacing w:after="0" w:line="240" w:lineRule="auto"/>
              <w:jc w:val="both"/>
              <w:rPr>
                <w:rFonts w:hint="default" w:ascii="Times New Roman" w:hAnsi="Times New Roman" w:eastAsia="Arial" w:cs="Times New Roman"/>
                <w:b/>
                <w:kern w:val="2"/>
                <w:sz w:val="18"/>
                <w:szCs w:val="18"/>
              </w:rPr>
            </w:pPr>
          </w:p>
          <w:p w14:paraId="5955F0C1">
            <w:pPr>
              <w:tabs>
                <w:tab w:val="left" w:pos="334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shd w:val="clear" w:color="auto" w:fill="auto"/>
            <w:noWrap/>
          </w:tcPr>
          <w:p w14:paraId="13938150">
            <w:pPr>
              <w:tabs>
                <w:tab w:val="left" w:pos="33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/>
          </w:tcPr>
          <w:p w14:paraId="17B082D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</w:tbl>
    <w:p w14:paraId="369DC1CF">
      <w:pPr>
        <w:widowControl w:val="0"/>
        <w:tabs>
          <w:tab w:val="left" w:pos="-284"/>
        </w:tabs>
        <w:autoSpaceDE w:val="0"/>
        <w:snapToGrid w:val="0"/>
        <w:jc w:val="both"/>
        <w:rPr>
          <w:rFonts w:ascii="Times New Roman" w:hAnsi="Times New Roman" w:cs="Times New Roman"/>
          <w:kern w:val="3"/>
        </w:rPr>
      </w:pPr>
      <w:r>
        <w:rPr>
          <w:rFonts w:hint="default" w:ascii="Times New Roman" w:hAnsi="Times New Roman" w:cs="Times New Roman"/>
          <w:kern w:val="3"/>
          <w:sz w:val="18"/>
          <w:szCs w:val="18"/>
        </w:rPr>
        <w:t xml:space="preserve">Остаточный срок годности Товара на момент поставки должен составлять не менее </w:t>
      </w:r>
      <w:r>
        <w:rPr>
          <w:rFonts w:hint="default" w:ascii="Times New Roman" w:hAnsi="Times New Roman" w:cs="Times New Roman"/>
          <w:sz w:val="18"/>
          <w:szCs w:val="18"/>
        </w:rPr>
        <w:t>70% от полного срока, указанного на упаковке.</w:t>
      </w:r>
    </w:p>
    <w:p w14:paraId="1973C08E">
      <w:pPr>
        <w:widowControl w:val="0"/>
        <w:tabs>
          <w:tab w:val="left" w:pos="-284"/>
        </w:tabs>
        <w:autoSpaceDE w:val="0"/>
        <w:snapToGrid w:val="0"/>
        <w:jc w:val="both"/>
        <w:rPr>
          <w:rFonts w:ascii="Times New Roman" w:hAnsi="Times New Roman" w:cs="Times New Roman"/>
          <w:kern w:val="3"/>
        </w:rPr>
      </w:pPr>
      <w:r>
        <w:rPr>
          <w:rFonts w:ascii="Times New Roman" w:hAnsi="Times New Roman" w:eastAsia="Times New Roman" w:cs="Times New Roman"/>
          <w:b/>
          <w:color w:val="000000"/>
          <w:lang w:eastAsia="ru-RU"/>
        </w:rPr>
        <w:t>1) Требования к качеству, безопасности, упаковке, маркировке товара и связанным с ними процессам поставки, хранения, перевозки должны соответствовать следующим нормативно-правовым актам:</w:t>
      </w:r>
    </w:p>
    <w:p w14:paraId="29798203">
      <w:pPr>
        <w:shd w:val="clear" w:color="auto" w:fill="FFFFFF"/>
        <w:spacing w:after="0" w:line="240" w:lineRule="auto"/>
        <w:ind w:right="-92" w:firstLine="567"/>
        <w:jc w:val="both"/>
        <w:rPr>
          <w:rFonts w:ascii="Arial" w:hAnsi="Arial" w:cs="Arial"/>
          <w:color w:val="0000FF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-ГОСТ 32366-2013. «Рыба мороженная. Технические условия».</w:t>
      </w:r>
    </w:p>
    <w:p w14:paraId="2D83EE22">
      <w:pPr>
        <w:shd w:val="clear" w:color="auto" w:fill="FFFFFF"/>
        <w:spacing w:after="0" w:line="240" w:lineRule="auto"/>
        <w:ind w:right="-92"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-ГОСТ 1368-2003. «Рыба. Длина и масса».</w:t>
      </w:r>
    </w:p>
    <w:p w14:paraId="6E5CAB64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ФЗ от 02.01.2000г. № 29-ФЗ «О качестве и безопасности пищевых продуктов»;</w:t>
      </w:r>
    </w:p>
    <w:p w14:paraId="6520F692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ФЗ от 30.03.1999г. №52-ФЗ «О санитарно-эпидемическом благополучии населения»;</w:t>
      </w:r>
    </w:p>
    <w:p w14:paraId="7926EBB7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Закон Костромской области «О продовольственной безопасности Костромской области» от 26.05.2008г. № 317-4-ЗКО;</w:t>
      </w:r>
    </w:p>
    <w:p w14:paraId="245D62A1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Закона Российской Федерации от 14.05.1993 № 4979-1 «О ветеринарии»;</w:t>
      </w:r>
    </w:p>
    <w:p w14:paraId="7EE74208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Технического регламента Таможенного союза от 09.12.2011г. №021/2011 «О безопасности пищевой продукции;</w:t>
      </w:r>
    </w:p>
    <w:p w14:paraId="2917B88C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8"/>
          <w:kern w:val="2"/>
          <w:lang w:bidi="hi-IN"/>
        </w:rPr>
      </w:pPr>
      <w:r>
        <w:rPr>
          <w:rFonts w:ascii="Times New Roman" w:hAnsi="Times New Roman" w:cs="Times New Roman"/>
        </w:rPr>
        <w:t xml:space="preserve">- Технического регламента Таможенного союза от 16.08.2011г. №005/2011 «О безопасности упаковки» и </w:t>
      </w:r>
      <w:r>
        <w:rPr>
          <w:rFonts w:ascii="Times New Roman" w:hAnsi="Times New Roman" w:cs="Times New Roman"/>
          <w:color w:val="000000"/>
          <w:spacing w:val="-8"/>
          <w:kern w:val="2"/>
          <w:lang w:bidi="hi-IN"/>
        </w:rPr>
        <w:t>Постановление от 30.05.2012 года № 33 «Об упаковке, хранении и транспортировке пищевых продуктов».</w:t>
      </w:r>
    </w:p>
    <w:p w14:paraId="7EB781C5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BE2833A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Технического регламента Таможенного союза от 09.12.2011г. №022/2011 «Пищевая продукция в части </w:t>
      </w:r>
      <w:r>
        <w:rPr>
          <w:rFonts w:ascii="Times New Roman" w:hAnsi="Times New Roman" w:cs="Times New Roman"/>
          <w:lang w:val="ru-RU"/>
        </w:rPr>
        <w:t>её</w:t>
      </w:r>
      <w:r>
        <w:rPr>
          <w:rFonts w:ascii="Times New Roman" w:hAnsi="Times New Roman" w:cs="Times New Roman"/>
        </w:rPr>
        <w:t xml:space="preserve"> маркировки»;</w:t>
      </w:r>
    </w:p>
    <w:p w14:paraId="5FF884D2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Технического регламента Таможенного союза от 20.07.2012г. №029/2012 «Требования безопасности пищевых добавок, ароматизаторов и технологических вспомогательных средств»;</w:t>
      </w:r>
    </w:p>
    <w:p w14:paraId="585422D8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Технического регламента Таможенного союза от 23.09.2011г. №007/2011 «О безопасности продукции, предназначенной для детей и подростков»;</w:t>
      </w:r>
    </w:p>
    <w:p w14:paraId="3E1FB4DF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СанПин 2.3.2.1078-01 «Гигиенические требования к безопасности и пищевой ценности пищевых продуктов», </w:t>
      </w:r>
      <w:r>
        <w:rPr>
          <w:rFonts w:ascii="Times New Roman" w:hAnsi="Times New Roman" w:cs="Times New Roman"/>
          <w:lang w:val="ru-RU"/>
        </w:rPr>
        <w:t>утверждённых</w:t>
      </w:r>
      <w:r>
        <w:rPr>
          <w:rFonts w:ascii="Times New Roman" w:hAnsi="Times New Roman" w:cs="Times New Roman"/>
        </w:rPr>
        <w:t xml:space="preserve"> постановлением Главного государственного санитарного врача Российской Федерации от 14.11.2011 № 36;</w:t>
      </w:r>
    </w:p>
    <w:p w14:paraId="445923D2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СанПин 2.3.2.1324-03 «Гигиенические требования к срокам годности и условиям хранения пищевых продуктов», </w:t>
      </w:r>
      <w:r>
        <w:rPr>
          <w:rFonts w:ascii="Times New Roman" w:hAnsi="Times New Roman" w:cs="Times New Roman"/>
          <w:lang w:val="ru-RU"/>
        </w:rPr>
        <w:t>утверждённых</w:t>
      </w:r>
      <w:r>
        <w:rPr>
          <w:rFonts w:ascii="Times New Roman" w:hAnsi="Times New Roman" w:cs="Times New Roman"/>
        </w:rPr>
        <w:t xml:space="preserve"> постановлением Главного санитарного врача Российской Федерации от 22.05.2003 №98;</w:t>
      </w:r>
    </w:p>
    <w:p w14:paraId="61EBE513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8"/>
          <w:kern w:val="2"/>
          <w:lang w:bidi="hi-IN"/>
        </w:rPr>
      </w:pPr>
    </w:p>
    <w:p w14:paraId="64EBB61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Весь поставляемый Товар должен быть упакован таким образом, чтобы исключить его порчу или уничтожение в </w:t>
      </w:r>
      <w:r>
        <w:rPr>
          <w:rFonts w:ascii="Times New Roman" w:hAnsi="Times New Roman" w:eastAsia="Times New Roman" w:cs="Times New Roman"/>
          <w:lang w:eastAsia="ru-RU"/>
        </w:rPr>
        <w:t>пути следования и при хранении в течение срока хранения /годности/</w:t>
      </w:r>
      <w:r>
        <w:rPr>
          <w:rFonts w:ascii="Times New Roman" w:hAnsi="Times New Roman" w:eastAsia="Times New Roman" w:cs="Times New Roman"/>
          <w:color w:val="000000"/>
          <w:lang w:eastAsia="ru-RU"/>
        </w:rPr>
        <w:t>.</w:t>
      </w:r>
    </w:p>
    <w:p w14:paraId="42DED962">
      <w:pPr>
        <w:shd w:val="clear" w:color="auto" w:fill="FFFFFF"/>
        <w:spacing w:after="0" w:line="240" w:lineRule="auto"/>
        <w:ind w:right="-92" w:firstLine="567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Транспортируют мороженую рыбу всеми видами транспорта в соответствии с правилами перевозок скоропортящихся грузов, действующими на данном виде транспорта, при соблюдении требований к температурному режиму их хранения. Способ и условия транспортирования должны обеспечивать сохранность качества Товара и внешнего вида тары.</w:t>
      </w:r>
    </w:p>
    <w:p w14:paraId="02B9FC9D">
      <w:pPr>
        <w:spacing w:after="0" w:line="240" w:lineRule="auto"/>
        <w:jc w:val="both"/>
        <w:rPr>
          <w:rFonts w:ascii="Times New Roman" w:hAnsi="Times New Roman" w:cs="Times New Roman"/>
          <w:kern w:val="2"/>
          <w:lang w:eastAsia="zh-CN"/>
        </w:rPr>
      </w:pPr>
    </w:p>
    <w:p w14:paraId="6BFD8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2) Информация о месте, сроках (периодах) и иных условиях поставок товаров, выполнения работ, оказания услуг в отношении заказчика:</w:t>
      </w:r>
      <w:r>
        <w:rPr>
          <w:rFonts w:ascii="Times New Roman" w:hAnsi="Times New Roman" w:cs="Times New Roman"/>
          <w:kern w:val="2"/>
          <w:lang w:eastAsia="zh-CN"/>
        </w:rPr>
        <w:t>поставка товара осуществляется с даты заключения</w:t>
      </w:r>
      <w:r>
        <w:rPr>
          <w:rFonts w:hint="default" w:ascii="Times New Roman" w:hAnsi="Times New Roman" w:cs="Times New Roman"/>
          <w:kern w:val="2"/>
          <w:lang w:val="ru-RU" w:eastAsia="zh-CN"/>
        </w:rPr>
        <w:t xml:space="preserve"> </w:t>
      </w:r>
      <w:r>
        <w:rPr>
          <w:rFonts w:ascii="Times New Roman" w:hAnsi="Times New Roman" w:cs="Times New Roman"/>
          <w:kern w:val="2"/>
          <w:lang w:eastAsia="zh-CN"/>
        </w:rPr>
        <w:t xml:space="preserve">Контракта по </w:t>
      </w:r>
      <w:r>
        <w:rPr>
          <w:rFonts w:hint="default" w:ascii="Times New Roman" w:hAnsi="Times New Roman" w:cs="Times New Roman"/>
          <w:kern w:val="2"/>
          <w:lang w:val="ru-RU" w:eastAsia="zh-CN"/>
        </w:rPr>
        <w:t>30 ноября</w:t>
      </w:r>
      <w:r>
        <w:rPr>
          <w:rFonts w:ascii="Times New Roman" w:hAnsi="Times New Roman" w:cs="Times New Roman"/>
          <w:kern w:val="2"/>
          <w:lang w:eastAsia="zh-CN"/>
        </w:rPr>
        <w:t xml:space="preserve"> 202</w:t>
      </w:r>
      <w:r>
        <w:rPr>
          <w:rFonts w:hint="default" w:ascii="Times New Roman" w:hAnsi="Times New Roman" w:cs="Times New Roman"/>
          <w:kern w:val="2"/>
          <w:lang w:val="ru-RU" w:eastAsia="zh-CN"/>
        </w:rPr>
        <w:t>6</w:t>
      </w:r>
      <w:r>
        <w:rPr>
          <w:rFonts w:ascii="Times New Roman" w:hAnsi="Times New Roman" w:cs="Times New Roman"/>
          <w:kern w:val="2"/>
          <w:lang w:eastAsia="zh-CN"/>
        </w:rPr>
        <w:t xml:space="preserve"> года, партиями на основании заявки Заказчика.</w:t>
      </w:r>
    </w:p>
    <w:p w14:paraId="3117DF9F">
      <w:pPr>
        <w:spacing w:after="0" w:line="240" w:lineRule="auto"/>
        <w:jc w:val="both"/>
        <w:rPr>
          <w:rFonts w:ascii="Times New Roman" w:hAnsi="Times New Roman" w:cs="Times New Roman"/>
          <w:kern w:val="2"/>
          <w:lang w:eastAsia="zh-CN"/>
        </w:rPr>
      </w:pPr>
      <w:r>
        <w:rPr>
          <w:rFonts w:ascii="Times New Roman" w:hAnsi="Times New Roman"/>
        </w:rPr>
        <w:t xml:space="preserve">Заявка направляется Заказчиком не позднее, чем за 3 (три) </w:t>
      </w:r>
      <w:r>
        <w:rPr>
          <w:rFonts w:ascii="Times New Roman" w:hAnsi="Times New Roman"/>
          <w:lang w:val="ru-RU"/>
        </w:rPr>
        <w:t>календарных</w:t>
      </w:r>
      <w:r>
        <w:rPr>
          <w:rFonts w:ascii="Times New Roman" w:hAnsi="Times New Roman"/>
        </w:rPr>
        <w:t xml:space="preserve"> дня до предполагаемой поставки Товара.</w:t>
      </w:r>
    </w:p>
    <w:p w14:paraId="592AECC4">
      <w:pPr>
        <w:spacing w:after="0" w:line="240" w:lineRule="auto"/>
        <w:jc w:val="both"/>
        <w:rPr>
          <w:rFonts w:ascii="Times New Roman" w:hAnsi="Times New Roman" w:cs="Times New Roman"/>
          <w:kern w:val="2"/>
          <w:lang w:eastAsia="zh-CN"/>
        </w:rPr>
      </w:pPr>
      <w:r>
        <w:rPr>
          <w:rFonts w:ascii="Times New Roman" w:hAnsi="Times New Roman" w:cs="Times New Roman"/>
          <w:kern w:val="2"/>
          <w:lang w:eastAsia="zh-CN"/>
        </w:rPr>
        <w:t>Полученная заявка должна быть исполнена в течение 3 (</w:t>
      </w:r>
      <w:r>
        <w:rPr>
          <w:rFonts w:ascii="Times New Roman" w:hAnsi="Times New Roman" w:cs="Times New Roman"/>
          <w:kern w:val="2"/>
          <w:lang w:val="ru-RU" w:eastAsia="zh-CN"/>
        </w:rPr>
        <w:t>трёх</w:t>
      </w:r>
      <w:r>
        <w:rPr>
          <w:rFonts w:ascii="Times New Roman" w:hAnsi="Times New Roman" w:cs="Times New Roman"/>
          <w:kern w:val="2"/>
          <w:lang w:eastAsia="zh-CN"/>
        </w:rPr>
        <w:t xml:space="preserve">) </w:t>
      </w:r>
      <w:r>
        <w:rPr>
          <w:rFonts w:ascii="Times New Roman" w:hAnsi="Times New Roman"/>
          <w:lang w:val="ru-RU"/>
        </w:rPr>
        <w:t>календарных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  <w:kern w:val="2"/>
          <w:lang w:eastAsia="zh-CN"/>
        </w:rPr>
        <w:t xml:space="preserve"> дней со дня получения заявки.</w:t>
      </w:r>
    </w:p>
    <w:p w14:paraId="20C6E95F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5824C95B">
      <w:r>
        <w:br w:type="page"/>
      </w:r>
    </w:p>
    <w:p w14:paraId="128CC870"/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820"/>
    <w:rsid w:val="00151298"/>
    <w:rsid w:val="00271F25"/>
    <w:rsid w:val="0031352F"/>
    <w:rsid w:val="003B61A1"/>
    <w:rsid w:val="004B1299"/>
    <w:rsid w:val="00576605"/>
    <w:rsid w:val="0061689F"/>
    <w:rsid w:val="00676DA7"/>
    <w:rsid w:val="00777820"/>
    <w:rsid w:val="008A4A50"/>
    <w:rsid w:val="00B14531"/>
    <w:rsid w:val="00BD032B"/>
    <w:rsid w:val="00D0692A"/>
    <w:rsid w:val="00D92EBD"/>
    <w:rsid w:val="00DB4DBE"/>
    <w:rsid w:val="00E81687"/>
    <w:rsid w:val="026A29F1"/>
    <w:rsid w:val="52D635C5"/>
    <w:rsid w:val="5F9072A0"/>
    <w:rsid w:val="64BA3283"/>
    <w:rsid w:val="6F5E1335"/>
    <w:rsid w:val="783C1F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636</Words>
  <Characters>3629</Characters>
  <Lines>30</Lines>
  <Paragraphs>8</Paragraphs>
  <TotalTime>3</TotalTime>
  <ScaleCrop>false</ScaleCrop>
  <LinksUpToDate>false</LinksUpToDate>
  <CharactersWithSpaces>4257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2024-04-23T13:07:00Z</dcterms:created>
  <dc:creator>User</dc:creator>
  <cp:lastModifiedBy>user</cp:lastModifiedBy>
  <cp:lastPrinted>2026-08-10T05:06:54Z</cp:lastPrinted>
  <dcterms:modified xsi:type="dcterms:W3CDTF">2026-08-10T05:06:59Z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81D7AAE672824556B7753D8DF4160524_13</vt:lpwstr>
  </property>
</Properties>
</file>