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Autospacing="1"/>
        <w:ind w:firstLine="567"/>
        <w:jc w:val="center"/>
        <w:rPr>
          <w:rFonts w:ascii="Times New Roman" w:hAnsi="Times New Roman" w:eastAsia="Times New Roman" w:cs="Times New Roman"/>
          <w:b/>
          <w:b/>
          <w:bCs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lang w:eastAsia="ru-RU"/>
        </w:rPr>
        <w:t xml:space="preserve">СУБЛИЦЕНЗИОННЫЙ ДОГОВОР № </w:t>
      </w:r>
      <w:r>
        <w:rPr>
          <w:rFonts w:eastAsia="Arial" w:cs="Times New Roman" w:ascii="Times New Roman" w:hAnsi="Times New Roman"/>
          <w:b/>
          <w:w w:val="105"/>
          <w:sz w:val="24"/>
          <w:szCs w:val="24"/>
        </w:rPr>
        <w:t>С-О-ПД-77/26-7-2330</w:t>
      </w:r>
    </w:p>
    <w:tbl>
      <w:tblPr>
        <w:tblW w:w="9755" w:type="dxa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6848"/>
        <w:gridCol w:w="2798"/>
        <w:gridCol w:w="109"/>
      </w:tblGrid>
      <w:tr>
        <w:trPr/>
        <w:tc>
          <w:tcPr>
            <w:tcW w:w="684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ind w:firstLine="529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 Москва</w:t>
            </w:r>
          </w:p>
        </w:tc>
        <w:tc>
          <w:tcPr>
            <w:tcW w:w="279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Arial" w:cs="Times New Roman" w:ascii="Times New Roman" w:hAnsi="Times New Roman"/>
                <w:w w:val="105"/>
                <w:sz w:val="20"/>
                <w:szCs w:val="20"/>
                <w:lang w:val="en-US"/>
              </w:rPr>
              <w:t>04</w:t>
            </w:r>
            <w:r>
              <w:rPr>
                <w:rFonts w:eastAsia="Arial" w:cs="Times New Roman" w:ascii="Times New Roman" w:hAnsi="Times New Roman"/>
                <w:w w:val="105"/>
                <w:sz w:val="20"/>
                <w:szCs w:val="20"/>
                <w:lang w:val="en-US"/>
              </w:rPr>
              <w:t>.0</w:t>
            </w:r>
            <w:r>
              <w:rPr>
                <w:rFonts w:eastAsia="Arial" w:cs="Times New Roman" w:ascii="Times New Roman" w:hAnsi="Times New Roman"/>
                <w:w w:val="105"/>
                <w:sz w:val="20"/>
                <w:szCs w:val="20"/>
                <w:lang w:val="en-US"/>
              </w:rPr>
              <w:t>8</w:t>
            </w:r>
            <w:r>
              <w:rPr>
                <w:rFonts w:eastAsia="Arial" w:cs="Times New Roman" w:ascii="Times New Roman" w:hAnsi="Times New Roman"/>
                <w:w w:val="105"/>
                <w:sz w:val="20"/>
                <w:szCs w:val="20"/>
                <w:lang w:val="en-US"/>
              </w:rPr>
              <w:t>.2026</w:t>
            </w:r>
          </w:p>
        </w:tc>
        <w:tc>
          <w:tcPr>
            <w:tcW w:w="109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</w:r>
          </w:p>
        </w:tc>
      </w:tr>
    </w:tbl>
    <w:p>
      <w:pPr>
        <w:pStyle w:val="Normal"/>
        <w:spacing w:lineRule="auto" w:line="240" w:beforeAutospacing="1" w:after="17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Общество с ограниченной ответственностью "СПЕЦОПЕРАТОР", именуемое в дальнейшем «Сублицензиар», в лице Директора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Березка Олеси Викторовны, действующего на основании Устава, с одной стороны и </w:t>
      </w:r>
      <w:r>
        <w:rPr>
          <w:rFonts w:eastAsia="Arial" w:cs="Times New Roman" w:ascii="Times New Roman" w:hAnsi="Times New Roman"/>
          <w:w w:val="105"/>
          <w:sz w:val="20"/>
          <w:szCs w:val="20"/>
        </w:rPr>
        <w:t>ФЕДЕРАЛЬНОЕ ГОСУДАРСТВЕННОЕ БЮДЖЕТНОЕ УЧРЕЖДЕНИЕ НАУКИ ИНСТИТУТ ЛИНГВИСТИЧЕСКИХ ИССЛЕДОВАНИЙ РОССИЙСКОЙ АКАДЕМИИ НАУК</w:t>
      </w:r>
      <w:r>
        <w:rPr>
          <w:rFonts w:eastAsia="Times New Roman" w:cs="Times New Roman" w:ascii="Times New Roman" w:hAnsi="Times New Roman"/>
          <w:sz w:val="20"/>
          <w:szCs w:val="20"/>
        </w:rPr>
        <w:t>,    именуемый</w:t>
      </w:r>
      <w:r>
        <w:rPr>
          <w:rFonts w:eastAsia="Times New Roman" w:cs="Times New Roman" w:ascii="Times New Roman" w:hAnsi="Times New Roman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в</w:t>
      </w:r>
      <w:r>
        <w:rPr>
          <w:rFonts w:eastAsia="Times New Roman" w:cs="Times New Roman" w:ascii="Times New Roman" w:hAnsi="Times New Roman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дальнейшем</w:t>
      </w:r>
      <w:r>
        <w:rPr>
          <w:rFonts w:eastAsia="Times New Roman" w:cs="Times New Roman" w:ascii="Times New Roman" w:hAnsi="Times New Roman"/>
          <w:sz w:val="20"/>
          <w:szCs w:val="20"/>
          <w:lang w:val="en-US" w:eastAsia="ru-RU"/>
        </w:rPr>
        <w:t xml:space="preserve"> «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Сублицензиат</w:t>
      </w:r>
      <w:r>
        <w:rPr>
          <w:rFonts w:eastAsia="Times New Roman" w:cs="Times New Roman" w:ascii="Times New Roman" w:hAnsi="Times New Roman"/>
          <w:sz w:val="20"/>
          <w:szCs w:val="20"/>
          <w:lang w:val="en-US" w:eastAsia="ru-RU"/>
        </w:rPr>
        <w:t xml:space="preserve">»,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в</w:t>
      </w:r>
      <w:r>
        <w:rPr>
          <w:rFonts w:eastAsia="Times New Roman" w:cs="Times New Roman" w:ascii="Times New Roman" w:hAnsi="Times New Roman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лице</w:t>
      </w:r>
      <w:r>
        <w:rPr>
          <w:rFonts w:eastAsia="Times New Roman" w:cs="Times New Roman" w:ascii="Times New Roman" w:hAnsi="Times New Roman"/>
          <w:sz w:val="20"/>
          <w:szCs w:val="20"/>
          <w:lang w:val="en-US" w:eastAsia="ru-RU"/>
        </w:rPr>
        <w:t xml:space="preserve"> </w:t>
      </w:r>
      <w:r>
        <w:rPr>
          <w:rFonts w:cs="Times New Roman" w:ascii="Times New Roman" w:hAnsi="Times New Roman"/>
          <w:sz w:val="20"/>
          <w:szCs w:val="20"/>
          <w:shd w:fill="FFFFFF" w:val="clear"/>
          <w:lang w:val="en-US"/>
        </w:rPr>
        <w:t xml:space="preserve">Директора </w:t>
      </w:r>
      <w:r>
        <w:rPr>
          <w:rFonts w:cs="Times New Roman" w:ascii="Times New Roman" w:hAnsi="Times New Roman"/>
          <w:sz w:val="20"/>
          <w:lang w:val="en-US"/>
        </w:rPr>
        <w:t>Дмитренко Сергея Юрьевича</w:t>
      </w:r>
      <w:r>
        <w:rPr>
          <w:rFonts w:eastAsia="Times New Roman" w:cs="Times New Roman" w:ascii="Times New Roman" w:hAnsi="Times New Roman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действующего</w:t>
      </w:r>
      <w:r>
        <w:rPr>
          <w:rFonts w:eastAsia="Times New Roman" w:cs="Times New Roman" w:ascii="Times New Roman" w:hAnsi="Times New Roman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</w:t>
      </w:r>
      <w:r>
        <w:rPr>
          <w:rFonts w:eastAsia="Times New Roman" w:cs="Times New Roman" w:ascii="Times New Roman" w:hAnsi="Times New Roman"/>
          <w:sz w:val="20"/>
          <w:szCs w:val="20"/>
          <w:lang w:val="en-US"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основании</w:t>
      </w:r>
      <w:r>
        <w:rPr>
          <w:rFonts w:eastAsia="Times New Roman" w:cs="Times New Roman" w:ascii="Times New Roman" w:hAnsi="Times New Roman"/>
          <w:sz w:val="20"/>
          <w:szCs w:val="20"/>
          <w:lang w:val="en-US" w:eastAsia="ru-RU"/>
        </w:rPr>
        <w:t xml:space="preserve"> Устава 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, с другой стороны, совместно именуемые «Стороны», а по отдельности – «Сторона», заключили настоящий Договор о нижеследующем.</w:t>
      </w:r>
    </w:p>
    <w:p>
      <w:pPr>
        <w:pStyle w:val="Normal"/>
        <w:spacing w:lineRule="auto" w:line="240" w:before="170" w:after="170"/>
        <w:ind w:left="170" w:right="170" w:firstLine="567"/>
        <w:jc w:val="center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1. ПРЕДМЕТ ДОГОВОРА.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sz w:val="20"/>
          <w:szCs w:val="20"/>
          <w:lang w:eastAsia="ru-RU"/>
        </w:rPr>
        <w:t>1.1. Сублицензиар передаёт Сублицензиату для личных и/или производственных нужд за плату следующее:</w:t>
      </w:r>
    </w:p>
    <w:p>
      <w:pPr>
        <w:pStyle w:val="Normal"/>
        <w:spacing w:before="0" w:after="0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sz w:val="20"/>
          <w:szCs w:val="20"/>
          <w:lang w:eastAsia="ru-RU"/>
        </w:rPr>
        <w:t>            </w:t>
      </w:r>
      <w:r>
        <w:rPr>
          <w:rFonts w:cs="Times New Roman" w:ascii="Times New Roman" w:hAnsi="Times New Roman"/>
          <w:sz w:val="20"/>
          <w:szCs w:val="20"/>
          <w:lang w:eastAsia="ru-RU"/>
        </w:rPr>
        <w:t>1.1.1. 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возможностями;</w:t>
        <w:br/>
        <w:t>            1.1.2. Предоставление прав на использование "Сканер-ВС".НПЕШ.00606-01 (Реестровая запись № 231 от 18.03.2016) сроком на 1 год, лицензия на 4 IP адреса;</w:t>
        <w:br/>
        <w:t>            1.1.3. Предоставление права использования на ПП «SecretDoc» (реестровая запись № 10516 от 06.05.2021) сроком на 1 год с дополнительными функциональными возможностями.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sz w:val="20"/>
          <w:szCs w:val="20"/>
          <w:lang w:eastAsia="ru-RU"/>
        </w:rPr>
        <w:t>1.2. Лицензии на программы для ЭВМ (далее – Программы), перечисленные в настоящем разделе, передаются как простые (неисключительные) и действуют в течение срока, указанного в приложении к настоящему Договору.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sz w:val="20"/>
          <w:szCs w:val="20"/>
          <w:lang w:eastAsia="ru-RU"/>
        </w:rPr>
        <w:t xml:space="preserve">1.3. Сублицензиату представляются Программы с дополнительными функциональными возможностями, указанными в приложении к настоящему Договору. </w:t>
      </w:r>
    </w:p>
    <w:p>
      <w:pPr>
        <w:pStyle w:val="Normal"/>
        <w:spacing w:lineRule="auto" w:line="240" w:before="170" w:after="170"/>
        <w:ind w:left="170" w:right="170" w:firstLine="567"/>
        <w:jc w:val="center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2. РАЗМЕР ВОЗНАГРАЖДЕНИЯ, ПОРЯДОК И СРОКИ ЕГО ВЫПЛАТЫ.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2.1. Сумма лицензионного вознаграждения составляет </w:t>
      </w:r>
      <w:r>
        <w:rPr>
          <w:rFonts w:eastAsia="Times New Roman" w:cs="Times New Roman" w:ascii="Times New Roman" w:hAnsi="Times New Roman"/>
          <w:sz w:val="20"/>
          <w:szCs w:val="20"/>
        </w:rPr>
        <w:t>82 298.20 руб. (Восемьдесят две тысячи двести девяносто восемь рублей 20 копеек)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. Стоимость прав по настоящему Договору НДС не облагается (пп. 26 п. 2 ст. 149 НК РФ).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cs="Times New Roman" w:ascii="Times New Roman" w:hAnsi="Times New Roman"/>
          <w:color w:val="000000" w:themeColor="text1"/>
          <w:sz w:val="20"/>
          <w:szCs w:val="20"/>
        </w:rPr>
        <w:t>2.2. Вознаграждение, предусмотренное настоящим Договором, оплачивается Сублицензиатом в течение 5 (пяти) рабочих дней со дня подписания Сторонами акта приёма-передачи.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2.3. Уплата вознаграждения производится Сублицензиатом в российских рублях путем зачисления денежных средств на расчетный счет Сублицензиара.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2.4. Датой оплаты является дата зачисления денежных средств на расчетный счет Сублицензиара. </w:t>
      </w:r>
    </w:p>
    <w:p>
      <w:pPr>
        <w:pStyle w:val="Normal"/>
        <w:spacing w:lineRule="auto" w:line="240" w:before="170" w:after="170"/>
        <w:ind w:left="170" w:right="170" w:firstLine="567"/>
        <w:jc w:val="center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  <w:t xml:space="preserve">3. ПЕРЕДАЧА ПРАВ.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/>
        <w:t xml:space="preserve"> </w:t>
      </w:r>
      <w:r>
        <w:rPr>
          <w:rFonts w:cs="Times New Roman" w:ascii="Times New Roman" w:hAnsi="Times New Roman"/>
          <w:color w:val="000000" w:themeColor="text1"/>
          <w:sz w:val="20"/>
          <w:szCs w:val="20"/>
        </w:rPr>
        <w:t>3.1. Передача прав по настоящему Договору осуществляется в течение 90 (девяносто) рабочих дней с момента подписания сторонами настоящего Договора.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3.2. Передача прав Сублицензиату оформляется актом приёма-передачи.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3.3. Сублицензиат обязан в течение 3 (трех) рабочих дней с момента получения акта приёма-передачи подписать его и предоставить Сублицензиару, либо предоставить письменный мотивированный отказ от его подписания. В случае непредоставления Сублицензиару подписанного акта приёма-передачи или письменного мотивированного отказа в указанные сроки права считаются переданными Сублицензиаром и принятыми Сублицензиатом в полном объёме.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  <w:t>4. ПРАВА И ОБЯЗАННОСТИ СТОРОН.</w:t>
      </w:r>
    </w:p>
    <w:p>
      <w:pPr>
        <w:pStyle w:val="Normal"/>
        <w:spacing w:lineRule="auto" w:line="240" w:before="0" w:after="0"/>
        <w:ind w:firstLine="567"/>
        <w:jc w:val="center"/>
        <w:rPr>
          <w:rFonts w:ascii="Times New Roman" w:hAnsi="Times New Roman" w:eastAsia="Times New Roman" w:cs="Times New Roman"/>
          <w:b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4.1. По настоящему Договору Сублицензиар предоставляет Сублицензиату право использования Программы способами, предусмотренными ст. 1280 ГК РФ и настоящим Договором</w:t>
      </w:r>
    </w:p>
    <w:p>
      <w:pPr>
        <w:pStyle w:val="Normal"/>
        <w:spacing w:before="0" w:after="0"/>
        <w:ind w:firstLine="567"/>
        <w:rPr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4.2. Сублицензиат обязуется:</w:t>
      </w:r>
    </w:p>
    <w:p>
      <w:pPr>
        <w:pStyle w:val="ListParagraph"/>
        <w:spacing w:lineRule="auto" w:line="240" w:before="0" w:after="0"/>
        <w:ind w:left="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4.2.1. Представить Сублицензиару документы и информацию (исходные данные) по следующему перечню исходных данных: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Полное и сокращенное наименование организации Сублицензиата, организационно-правовая форма, юридический адрес и адреса размещения информационной системы (ИС) организации.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Фамилия, имя и отчество руководителя организации, на основании чего действует.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Организационно-распорядительная документация по защите ПДн, имеющаяся в организации на момент проведения предварительного обследования.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Проектно-техническая и эксплуатационная документация на ИС.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Эксплуатационная и правоустанавливающая документация на средства вычислительной техники, входящие в состав ИС.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Проектно-техническая, эксплуатационная и правоустанавливающая документация на здания (помещения), где размещаются элементы ИС, а также проектно-техническая и эксплуатационная документация на инженерно-технические коммуникации.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Структурная схема ИС с указанием размещения элементов ИС.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Перечень и количество ПДн, обрабатываемых в организации.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Технология обработки ПДн в организации.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Перечень сотрудников организации, участвующих в обработке ПДн, их роли и возможности, должностные (функциональные обязанности), фамилия и инициалы.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Правоустанавливающая и эксплуатационная документация на общесистемное и специализированное программное обеспечение, установленное в ИСПДн.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Контактная информация (фамилия, имя и отчество, должность, номер телефона, адрес электронной почты) сотрудника организации, отвечающего за предоставление исходных данных.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4.2.2. Обеспечить допуск специалистов Сублицензиара к объекту при необходимости, создать условия Сублицензиару для исполнения своих обязательств по настоящему Договору.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4.2.3. Выплатить Сублицензиару вознаграждение по настоящему Договору в полном объеме.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4.2.4. Не позднее пяти рабочих дней с даты заключения Договора предоставить Сублицензиару цветные сканированные копии надлежащим образом оформленных документов, а именно: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акт классификации информационной системы / акт определения уровня защищенности персональных данных;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технический паспорт объекта информатизации;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программа и методики аттестационных испытаний объекта информатизации,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720" w:firstLine="54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а также предоставить реквизиты (номер, дату) Приказа о вводе объекта информатизации.</w:t>
      </w:r>
    </w:p>
    <w:p>
      <w:pPr>
        <w:pStyle w:val="ListParagraph"/>
        <w:ind w:left="0"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4.3. В случае неисполнения/ненадлежащего исполнения Сублицензиатом своих обязательств, предусмотренных п. 4.2. настоящего Договора, срок передачи прав передвигается соразмерно времени неисполнения/ненадлежащего исполнения Сублицензиатом своих обязанностей.</w:t>
      </w:r>
    </w:p>
    <w:p>
      <w:pPr>
        <w:pStyle w:val="ListParagraph"/>
        <w:ind w:left="0" w:firstLine="709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4.4. Сублицензиар не несет ответственность за соответствие Программы ожиданиям Сублицензиата от ее использования, а также ни при каких обстоятельствах не будет нести ответственность перед Сублицензиатом за любые косвенные, случайные, специальные, последующие, штрафные убытки, возникшие в связи с настоящим Договором, включая, без ограничения, убытки от претензий третьих лиц, потерю прибыли, потерю данных, нарушение конфиденциальности, нарушение обязательств действовать разумно и добросовестно, небрежности или иные убытки и потери.</w:t>
      </w:r>
    </w:p>
    <w:p>
      <w:pPr>
        <w:pStyle w:val="Normal"/>
        <w:spacing w:lineRule="auto" w:line="240" w:before="170" w:after="170"/>
        <w:ind w:left="170" w:right="170" w:firstLine="567"/>
        <w:jc w:val="center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5. ОТВЕТСТВЕННОСТЬ СТОРОН.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5.1. За неисполнение или ненадлежащее исполнение своих обязательств по настоящему Договору Стороны несут ответственность в порядке и размерах, установленных законодательством Российской Федерации. </w:t>
      </w:r>
    </w:p>
    <w:p>
      <w:pPr>
        <w:pStyle w:val="Normal"/>
        <w:spacing w:lineRule="auto" w:line="240" w:before="170" w:after="170"/>
        <w:ind w:left="170" w:right="170" w:firstLine="567"/>
        <w:jc w:val="center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6. КОНФИДЕНЦИАЛЬНОСТЬ.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6.1. Условия настоящего Договора и дополнительных соглашений к нему, а также все материалы и (или) сведения, ставшие известными Сторонам, конфиденциальны и не подлежат разглашению.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6.2. Стороны обязаны сохранять конфиденциальность сведений в течение всего срока действия настоящего Договора, а также в течение 3 (трёх) лет по его истечении, расторжении. </w:t>
      </w:r>
    </w:p>
    <w:p>
      <w:pPr>
        <w:pStyle w:val="Normal"/>
        <w:spacing w:lineRule="auto" w:line="240" w:before="170" w:after="170"/>
        <w:ind w:left="170" w:right="170" w:firstLine="567"/>
        <w:jc w:val="center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7. РАЗРЕШЕНИЕ СПОРОВ.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7.1.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7.2. Стороны согласны признавать данные, полученные в порядке электронного документооборота, установленного Договором, информацию в электронном виде и/или на бумаге в качестве доказательств для разрешения споров и разногласий, в том числе при разрешении споров в Арбитражном суде.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7.3. При неурегулировании в процессе переговоров спорных вопросов споры разрешаются в Арбитражном суде Смоленской области. </w:t>
      </w:r>
    </w:p>
    <w:p>
      <w:pPr>
        <w:pStyle w:val="Normal"/>
        <w:spacing w:lineRule="auto" w:line="240" w:before="170" w:after="170"/>
        <w:ind w:left="170" w:right="170" w:firstLine="567"/>
        <w:jc w:val="center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8. ДОПОЛНИТЕЛЬНЫЕ УСЛОВИЯ И ЗАКЛЮЧИТЕЛЬНЫЕ ПОЛОЖЕНИЯ.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8.1. Во всем остальном, что не предусмотрено настоящим Договором, Стороны будут руководствоваться действующим законодательством Российской Федерации.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8.2. Стороны осуществляют обмен информацией и документами в электронной форме, а также принимают меры по обеспечению конфиденциальности, передаваемых и полученных при совершении настоящего Договора, и их безопасности при обработке в соответствии с законодательством Российской Федерации.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8.3. Стороны пришли к соглашению, что заключение любого дополнительного соглашения к настоящему Договору осуществляется только в письменном виде на бумажном носителе.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8.4. Настоящий Договор составлен в двух экземплярах, имеющих одинаковую юридическую силу, из которых один находится у Сублицензиара, другой - у Сублицензиата.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8.5. Сублицензиар вправе передавать права и обязанности по настоящему Договору третьим лицам полностью или частично в пределах срока действия настоящего Договора.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8.6. Настоящий Договор действует до полного выполнения Сторонами своих обязательств. </w:t>
      </w:r>
    </w:p>
    <w:p>
      <w:pPr>
        <w:pStyle w:val="Normal"/>
        <w:spacing w:lineRule="auto" w:line="240" w:before="170" w:after="170"/>
        <w:ind w:left="170" w:right="170" w:firstLine="567"/>
        <w:jc w:val="center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val="en-US" w:eastAsia="ru-RU"/>
        </w:rPr>
        <w:t>9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. АДРЕСА И РЕКВИЗИТЫ СТОРОН. </w:t>
      </w:r>
    </w:p>
    <w:tbl>
      <w:tblPr>
        <w:tblW w:w="5000" w:type="pct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4676"/>
        <w:gridCol w:w="461"/>
        <w:gridCol w:w="385"/>
        <w:gridCol w:w="4443"/>
        <w:gridCol w:w="381"/>
      </w:tblGrid>
      <w:tr>
        <w:trPr/>
        <w:tc>
          <w:tcPr>
            <w:tcW w:w="4676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Сублицензиар:</w:t>
            </w:r>
          </w:p>
        </w:tc>
        <w:tc>
          <w:tcPr>
            <w:tcW w:w="461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28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Сублицензиат:</w:t>
            </w:r>
          </w:p>
        </w:tc>
        <w:tc>
          <w:tcPr>
            <w:tcW w:w="38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val="en-US"/>
              </w:rPr>
              <w:t>ООО "СПЕЦОПЕРАТОР"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br/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ИНН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t xml:space="preserve"> 3102014826 /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КПП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t xml:space="preserve"> 312301001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Юридический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адрес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t>: 308024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t>Белгородская область, Белгород, ул. Костюкова, дом 35В офис 37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Почтовый адрес: 115093</w:t>
              <w:br/>
              <w:t>Москва, Подольское шоссе, д.8 к. 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Телефон: 8 (495) 647-72-77</w:t>
              <w:br/>
              <w:br/>
              <w:t>Р/счет № 40702810010440000504 в Филиал «Центральный» Банка ВТБ (ПАО) в г. Москве</w:t>
              <w:br/>
              <w:t>БИК 044525411</w:t>
              <w:br/>
              <w:t>К/счет № 30101810145250000411</w:t>
            </w:r>
          </w:p>
        </w:tc>
        <w:tc>
          <w:tcPr>
            <w:tcW w:w="46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28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ИЛИ РАН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br/>
              <w:t>ИНН 7801021809 / КПП 780101001</w:t>
              <w:br/>
              <w:t>Юридический адрес: 199004, Санкт-Петербург, Тучков пер, д 9</w:t>
              <w:br/>
              <w:t>Фактический адрес: 199004, Санкт-Петербург, Тучков пер, д 9</w:t>
              <w:br/>
              <w:t>Телефон: 8 (812) 328-16-12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 w:themeColor="text1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УФК по г.Санкт-Петербургу (ИЛИ РАН, л/с 20726Ц23400)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ОКЦ №1 ВВГУ Банка России //УФК по Нижегородской области, г Нижний Новгород.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Единый казначейский счет 40102810745370000024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Казначейский счет (р/сч) 03214643000000013225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>БИК 012202102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38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>
          <w:trHeight w:val="416" w:hRule="atLeast"/>
        </w:trPr>
        <w:tc>
          <w:tcPr>
            <w:tcW w:w="46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Директор ООО "СПЕЦОПЕРАТОР"</w:t>
            </w:r>
          </w:p>
        </w:tc>
        <w:tc>
          <w:tcPr>
            <w:tcW w:w="46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4828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Директор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ИЛИ РАН</w:t>
            </w:r>
          </w:p>
        </w:tc>
        <w:tc>
          <w:tcPr>
            <w:tcW w:w="38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76" w:type="dxa"/>
            <w:tcBorders>
              <w:bottom w:val="single" w:sz="6" w:space="0" w:color="000000"/>
            </w:tcBorders>
            <w:vAlign w:val="bottom"/>
          </w:tcPr>
          <w:tbl>
            <w:tblPr>
              <w:tblStyle w:val="ae"/>
              <w:tblpPr w:bottomFromText="0" w:horzAnchor="margin" w:leftFromText="180" w:rightFromText="180" w:tblpX="0" w:tblpY="1" w:topFromText="0" w:vertAnchor="page"/>
              <w:tblW w:w="5000" w:type="pct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322"/>
              <w:gridCol w:w="2323"/>
            </w:tblGrid>
            <w:tr>
              <w:trPr/>
              <w:tc>
                <w:tcPr>
                  <w:tcW w:w="23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>
                  <w:pPr>
                    <w:pStyle w:val="Normal"/>
                    <w:spacing w:before="0" w:after="160"/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  <w:lang w:val="en-US"/>
                    </w:rPr>
                  </w:r>
                </w:p>
              </w:tc>
              <w:tc>
                <w:tcPr>
                  <w:tcW w:w="232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rPr>
                      <w:rFonts w:ascii="Times New Roman" w:hAnsi="Times New Roman" w:eastAsia="Times New Roman" w:cs="Times New Roman"/>
                      <w:szCs w:val="20"/>
                      <w:lang w:val="en-US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val="en-US"/>
                    </w:rPr>
                    <w:t>/Березка О. В./</w:t>
                  </w:r>
                </w:p>
                <w:p>
                  <w:pPr>
                    <w:pStyle w:val="Normal"/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pStyle w:val="Normal"/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  <w:lang w:val="en-US"/>
                    </w:rPr>
                  </w:r>
                </w:p>
                <w:p>
                  <w:pPr>
                    <w:pStyle w:val="Normal"/>
                    <w:spacing w:before="0" w:after="160"/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  <w:lang w:val="en-US"/>
                    </w:rPr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461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4828" w:type="dxa"/>
            <w:gridSpan w:val="2"/>
            <w:tcBorders>
              <w:bottom w:val="single" w:sz="6" w:space="0" w:color="000000"/>
            </w:tcBorders>
            <w:vAlign w:val="bottom"/>
          </w:tcPr>
          <w:tbl>
            <w:tblPr>
              <w:tblStyle w:val="ae"/>
              <w:tblpPr w:bottomFromText="0" w:horzAnchor="margin" w:leftFromText="180" w:rightFromText="180" w:tblpX="0" w:tblpY="1" w:topFromText="0" w:vertAnchor="page"/>
              <w:tblW w:w="5000" w:type="pct"/>
              <w:jc w:val="left"/>
              <w:tblInd w:w="0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398"/>
              <w:gridCol w:w="2399"/>
            </w:tblGrid>
            <w:tr>
              <w:trPr/>
              <w:tc>
                <w:tcPr>
                  <w:tcW w:w="239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>
                    <w:rPr>
                      <w:rFonts w:cs="Times New Roman" w:ascii="Times New Roman" w:hAnsi="Times New Roman"/>
                      <w:sz w:val="20"/>
                      <w:szCs w:val="20"/>
                      <w:lang w:val="en-US"/>
                    </w:rPr>
                  </w:r>
                </w:p>
              </w:tc>
              <w:tc>
                <w:tcPr>
                  <w:tcW w:w="239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Times New Roman" w:hAnsi="Times New Roman" w:cs="Times New Roman"/>
                      <w:szCs w:val="20"/>
                      <w:lang w:val="en-US"/>
                    </w:rPr>
                  </w:pPr>
                  <w:r>
                    <w:rPr>
                      <w:rFonts w:eastAsia="Times New Roman" w:cs="Times New Roman" w:ascii="Times New Roman" w:hAnsi="Times New Roman"/>
                      <w:sz w:val="20"/>
                      <w:szCs w:val="20"/>
                      <w:lang w:val="en-US"/>
                    </w:rPr>
                    <w:t>/Дмитренко С. Ю./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381" w:type="dxa"/>
            <w:tcBorders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4676" w:type="dxa"/>
            <w:tcBorders/>
            <w:tcMar>
              <w:right w:w="567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м.п. </w:t>
            </w:r>
          </w:p>
        </w:tc>
        <w:tc>
          <w:tcPr>
            <w:tcW w:w="846" w:type="dxa"/>
            <w:gridSpan w:val="2"/>
            <w:tcBorders/>
            <w:tcMar>
              <w:right w:w="567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824" w:type="dxa"/>
            <w:gridSpan w:val="2"/>
            <w:tcBorders/>
            <w:tcMar>
              <w:right w:w="567" w:type="dxa"/>
            </w:tcMar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м.п. 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Приложение № 1 от </w:t>
      </w:r>
      <w:r>
        <w:rPr>
          <w:rFonts w:eastAsia="Arial" w:cs="Times New Roman" w:ascii="Times New Roman" w:hAnsi="Times New Roman"/>
          <w:w w:val="105"/>
          <w:sz w:val="20"/>
          <w:szCs w:val="20"/>
        </w:rPr>
        <w:t>13.07.2026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г.</w:t>
        <w:br/>
        <w:t xml:space="preserve">к Сублицензионному договору 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№ С-О-ПД-77/26-7-2330 от </w:t>
      </w:r>
      <w:r>
        <w:rPr>
          <w:rFonts w:eastAsia="Arial" w:cs="Times New Roman" w:ascii="Times New Roman" w:hAnsi="Times New Roman"/>
          <w:w w:val="105"/>
          <w:sz w:val="20"/>
          <w:szCs w:val="20"/>
        </w:rPr>
        <w:t>13.07.2026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г.</w:t>
      </w:r>
    </w:p>
    <w:p>
      <w:pPr>
        <w:pStyle w:val="NoSpacing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sz w:val="20"/>
          <w:szCs w:val="20"/>
          <w:lang w:eastAsia="ru-RU"/>
        </w:rPr>
      </w:r>
    </w:p>
    <w:tbl>
      <w:tblPr>
        <w:tblW w:w="10291" w:type="dxa"/>
        <w:jc w:val="left"/>
        <w:tblInd w:w="-15" w:type="dxa"/>
        <w:tblCellMar>
          <w:top w:w="0" w:type="dxa"/>
          <w:left w:w="7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63"/>
        <w:gridCol w:w="1559"/>
        <w:gridCol w:w="934"/>
        <w:gridCol w:w="1134"/>
      </w:tblGrid>
      <w:tr>
        <w:trPr>
          <w:trHeight w:val="848" w:hRule="atLeast"/>
        </w:trPr>
        <w:tc>
          <w:tcPr>
            <w:tcW w:w="6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left="20" w:right="20" w:hanging="2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Cs w:val="18"/>
              </w:rPr>
              <w:t>Простые (неисключительные) лицензии на Программы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left="20" w:right="20" w:hanging="2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Cs w:val="18"/>
              </w:rPr>
              <w:t>Цена за единицу, руб.</w:t>
            </w:r>
          </w:p>
        </w:tc>
        <w:tc>
          <w:tcPr>
            <w:tcW w:w="9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left="20" w:right="20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before="20" w:after="20"/>
              <w:ind w:left="20" w:right="20" w:hanging="2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Cs w:val="18"/>
              </w:rPr>
              <w:t>Сумма, руб.</w:t>
            </w:r>
          </w:p>
        </w:tc>
      </w:tr>
      <w:tr>
        <w:trPr>
          <w:trHeight w:val="848" w:hRule="atLeast"/>
        </w:trPr>
        <w:tc>
          <w:tcPr>
            <w:tcW w:w="6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20" w:after="20"/>
              <w:ind w:left="20" w:right="20" w:hanging="2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Предоставление права использования Средства защиты информации Secret Net Studio 8 (реестровая запись № 3855 от 16.08.2017) сроком на 1 год в комплектации "Максимальная защита" с дополнительными функциональными возможностями на 1 компьютер:защита от НСД; контроль устройств; защита диска и шифрование контейнеров;персональный межсетевой экран; антивирус (технология Касперского); обнаружение и предотвращение вторжений.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7671.00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spacing w:before="20" w:after="20"/>
              <w:ind w:left="20" w:right="20" w:hanging="2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7671.00</w:t>
            </w:r>
          </w:p>
        </w:tc>
      </w:tr>
      <w:tr>
        <w:trPr>
          <w:trHeight w:val="848" w:hRule="atLeast"/>
        </w:trPr>
        <w:tc>
          <w:tcPr>
            <w:tcW w:w="6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20" w:after="20"/>
              <w:ind w:left="20" w:right="20" w:hanging="2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Предоставление прав на использование "Сканер-ВС".НПЕШ.00606-01 (Реестровая запись № 231 от 18.03.2016) сроком на 1 год, лицензия на 4 IP адреса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18975.00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spacing w:before="20" w:after="20"/>
              <w:ind w:left="20" w:right="20" w:hanging="2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18975.00</w:t>
            </w:r>
          </w:p>
        </w:tc>
      </w:tr>
      <w:tr>
        <w:trPr>
          <w:trHeight w:val="848" w:hRule="atLeast"/>
        </w:trPr>
        <w:tc>
          <w:tcPr>
            <w:tcW w:w="66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20" w:after="20"/>
              <w:ind w:left="20" w:right="20" w:hanging="2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shd w:fill="FFFFFF" w:val="clear"/>
              </w:rPr>
              <w:t>Предоставление права использования на ПП «SecretDoc»* (реестровая запись № 10516 от 06.05.2021) сроком на 1 год с дополнительными функциональными возможностями.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20" w:after="20"/>
              <w:ind w:left="20" w:right="20" w:hanging="20"/>
              <w:jc w:val="center"/>
              <w:rPr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55652.20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color="auto" w:fill="auto" w:val="clear"/>
          </w:tcPr>
          <w:p>
            <w:pPr>
              <w:pStyle w:val="Normal"/>
              <w:spacing w:before="20" w:after="20"/>
              <w:ind w:left="20" w:right="20" w:hanging="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spacing w:before="20" w:after="20"/>
              <w:ind w:left="20" w:right="20" w:hanging="2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55652.20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sz w:val="20"/>
          <w:szCs w:val="20"/>
          <w:lang w:eastAsia="ru-RU"/>
        </w:rPr>
      </w:r>
    </w:p>
    <w:p>
      <w:pPr>
        <w:pStyle w:val="NoSpacing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b/>
          <w:sz w:val="20"/>
          <w:szCs w:val="20"/>
          <w:lang w:eastAsia="ru-RU"/>
        </w:rPr>
        <w:t xml:space="preserve">Всего на сумму </w:t>
      </w:r>
      <w:r>
        <w:rPr>
          <w:rFonts w:cs="Times New Roman" w:ascii="Times New Roman" w:hAnsi="Times New Roman"/>
          <w:b/>
          <w:sz w:val="20"/>
          <w:szCs w:val="20"/>
        </w:rPr>
        <w:t>82 298.20 руб. (Восемьдесят две тысячи двести девяносто восемь рублей 20 копеек)</w:t>
      </w:r>
      <w:r>
        <w:rPr>
          <w:rFonts w:cs="Times New Roman" w:ascii="Times New Roman" w:hAnsi="Times New Roman"/>
          <w:b/>
          <w:sz w:val="20"/>
          <w:szCs w:val="20"/>
          <w:lang w:eastAsia="ru-RU"/>
        </w:rPr>
        <w:t>, без НДС.</w:t>
      </w:r>
      <w:r>
        <w:rPr>
          <w:rFonts w:cs="Times New Roman" w:ascii="Times New Roman" w:hAnsi="Times New Roman"/>
          <w:sz w:val="20"/>
          <w:szCs w:val="20"/>
          <w:lang w:eastAsia="ru-RU"/>
        </w:rPr>
        <w:t xml:space="preserve"> Не подлежит налогообложению НДС в соответствии с пп. 26 п. 2 ст. 149 Налогового Кодекса РФ. </w:t>
      </w:r>
    </w:p>
    <w:p>
      <w:pPr>
        <w:pStyle w:val="NoSpacing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cs="Times New Roman" w:ascii="Times New Roman" w:hAnsi="Times New Roman"/>
          <w:sz w:val="20"/>
          <w:szCs w:val="20"/>
          <w:lang w:eastAsia="ru-RU"/>
        </w:rPr>
        <w:t>*В целях полноценной эксплуатации программного обеспечения Сублицензиаром предоставляется:</w:t>
        <w:br/>
        <w:t>- Установка и настройка средств защиты информации</w:t>
        <w:br/>
        <w:t>- Оценка эффективности реализованных мер объекта информатизации в соответствии с требованиями безопасности информации</w:t>
        <w:br/>
        <w:t>- Комплект типовой организационно-распорядительной документации, в электронном виде, подписанный электронной подписью, на цифровом носителе</w:t>
        <w:br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</w:r>
    </w:p>
    <w:tbl>
      <w:tblPr>
        <w:tblW w:w="5000" w:type="pct"/>
        <w:jc w:val="left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4150"/>
        <w:gridCol w:w="78"/>
        <w:gridCol w:w="618"/>
        <w:gridCol w:w="30"/>
        <w:gridCol w:w="5471"/>
      </w:tblGrid>
      <w:tr>
        <w:trPr/>
        <w:tc>
          <w:tcPr>
            <w:tcW w:w="4228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От Сублицензиара:</w:t>
            </w:r>
          </w:p>
        </w:tc>
        <w:tc>
          <w:tcPr>
            <w:tcW w:w="618" w:type="dxa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1" w:type="dxa"/>
            <w:gridSpan w:val="2"/>
            <w:tcBorders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От Сублицензиата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</w:rPr>
              <w:t>:</w:t>
            </w:r>
          </w:p>
        </w:tc>
      </w:tr>
      <w:tr>
        <w:trPr/>
        <w:tc>
          <w:tcPr>
            <w:tcW w:w="4228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Директор ООО "СПЕЦОПЕРАТОР"</w:t>
            </w:r>
            <w:r>
              <w:rPr/>
              <w:t xml:space="preserve"> </w:t>
            </w:r>
          </w:p>
        </w:tc>
        <w:tc>
          <w:tcPr>
            <w:tcW w:w="61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1" w:type="dxa"/>
            <w:gridSpan w:val="2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Директор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ИЛИ РАН</w:t>
            </w:r>
          </w:p>
        </w:tc>
      </w:tr>
      <w:tr>
        <w:trPr/>
        <w:tc>
          <w:tcPr>
            <w:tcW w:w="4150" w:type="dxa"/>
            <w:tcBorders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t xml:space="preserve">   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/Березка О. В.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  <w:t>/</w:t>
            </w:r>
          </w:p>
        </w:tc>
        <w:tc>
          <w:tcPr>
            <w:tcW w:w="726" w:type="dxa"/>
            <w:gridSpan w:val="3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en-US"/>
              </w:rPr>
            </w:r>
          </w:p>
        </w:tc>
        <w:tc>
          <w:tcPr>
            <w:tcW w:w="5471" w:type="dxa"/>
            <w:tcBorders>
              <w:bottom w:val="single" w:sz="6" w:space="0" w:color="000000"/>
            </w:tcBorders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  <w:lang w:val="en-US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>/</w:t>
            </w:r>
            <w:r>
              <w:rPr>
                <w:rFonts w:cs="Times New Roman" w:ascii="Times New Roman" w:hAnsi="Times New Roman"/>
                <w:sz w:val="20"/>
                <w:lang w:val="en-US"/>
              </w:rPr>
              <w:t>Дмитренко С. Ю./</w:t>
            </w:r>
          </w:p>
        </w:tc>
      </w:tr>
      <w:tr>
        <w:trPr/>
        <w:tc>
          <w:tcPr>
            <w:tcW w:w="4228" w:type="dxa"/>
            <w:gridSpan w:val="2"/>
            <w:tcBorders/>
            <w:tcMar>
              <w:right w:w="56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м.п. </w:t>
            </w:r>
          </w:p>
        </w:tc>
        <w:tc>
          <w:tcPr>
            <w:tcW w:w="618" w:type="dxa"/>
            <w:tcBorders/>
            <w:tcMar>
              <w:right w:w="56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501" w:type="dxa"/>
            <w:gridSpan w:val="2"/>
            <w:tcBorders/>
            <w:tcMar>
              <w:right w:w="56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м.п. </w:t>
            </w:r>
          </w:p>
        </w:tc>
      </w:tr>
    </w:tbl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lineRule="auto" w:line="240" w:beforeAutospacing="1" w:afterAutospacing="1"/>
        <w:ind w:firstLine="709"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/>
      </w:r>
    </w:p>
    <w:sectPr>
      <w:type w:val="nextPage"/>
      <w:pgSz w:w="11906" w:h="16838"/>
      <w:pgMar w:left="709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Carlito">
    <w:altName w:val="Calibri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tabs>
          <w:tab w:val="num" w:pos="432"/>
        </w:tabs>
        <w:ind w:left="432" w:hanging="432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4070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ditablespan1" w:customStyle="1">
    <w:name w:val="editablespan1"/>
    <w:basedOn w:val="DefaultParagraphFont"/>
    <w:qFormat/>
    <w:rsid w:val="00b32578"/>
    <w:rPr>
      <w:color w:val="FF0000"/>
      <w:bdr w:val="single" w:sz="6" w:space="0" w:color="AAAAAA"/>
    </w:rPr>
  </w:style>
  <w:style w:type="character" w:styleId="Strong">
    <w:name w:val="Strong"/>
    <w:basedOn w:val="DefaultParagraphFont"/>
    <w:uiPriority w:val="22"/>
    <w:qFormat/>
    <w:rsid w:val="00b32578"/>
    <w:rPr>
      <w:b/>
      <w:bCs/>
    </w:rPr>
  </w:style>
  <w:style w:type="character" w:styleId="Style14" w:customStyle="1">
    <w:name w:val="Текст выноски Знак"/>
    <w:basedOn w:val="DefaultParagraphFont"/>
    <w:link w:val="a5"/>
    <w:uiPriority w:val="99"/>
    <w:semiHidden/>
    <w:qFormat/>
    <w:rsid w:val="00876cad"/>
    <w:rPr>
      <w:rFonts w:ascii="Segoe UI" w:hAnsi="Segoe UI" w:cs="Segoe UI"/>
      <w:sz w:val="18"/>
      <w:szCs w:val="18"/>
    </w:rPr>
  </w:style>
  <w:style w:type="character" w:styleId="Style15">
    <w:name w:val="Интернет-ссылка"/>
    <w:basedOn w:val="DefaultParagraphFont"/>
    <w:uiPriority w:val="99"/>
    <w:semiHidden/>
    <w:unhideWhenUsed/>
    <w:rsid w:val="004b58d3"/>
    <w:rPr>
      <w:color w:val="0000FF"/>
      <w:u w:val="single"/>
    </w:rPr>
  </w:style>
  <w:style w:type="character" w:styleId="Style16" w:customStyle="1">
    <w:name w:val="Основной текст Знак"/>
    <w:basedOn w:val="DefaultParagraphFont"/>
    <w:link w:val="a9"/>
    <w:uiPriority w:val="1"/>
    <w:qFormat/>
    <w:rsid w:val="00512de6"/>
    <w:rPr>
      <w:rFonts w:ascii="Carlito" w:hAnsi="Carlito" w:eastAsia="Carlito" w:cs="Carlito"/>
      <w:sz w:val="20"/>
      <w:szCs w:val="20"/>
    </w:rPr>
  </w:style>
  <w:style w:type="character" w:styleId="Style17" w:customStyle="1">
    <w:name w:val="Заголовок Знак"/>
    <w:basedOn w:val="DefaultParagraphFont"/>
    <w:link w:val="ab"/>
    <w:uiPriority w:val="10"/>
    <w:qFormat/>
    <w:rsid w:val="00512de6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Fontstyle01" w:customStyle="1">
    <w:name w:val="fontstyle01"/>
    <w:basedOn w:val="DefaultParagraphFont"/>
    <w:qFormat/>
    <w:rsid w:val="00fe5ca7"/>
    <w:rPr>
      <w:rFonts w:ascii="Times New Roman" w:hAnsi="Times New Roman" w:cs="Times New Roman"/>
      <w:b w:val="false"/>
      <w:bCs w:val="false"/>
      <w:i w:val="false"/>
      <w:iCs w:val="false"/>
      <w:color w:val="000000"/>
      <w:sz w:val="20"/>
      <w:szCs w:val="20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9">
    <w:name w:val="Body Text"/>
    <w:basedOn w:val="Normal"/>
    <w:link w:val="aa"/>
    <w:uiPriority w:val="1"/>
    <w:qFormat/>
    <w:rsid w:val="00512de6"/>
    <w:pPr>
      <w:widowControl w:val="false"/>
      <w:spacing w:lineRule="auto" w:line="240" w:before="0" w:after="0"/>
    </w:pPr>
    <w:rPr>
      <w:rFonts w:ascii="Carlito" w:hAnsi="Carlito" w:eastAsia="Carlito" w:cs="Carlito"/>
      <w:sz w:val="20"/>
      <w:szCs w:val="20"/>
    </w:rPr>
  </w:style>
  <w:style w:type="paragraph" w:styleId="Style20">
    <w:name w:val="List"/>
    <w:basedOn w:val="Style19"/>
    <w:pPr/>
    <w:rPr>
      <w:rFonts w:cs="Lucida San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b3257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6"/>
    <w:uiPriority w:val="99"/>
    <w:semiHidden/>
    <w:unhideWhenUsed/>
    <w:qFormat/>
    <w:rsid w:val="00876ca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31" w:customStyle="1">
    <w:name w:val="Заголовок 31"/>
    <w:basedOn w:val="Normal"/>
    <w:qFormat/>
    <w:rsid w:val="00876cad"/>
    <w:pPr>
      <w:keepNext w:val="true"/>
      <w:tabs>
        <w:tab w:val="clear" w:pos="709"/>
        <w:tab w:val="left" w:pos="312" w:leader="none"/>
      </w:tabs>
      <w:spacing w:lineRule="auto" w:line="240" w:before="240" w:after="60"/>
      <w:ind w:left="142" w:hanging="0"/>
      <w:jc w:val="both"/>
      <w:outlineLvl w:val="2"/>
    </w:pPr>
    <w:rPr>
      <w:rFonts w:ascii="Arial" w:hAnsi="Arial" w:eastAsia="Times New Roman" w:cs="Arial"/>
      <w:b/>
      <w:bCs/>
      <w:sz w:val="24"/>
      <w:szCs w:val="24"/>
      <w:lang w:eastAsia="zh-CN"/>
    </w:rPr>
  </w:style>
  <w:style w:type="paragraph" w:styleId="41" w:customStyle="1">
    <w:name w:val="Заголовок 41"/>
    <w:basedOn w:val="Normal"/>
    <w:qFormat/>
    <w:rsid w:val="00876cad"/>
    <w:pPr>
      <w:keepNext w:val="true"/>
      <w:spacing w:lineRule="auto" w:line="240" w:before="120" w:after="120"/>
      <w:outlineLvl w:val="3"/>
    </w:pPr>
    <w:rPr>
      <w:rFonts w:ascii="Liberation Serif" w:hAnsi="Liberation Serif" w:eastAsia="SimSun" w:cs="Mangal"/>
      <w:b/>
      <w:bCs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876cad"/>
    <w:pPr>
      <w:spacing w:before="0" w:after="160"/>
      <w:ind w:left="720" w:hanging="0"/>
      <w:contextualSpacing/>
    </w:pPr>
    <w:rPr/>
  </w:style>
  <w:style w:type="paragraph" w:styleId="Style23">
    <w:name w:val="Title"/>
    <w:basedOn w:val="Normal"/>
    <w:link w:val="ac"/>
    <w:uiPriority w:val="10"/>
    <w:qFormat/>
    <w:rsid w:val="00512de6"/>
    <w:pPr>
      <w:widowControl w:val="false"/>
      <w:spacing w:lineRule="auto" w:line="240" w:before="0" w:after="0"/>
      <w:ind w:left="122" w:right="489" w:hanging="0"/>
      <w:jc w:val="center"/>
    </w:pPr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24477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Xmsonormal" w:customStyle="1">
    <w:name w:val="x_msonormal"/>
    <w:basedOn w:val="Normal"/>
    <w:qFormat/>
    <w:rsid w:val="00b00517"/>
    <w:pPr>
      <w:spacing w:lineRule="auto" w:line="240" w:before="0" w:after="0"/>
    </w:pPr>
    <w:rPr>
      <w:rFonts w:ascii="Calibri" w:hAnsi="Calibri" w:cs="Times New Roman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39"/>
    <w:rsid w:val="00067bbf"/>
    <w:pPr>
      <w:spacing w:after="0" w:line="240" w:lineRule="auto"/>
    </w:pPr>
    <w:rPr>
      <w:sz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09654-F5EA-479A-81C5-A510E601A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LibreOffice/6.4.2.2$Windows_x86 LibreOffice_project/4e471d8c02c9c90f512f7f9ead8875b57fcb1ec3</Application>
  <Pages>4</Pages>
  <Words>1372</Words>
  <Characters>9827</Characters>
  <CharactersWithSpaces>11160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2025-06-02T11:14:00Z</dcterms:created>
  <dc:creator>Шекун Марианна Анатольевна</dc:creator>
  <dc:description/>
  <dc:language>ru-RU</dc:language>
  <cp:lastModifiedBy/>
  <cp:lastPrinted>2024-07-19T12:46:00Z</cp:lastPrinted>
  <dcterms:modified xsi:type="dcterms:W3CDTF">2026-08-04T14:11:53Z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