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71"/>
        <w:pBdr/>
        <w:spacing/>
        <w:ind/>
        <w:jc w:val="right"/>
        <w:outlineLvl w:val="0"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keepNext w:val="true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Техническое задание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на </w:t>
      </w:r>
      <w:r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продление права использования </w:t>
      </w:r>
      <w:r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системы  подготовки</w:t>
      </w:r>
      <w:r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, проверки и сдачи электронной от</w:t>
      </w:r>
      <w:r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четности через Интернет «</w:t>
      </w:r>
      <w:r>
        <w:rPr>
          <w:rFonts w:ascii="Times New Roman" w:hAnsi="Times New Roman" w:eastAsia="Times New Roman" w:cs="Times New Roman"/>
          <w:b/>
          <w:bCs/>
          <w:sz w:val="18"/>
          <w:szCs w:val="18"/>
          <w:lang w:val="en-US"/>
        </w:rPr>
        <w:t xml:space="preserve">Report</w:t>
      </w:r>
      <w:r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 - Базовый, бюджет» в течение 1 года.</w:t>
      </w:r>
      <w:r>
        <w:rPr>
          <w:rFonts w:ascii="Times New Roman" w:hAnsi="Times New Roman" w:eastAsia="Times New Roman" w:cs="Times New Roman"/>
          <w:b/>
          <w:bCs/>
          <w:sz w:val="18"/>
          <w:szCs w:val="18"/>
        </w:rPr>
      </w:r>
      <w:r>
        <w:rPr>
          <w:rFonts w:ascii="Times New Roman" w:hAnsi="Times New Roman" w:cs="Times New Roman"/>
          <w:b/>
          <w:bCs/>
          <w:sz w:val="18"/>
          <w:szCs w:val="18"/>
        </w:rPr>
      </w:r>
    </w:p>
    <w:tbl>
      <w:tblPr>
        <w:tblW w:w="102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pPr w:horzAnchor="page" w:tblpX="1033" w:vertAnchor="page" w:tblpY="3024" w:leftFromText="180" w:topFromText="0" w:rightFromText="180" w:bottomFromText="0"/>
        <w:tblLook w:val="04A0" w:firstRow="1" w:lastRow="0" w:firstColumn="1" w:lastColumn="0" w:noHBand="0" w:noVBand="1"/>
      </w:tblPr>
      <w:tblGrid>
        <w:gridCol w:w="474"/>
        <w:gridCol w:w="6892"/>
        <w:gridCol w:w="1276"/>
        <w:gridCol w:w="1582"/>
      </w:tblGrid>
      <w:tr>
        <w:trPr/>
        <w:tc>
          <w:tcPr>
            <w:gridSpan w:val="4"/>
            <w:shd w:val="clear" w:color="d9d9d9" w:fill="d9d9d9"/>
            <w:tcBorders/>
            <w:tcW w:w="10224" w:type="dxa"/>
            <w:textDirection w:val="lrTb"/>
            <w:noWrap w:val="false"/>
          </w:tcPr>
          <w:p>
            <w:pPr>
              <w:pBdr/>
              <w:spacing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shd w:val="clear" w:color="d9d9d9" w:fill="d9d9d9"/>
              </w:rPr>
              <w:t xml:space="preserve">Требования, предъявляемые к товарам, работам и услугам, результат и срок поставки товаров, выполнения работ и оказания услуг: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shd w:val="clear" w:color="ffffff" w:fill="ffffff"/>
            <w:tcBorders/>
            <w:tcW w:w="474" w:type="dxa"/>
            <w:textDirection w:val="lrTb"/>
            <w:noWrap w:val="false"/>
          </w:tcPr>
          <w:p>
            <w:pPr>
              <w:pBdr/>
              <w:spacing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№ п/п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/>
            <w:tcW w:w="6892" w:type="dxa"/>
            <w:textDirection w:val="lrTb"/>
            <w:noWrap w:val="false"/>
          </w:tcPr>
          <w:p>
            <w:pPr>
              <w:pBdr/>
              <w:spacing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Требования к товарам, работам и услугам по каждому виду товаров, работ и услуг: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Bdr/>
              <w:spacing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Детализированные описания содержания постав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ляемых товаров, выполняемых работ и оказываемых услуг, при необходимости, с подпунктами – I.1.1 и т.д.);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Bdr/>
              <w:spacing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Параметры, определяющие: количественные (и/или объемные, структурные и т.п.) характеристики, уровень сложности, минимально допустимые требования к уров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ню качества поставляемых товаров, выполняемых работ и оказываемых услуг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Состав отчетной документации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/>
            <w:tcW w:w="1582" w:type="dxa"/>
            <w:textDirection w:val="lrTb"/>
            <w:noWrap w:val="false"/>
          </w:tcPr>
          <w:p>
            <w:pPr>
              <w:pBdr/>
              <w:spacing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Срок окончания поставки товаров, выполнения работ и оказания услуг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Bdr/>
              <w:spacing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520"/>
        </w:trPr>
        <w:tc>
          <w:tcPr>
            <w:shd w:val="clear" w:color="ffffff" w:fill="ffffff"/>
            <w:tcBorders/>
            <w:tcW w:w="474" w:type="dxa"/>
            <w:vAlign w:val="center"/>
            <w:textDirection w:val="lrTb"/>
            <w:noWrap w:val="false"/>
          </w:tcPr>
          <w:p>
            <w:pPr>
              <w:pBdr/>
              <w:spacing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/>
            <w:tcW w:w="6892" w:type="dxa"/>
            <w:vAlign w:val="center"/>
            <w:textDirection w:val="lrTb"/>
            <w:noWrap w:val="false"/>
          </w:tcPr>
          <w:p>
            <w:pPr>
              <w:pBdr/>
              <w:spacing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/>
            <w:tcW w:w="1582" w:type="dxa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1408"/>
        </w:trPr>
        <w:tc>
          <w:tcPr>
            <w:shd w:val="clear" w:color="ffffff" w:fill="ffffff"/>
            <w:tcBorders/>
            <w:tcW w:w="474" w:type="dxa"/>
            <w:textDirection w:val="lrTb"/>
            <w:noWrap w:val="false"/>
          </w:tcPr>
          <w:p>
            <w:pPr>
              <w:pBdr/>
              <w:spacing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/>
            <w:tcW w:w="6892" w:type="dxa"/>
            <w:textDirection w:val="lrTb"/>
            <w:noWrap w:val="false"/>
          </w:tcPr>
          <w:p>
            <w:pPr>
              <w:pBdr/>
              <w:spacing/>
              <w:ind w:hanging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Программное обеспечение неисключительная лицензия «СБиС»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: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Bdr/>
              <w:spacing/>
              <w:ind w:hanging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Количество единиц: 1 (одна) штука.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Bdr/>
              <w:spacing/>
              <w:ind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Общие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требования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Продление права использования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системы подготовки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, проверки и сдачи электронной от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четности через Интернет «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  <w:t xml:space="preserve">Report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- Базовый, бюджет» в течение 1 года.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tbl>
            <w:tblPr>
              <w:tblInd w:w="0" w:type="dxa"/>
              <w:tblW w:w="6676" w:type="dxa"/>
              <w:tblBorders/>
              <w:tblLayout w:type="fixed"/>
              <w:tblLook w:val="04A0" w:firstRow="1" w:lastRow="0" w:firstColumn="1" w:lastColumn="0" w:noHBand="0" w:noVBand="1"/>
              <w:tblStyle w:val="970"/>
            </w:tblPr>
            <w:tblGrid>
              <w:gridCol w:w="6676"/>
            </w:tblGrid>
            <w:tr>
              <w:trPr/>
              <w:tc>
                <w:tcPr>
                  <w:tcBorders/>
                  <w:tcW w:w="6676" w:type="dxa"/>
                  <w:textDirection w:val="lrTb"/>
                  <w:noWrap w:val="false"/>
                </w:tcPr>
                <w:p>
                  <w:pPr>
                    <w:pStyle w:val="972"/>
                    <w:framePr w:hAnchor="page" w:hSpace="180" w:vAnchor="page" w:wrap="around" w:x="1043" w:y="2249"/>
                    <w:pBdr/>
                    <w:spacing/>
                    <w:ind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1.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Условия поставки товара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</w:tc>
            </w:tr>
            <w:tr>
              <w:trPr/>
              <w:tc>
                <w:tcPr>
                  <w:tcBorders/>
                  <w:tcW w:w="6676" w:type="dxa"/>
                  <w:textDirection w:val="lrTb"/>
                  <w:noWrap w:val="false"/>
                </w:tcPr>
                <w:p>
                  <w:pPr>
                    <w:pStyle w:val="972"/>
                    <w:framePr w:hAnchor="page" w:hSpace="180" w:vAnchor="page" w:wrap="around" w:x="1043" w:y="2249"/>
                    <w:pBdr/>
                    <w:spacing/>
                    <w:ind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Место поставки товара: г. Москва, Большой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Трехсвятительский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переулок, дом 2/1, строение 2, этаж 1.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</w:r>
                </w:p>
                <w:p>
                  <w:pPr>
                    <w:pStyle w:val="972"/>
                    <w:framePr w:hAnchor="page" w:hSpace="180" w:vAnchor="page" w:wrap="around" w:x="1043" w:y="2249"/>
                    <w:pBdr/>
                    <w:spacing/>
                    <w:ind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Поставка товара осуществляется силами и транспортом Поставщика: Доставка на 1 этаж в кабинет 1.1. Все виды погрузочно-разгрузочных работ осуществляются поста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вщиком собственными техническими средствами. Не заявленный товар не поставляется и не оплачивается. Поставщик обязан уведомить Заказчика о дате и точном времени поставки товара Заказчику любым доступным с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п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особом.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</w:r>
                </w:p>
                <w:p>
                  <w:pPr>
                    <w:pStyle w:val="972"/>
                    <w:framePr w:hAnchor="page" w:hSpace="180" w:vAnchor="page" w:wrap="around" w:x="1043" w:y="2249"/>
                    <w:pBdr/>
                    <w:spacing/>
                    <w:ind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Возможное время поставки товара: понедельни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к-пятница с 10:00 до 16:00.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</w:tc>
            </w:tr>
            <w:tr>
              <w:trPr/>
              <w:tc>
                <w:tcPr>
                  <w:tcBorders/>
                  <w:tcW w:w="6676" w:type="dxa"/>
                  <w:textDirection w:val="lrTb"/>
                  <w:noWrap w:val="false"/>
                </w:tcPr>
                <w:p>
                  <w:pPr>
                    <w:pStyle w:val="972"/>
                    <w:framePr w:hAnchor="page" w:hSpace="180" w:vAnchor="page" w:wrap="around" w:x="1043" w:y="2249"/>
                    <w:pBdr/>
                    <w:spacing/>
                    <w:ind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2. Гарантии исполнителя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</w:tc>
            </w:tr>
            <w:tr>
              <w:trPr/>
              <w:tc>
                <w:tcPr>
                  <w:tcBorders/>
                  <w:tcW w:w="6676" w:type="dxa"/>
                  <w:textDirection w:val="lrTb"/>
                  <w:noWrap w:val="false"/>
                </w:tcPr>
                <w:p>
                  <w:pPr>
                    <w:pStyle w:val="972"/>
                    <w:framePr w:hAnchor="page" w:hSpace="180" w:vAnchor="page" w:wrap="around" w:x="1043" w:y="2249"/>
                    <w:pBdr/>
                    <w:shd w:val="clear" w:color="auto" w:fill="auto"/>
                    <w:spacing/>
                    <w:ind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Исполнитель гарантирует, что поставляемый товар является новым, не бывшим в употреблении, товар имеет необходимые сопроводительные документы и сертификаты.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br/>
                    <w:t xml:space="preserve">Поставляемый товар и материалы должны быть нов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ыми, не бывшими в эксплуатации, соответствовать требованиям экологических, санитарно-гигиенических, противопожарных и других норм, действующих на территории Российской Федерации, должны обеспечивать безопасную для жизни и здоровья людей эксплуатацию техник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и, иметь сертификаты соответствия, санитарно-эпидемиологические заключения, отвечать требованиям безопасности. На поставляемый товар Исполнитель предоставляет гарантию работы технического средства сроком на 12 месяцев со дня принятия Заказчиком товара (под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писания акта оказанных услуг). Обнаруженный при приемке брак должен быть устранен в течение 20 рабочих дней.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</w:tc>
            </w:tr>
            <w:tr>
              <w:trPr/>
              <w:tc>
                <w:tcPr>
                  <w:tcBorders/>
                  <w:tcW w:w="6676" w:type="dxa"/>
                  <w:textDirection w:val="lrTb"/>
                  <w:noWrap w:val="false"/>
                </w:tcPr>
                <w:p>
                  <w:pPr>
                    <w:pStyle w:val="972"/>
                    <w:framePr w:hAnchor="page" w:hSpace="180" w:vAnchor="page" w:wrap="around" w:x="1043" w:y="2249"/>
                    <w:numPr>
                      <w:ilvl w:val="0"/>
                      <w:numId w:val="1"/>
                    </w:numPr>
                    <w:pBdr/>
                    <w:shd w:val="clear" w:color="auto" w:fill="auto"/>
                    <w:spacing/>
                    <w:ind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 xml:space="preserve">Техническая спецификация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</w:r>
                </w:p>
              </w:tc>
            </w:tr>
            <w:tr>
              <w:trPr/>
              <w:tc>
                <w:tcPr>
                  <w:tcBorders/>
                  <w:tcW w:w="6676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/>
                  </w:pPr>
                  <w:r/>
                  <w:r/>
                </w:p>
                <w:tbl>
                  <w:tblPr>
                    <w:tblInd w:w="0" w:type="dxa"/>
                    <w:tblW w:w="6479" w:type="dxa"/>
                    <w:tblBorders>
                      <w:top w:val="single" w:color="auto" w:sz="4" w:space="0"/>
                      <w:left w:val="single" w:color="auto" w:sz="4" w:space="0"/>
                      <w:bottom w:val="single" w:color="auto" w:sz="4" w:space="0"/>
                      <w:right w:val="single" w:color="auto" w:sz="4" w:space="0"/>
                      <w:insideH w:val="single" w:color="auto" w:sz="4" w:space="0"/>
                      <w:insideV w:val="single" w:color="auto" w:sz="4" w:space="0"/>
                    </w:tblBorders>
                    <w:tblLayout w:type="fixed"/>
                    <w:tblLook w:val="04A0" w:firstRow="1" w:lastRow="0" w:firstColumn="1" w:lastColumn="0" w:noHBand="0" w:noVBand="1"/>
                    <w:tblStyle w:val="970"/>
                  </w:tblPr>
                  <w:tblGrid>
                    <w:gridCol w:w="2512"/>
                    <w:gridCol w:w="1141"/>
                    <w:gridCol w:w="2826"/>
                  </w:tblGrid>
                  <w:tr>
                    <w:trPr/>
                    <w:tc>
                      <w:tcPr>
                        <w:tcBorders/>
                        <w:tcW w:w="2512" w:type="dxa"/>
                        <w:textDirection w:val="lrTb"/>
                        <w:noWrap w:val="false"/>
                      </w:tcPr>
                      <w:p>
                        <w:pPr>
                          <w:pBdr/>
                          <w:spacing/>
                          <w:ind/>
                          <w:jc w:val="bot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 xml:space="preserve">Продление права использования 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 xml:space="preserve">системы  подготовки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 xml:space="preserve">, проверки и сдачи электронной от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 xml:space="preserve">четности через Интернет «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lang w:val="en-US"/>
                          </w:rPr>
                          <w:t xml:space="preserve">Report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 xml:space="preserve"> - Базовый, бюджет» в течение 1 года.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framePr w:hAnchor="page" w:hSpace="180" w:vAnchor="page" w:wrap="around" w:x="1043" w:y="2249"/>
                          <w:pBdr/>
                          <w:spacing/>
                          <w:ind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  <w:szCs w:val="24"/>
                          </w:rPr>
                        </w:r>
                        <w:r>
                          <w:rPr>
                            <w:rFonts w:ascii="Times New Roman" w:hAnsi="Times New Roman" w:cs="Times New Roman"/>
                          </w:rPr>
                        </w:r>
                        <w:r>
                          <w:rPr>
                            <w:rFonts w:ascii="Times New Roman" w:hAnsi="Times New Roman" w:cs="Times New Roman"/>
                          </w:rPr>
                        </w:r>
                      </w:p>
                    </w:tc>
                    <w:tc>
                      <w:tcPr>
                        <w:tcBorders/>
                        <w:tcW w:w="1141" w:type="dxa"/>
                        <w:textDirection w:val="lrTb"/>
                        <w:noWrap w:val="false"/>
                      </w:tcPr>
                      <w:p>
                        <w:pPr>
                          <w:framePr w:hAnchor="page" w:hSpace="180" w:vAnchor="page" w:wrap="around" w:x="1043" w:y="2249"/>
                          <w:pBdr/>
                          <w:spacing/>
                          <w:ind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1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Borders/>
                        <w:tcW w:w="2826" w:type="dxa"/>
                        <w:textDirection w:val="lrTb"/>
                        <w:noWrap w:val="false"/>
                      </w:tcPr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 xml:space="preserve">ПО должно обеспечивать возможность подготовки, проверки</w:t>
                          <w:br/>
                          <w:t xml:space="preserve">и сдачи отчетности через Интернет в государственные органы (ФНС, 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 xml:space="preserve">ПФ, Росстат, ФСС) 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 xml:space="preserve">в течение 1 (одного) года.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 xml:space="preserve">Предоставление аккаунта (учетной записи) и электронной подписи.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 xml:space="preserve">Установка и настройка программного обеспечения производится по месту нахождения Заказчика -  локально.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 xml:space="preserve">Наличие возможности использования ПО на отдельном компьютере и онлайн через браузер.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 xml:space="preserve">Обеспечение юридической значимости и конфиденциальности отправляемых отчетов и других документов.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 xml:space="preserve">Формирование персонального календаря бухгалтера для отчетности и налоговых платежей Заказчика.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 xml:space="preserve">Наличие актуальных бухгалтерских и налоговых отчетов, возможность 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 xml:space="preserve">автоматического преобразования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 xml:space="preserve"> подготовленного в 1С отчета в актуальный формат.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 xml:space="preserve">Проведение проверки цифровых значений как внутри одного отчета, так и между разными формами по тем же алгоритмам, что и госорганы.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 xml:space="preserve">Наличие 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 xml:space="preserve">возможности сверки расчетов с бюджетом, получения выписки из ЕГРЮЛ, уведомлений о требованиях.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 xml:space="preserve">Наличие возможности оперативно контролировать зачисление уплаченных налогов.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 xml:space="preserve">Наличие возможности использования электронного документооборота между Заказчиком и госорганами.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 xml:space="preserve">Суперсверка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 xml:space="preserve"> - Право использования следующих подсистем Программы: 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708"/>
                          <w:jc w:val="bot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 xml:space="preserve">Подсистема сверки СЗВ-М, РСВ, и СЗВ-СТАЖ, контроля «забытых» и «лишних» сотрудников (до 10 сотрудников);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 xml:space="preserve">Подсистема наглядной сводной сводки по сверке с бюджетом-долги переплаты в разрезе налогов и компаний;</w:t>
                          <w:br/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 xml:space="preserve">Подсистема сверки НДС с контрагентами- проверка сумм и реквизитов в счетах-фактурах, контроль рисков доначисления НДС (до 50 поставщиков в книге покупок);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pBdr/>
                          <w:spacing/>
                          <w:ind w:firstLine="0"/>
                          <w:jc w:val="both"/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 xml:space="preserve">Подсистема сверки 6-НДФЛ перед сдачей</w:t>
                          <w:br/>
                          <w:t xml:space="preserve">с выпиской из налоговой, контроль расхождений начисления и уплаты НДФЛ, сводный отчет «камеральная проверка» в разрезе организаций</w:t>
                          <w:br/>
                          <w:t xml:space="preserve">и налогов.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  <w:highlight w:val="none"/>
                          </w:rPr>
                        </w:r>
                      </w:p>
                      <w:p>
                        <w:pPr>
                          <w:framePr w:hAnchor="page" w:hSpace="180" w:vAnchor="page" w:wrap="around" w:x="1043" w:y="2249"/>
                          <w:pBdr/>
                          <w:spacing/>
                          <w:ind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r>
                      </w:p>
                    </w:tc>
                  </w:tr>
                </w:tbl>
                <w:p>
                  <w:pPr>
                    <w:pStyle w:val="972"/>
                    <w:framePr w:hAnchor="page" w:hSpace="180" w:vAnchor="page" w:wrap="around" w:x="1043" w:y="2249"/>
                    <w:pBdr/>
                    <w:spacing/>
                    <w:ind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  <w:p>
                  <w:pPr>
                    <w:pStyle w:val="972"/>
                    <w:framePr w:hAnchor="page" w:hSpace="180" w:vAnchor="page" w:wrap="around" w:x="1043" w:y="2249"/>
                    <w:pBdr/>
                    <w:spacing/>
                    <w:ind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  <w:p>
                  <w:pPr>
                    <w:pStyle w:val="972"/>
                    <w:framePr w:hAnchor="page" w:hSpace="180" w:vAnchor="page" w:wrap="around" w:x="1043" w:y="2249"/>
                    <w:pBdr/>
                    <w:spacing/>
                    <w:ind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</w:tc>
            </w:tr>
            <w:tr>
              <w:trPr/>
              <w:tc>
                <w:tcPr>
                  <w:tcBorders/>
                  <w:tcW w:w="6676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18"/>
                      <w:szCs w:val="18"/>
                    </w:rPr>
                    <w:t xml:space="preserve">Общие требования</w:t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r>
                </w:p>
                <w:p>
                  <w:pPr>
                    <w:pBdr/>
                    <w:spacing/>
                    <w:ind/>
                    <w:jc w:val="both"/>
                    <w:rPr>
                      <w:rFonts w:ascii="Times New Roman" w:hAnsi="Times New Roman" w:eastAsia="Times New Roman" w:cs="Times New Roman"/>
                      <w:sz w:val="18"/>
                      <w:szCs w:val="18"/>
                      <w:highlight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Передача неисключительных прав использования программного продукта осуществляется на условиях лицензионного/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сублицензионного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 договоров.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highlight w:val="none"/>
                    </w:rPr>
                  </w:r>
                </w:p>
                <w:p>
                  <w:pPr>
                    <w:pBdr/>
                    <w:spacing/>
                    <w:ind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highlight w:val="none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highlight w:val="none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highlight w:val="none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highlight w:val="none"/>
                    </w:rPr>
                  </w:r>
                </w:p>
                <w:p>
                  <w:pPr>
                    <w:pBdr/>
                    <w:spacing/>
                    <w:ind/>
                    <w:jc w:val="both"/>
                    <w:rPr>
                      <w:rFonts w:ascii="Times New Roman" w:hAnsi="Times New Roman" w:eastAsia="Times New Roman" w:cs="Times New Roman"/>
                      <w:b/>
                      <w:bCs/>
                      <w:sz w:val="18"/>
                      <w:szCs w:val="18"/>
                      <w:highlight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18"/>
                      <w:szCs w:val="18"/>
                      <w:highlight w:val="none"/>
                    </w:rPr>
                    <w:t xml:space="preserve">Порядок оказания услуг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18"/>
                      <w:szCs w:val="18"/>
                      <w:highlight w:val="none"/>
                    </w:rPr>
                  </w:r>
                </w:p>
                <w:p>
                  <w:pPr>
                    <w:pBdr/>
                    <w:spacing/>
                    <w:ind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highlight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highlight w:val="none"/>
                    </w:rPr>
                    <w:t xml:space="preserve">Исполнитель осуществляет консультационную поддержку Заказчика по вопросам  технической поддержки переданного ПО.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highlight w:val="none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highlight w:val="none"/>
                    </w:rPr>
                  </w:r>
                </w:p>
                <w:p>
                  <w:pPr>
                    <w:pStyle w:val="972"/>
                    <w:framePr w:hAnchor="page" w:hSpace="180" w:vAnchor="page" w:wrap="around" w:x="1043" w:y="2249"/>
                    <w:pBdr/>
                    <w:spacing/>
                    <w:ind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</w:tc>
            </w:tr>
          </w:tbl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Документы, подтверждающие оказание услуги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Bdr/>
              <w:spacing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Bdr/>
              <w:spacing/>
              <w:ind w:hanging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sz w:val="18"/>
                <w:szCs w:val="18"/>
              </w:rPr>
              <w:t xml:space="preserve">Акт приемки товаров, работ, услуг Ф. 0510452.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/>
            <w:tcW w:w="1582" w:type="dxa"/>
            <w:textDirection w:val="lrTb"/>
            <w:noWrap w:val="false"/>
          </w:tcPr>
          <w:p>
            <w:pPr>
              <w:pBdr/>
              <w:spacing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(двадцать) рабочих дней с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момента заключения государственного контракта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Bdr/>
              <w:spacing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60"/>
        </w:trPr>
        <w:tc>
          <w:tcPr>
            <w:gridSpan w:val="4"/>
            <w:shd w:val="clear" w:color="ffffff" w:fill="ffffff"/>
            <w:tcBorders/>
            <w:tcW w:w="10224" w:type="dxa"/>
            <w:textDirection w:val="lrTb"/>
            <w:noWrap w:val="false"/>
          </w:tcPr>
          <w:p>
            <w:pPr>
              <w:pBdr/>
              <w:shd w:val="clear" w:color="d9d9d9" w:fill="d9d9d9"/>
              <w:spacing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Формы и требования, предъявляемые к отчетной документации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60"/>
        </w:trPr>
        <w:tc>
          <w:tcPr>
            <w:gridSpan w:val="4"/>
            <w:shd w:val="clear" w:color="ffffff" w:fill="ffffff"/>
            <w:tcBorders/>
            <w:tcW w:w="1022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z w:val="16"/>
                <w:szCs w:val="16"/>
              </w:rPr>
              <w:t xml:space="preserve">Отчет о выполнении работ (оказании услуг), описывающий ход выполнения работ (услуг), предоставляется на бумажном носителе, форматом А4 (2 экз.), и на электронном носителе. Содержание отчета должно отражать выполнение видов работ (услуг), предусмотренных го</w:t>
            </w:r>
            <w:r>
              <w:rPr>
                <w:sz w:val="16"/>
                <w:szCs w:val="16"/>
              </w:rPr>
              <w:t xml:space="preserve">сударственным контрактом и содержать перечень отчетных документов, предусмотренных государственным контрактом. Отчет должен быть оформлен по установленной форме Заказчика. </w:t>
            </w:r>
            <w:r/>
          </w:p>
          <w:p>
            <w:pPr>
              <w:pBdr/>
              <w:spacing/>
              <w:ind/>
              <w:rPr/>
            </w:pPr>
            <w:r>
              <w:rPr>
                <w:sz w:val="16"/>
                <w:szCs w:val="16"/>
              </w:rPr>
              <w:t xml:space="preserve">При наличии в Техническом задании указания на товарный знак Заказчик предполагает п</w:t>
            </w:r>
            <w:r>
              <w:rPr>
                <w:sz w:val="16"/>
                <w:szCs w:val="16"/>
              </w:rPr>
              <w:t xml:space="preserve">раво Участника закупки предложить к поставке эквивалентный товар (т.е. при указании в документации об аукционе на товарные знаки считать, что они сопровождаются словами «или эквивалент»).</w:t>
            </w:r>
            <w:r/>
          </w:p>
          <w:p>
            <w:pPr>
              <w:pBdr/>
              <w:spacing/>
              <w:ind/>
              <w:rPr/>
            </w:pPr>
            <w:r>
              <w:rPr>
                <w:sz w:val="16"/>
                <w:szCs w:val="16"/>
              </w:rPr>
              <w:t xml:space="preserve">В состав отчетной документации также должны входить документы, указа</w:t>
            </w:r>
            <w:r>
              <w:rPr>
                <w:sz w:val="16"/>
                <w:szCs w:val="16"/>
              </w:rPr>
              <w:t xml:space="preserve">нные в пункте 4 Приложения № 3 к государственному контракту. </w:t>
            </w:r>
            <w:r/>
          </w:p>
          <w:p>
            <w:pPr>
              <w:pBdr/>
              <w:spacing/>
              <w:ind w:hanging="2"/>
              <w:rPr>
                <w:rFonts w:ascii="Times New Roman" w:hAnsi="Times New Roman"/>
              </w:rPr>
            </w:pPr>
            <w:r>
              <w:rPr>
                <w:sz w:val="16"/>
                <w:szCs w:val="16"/>
              </w:rPr>
              <w:t xml:space="preserve">Отчетные материалы предоставляются в отдел государственного заказа Финансово-экономического управления Федерального агентства по делам молодежи.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Bdr/>
        <w:shd w:val="clear" w:color="auto" w:fill="ffffff"/>
        <w:spacing/>
        <w:ind w:right="9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/>
        <w:tabs>
          <w:tab w:val="left" w:leader="none" w:pos="7470"/>
        </w:tabs>
        <w:spacing/>
        <w:ind/>
        <w:rPr>
          <w:sz w:val="16"/>
          <w:szCs w:val="16"/>
        </w:rPr>
      </w:pPr>
      <w:r>
        <w:rPr>
          <w:sz w:val="16"/>
          <w:szCs w:val="16"/>
        </w:rPr>
        <w:tab/>
      </w:r>
      <w:bookmarkStart w:id="0" w:name="_GoBack"/>
      <w:r/>
      <w:bookmarkEnd w:id="0"/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Bdr/>
        <w:spacing/>
        <w:ind/>
        <w:rPr/>
      </w:pPr>
      <w:r/>
      <w:r/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h="16838" w:orient="portrait" w:w="11906"/>
      <w:pgMar w:top="540" w:right="746" w:bottom="719" w:left="900" w:header="708" w:footer="708" w:gutter="0"/>
      <w:cols w:num="1" w:sep="0" w:space="708" w:equalWidth="1"/>
      <w:titlePg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Tahoma">
    <w:panose1 w:val="020B0604030504040204"/>
  </w:font>
  <w:font w:name="Wingdings">
    <w:panose1 w:val="05000000000000000000"/>
  </w:font>
  <w:font w:name="PT Sans">
    <w:panose1 w:val="020B0503020203020204"/>
  </w:font>
  <w:font w:name="Calibri">
    <w:panose1 w:val="020F0502020204030204"/>
  </w:font>
  <w:font w:name="Arial">
    <w:panose1 w:val="020B0604020202020204"/>
  </w:font>
  <w:font w:name="FreeSans">
    <w:panose1 w:val="05010000000000000000"/>
  </w:font>
  <w:font w:name="SimSun">
    <w:panose1 w:val="02010600030101010101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3"/>
      <w:pBdr/>
      <w:spacing/>
      <w:ind/>
      <w:rPr>
        <w:b/>
        <w:i/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                                                                                                      </w:t>
    </w:r>
    <w:r>
      <w:rPr>
        <w:b/>
        <w:i/>
        <w:sz w:val="16"/>
        <w:szCs w:val="16"/>
        <w:highlight w:val="lightGray"/>
      </w:rPr>
      <w:t xml:space="preserve">стр</w:t>
    </w:r>
    <w:r>
      <w:rPr>
        <w:b/>
        <w:i/>
        <w:sz w:val="16"/>
        <w:szCs w:val="16"/>
        <w:highlight w:val="lightGray"/>
      </w:rPr>
      <w:t xml:space="preserve">. </w:t>
    </w:r>
    <w:r>
      <w:rPr>
        <w:b/>
        <w:i/>
        <w:sz w:val="16"/>
        <w:szCs w:val="16"/>
        <w:highlight w:val="lightGray"/>
      </w:rPr>
      <w:fldChar w:fldCharType="begin"/>
    </w:r>
    <w:r>
      <w:rPr>
        <w:b/>
        <w:i/>
        <w:sz w:val="16"/>
        <w:szCs w:val="16"/>
        <w:highlight w:val="lightGray"/>
      </w:rPr>
      <w:instrText xml:space="preserve"> PAGE </w:instrText>
    </w:r>
    <w:r>
      <w:rPr>
        <w:b/>
        <w:i/>
        <w:sz w:val="16"/>
        <w:szCs w:val="16"/>
        <w:highlight w:val="lightGray"/>
      </w:rPr>
      <w:fldChar w:fldCharType="separate"/>
    </w:r>
    <w:r>
      <w:rPr>
        <w:b/>
        <w:i/>
        <w:sz w:val="16"/>
        <w:szCs w:val="16"/>
        <w:highlight w:val="lightGray"/>
      </w:rPr>
      <w:t xml:space="preserve">3</w:t>
    </w:r>
    <w:r>
      <w:rPr>
        <w:b/>
        <w:i/>
        <w:sz w:val="16"/>
        <w:szCs w:val="16"/>
        <w:highlight w:val="lightGray"/>
      </w:rPr>
      <w:fldChar w:fldCharType="end"/>
    </w:r>
    <w:r>
      <w:rPr>
        <w:b/>
        <w:i/>
        <w:sz w:val="16"/>
        <w:szCs w:val="16"/>
        <w:highlight w:val="lightGray"/>
      </w:rPr>
      <w:t xml:space="preserve"> </w:t>
    </w:r>
    <w:r>
      <w:rPr>
        <w:b/>
        <w:i/>
        <w:sz w:val="16"/>
        <w:szCs w:val="16"/>
        <w:highlight w:val="lightGray"/>
      </w:rPr>
      <w:t xml:space="preserve">из</w:t>
    </w:r>
    <w:r>
      <w:rPr>
        <w:b/>
        <w:i/>
        <w:sz w:val="16"/>
        <w:szCs w:val="16"/>
        <w:highlight w:val="lightGray"/>
      </w:rPr>
      <w:t xml:space="preserve"> </w:t>
    </w:r>
    <w:r>
      <w:rPr>
        <w:b/>
        <w:i/>
        <w:sz w:val="16"/>
        <w:szCs w:val="16"/>
        <w:highlight w:val="lightGray"/>
      </w:rPr>
      <w:fldChar w:fldCharType="begin"/>
    </w:r>
    <w:r>
      <w:rPr>
        <w:b/>
        <w:i/>
        <w:sz w:val="16"/>
        <w:szCs w:val="16"/>
        <w:highlight w:val="lightGray"/>
      </w:rPr>
      <w:instrText xml:space="preserve"> NUMPAGES </w:instrText>
    </w:r>
    <w:r>
      <w:rPr>
        <w:b/>
        <w:i/>
        <w:sz w:val="16"/>
        <w:szCs w:val="16"/>
        <w:highlight w:val="lightGray"/>
      </w:rPr>
      <w:fldChar w:fldCharType="separate"/>
    </w:r>
    <w:r>
      <w:rPr>
        <w:b/>
        <w:i/>
        <w:sz w:val="16"/>
        <w:szCs w:val="16"/>
        <w:highlight w:val="lightGray"/>
      </w:rPr>
      <w:t xml:space="preserve">3</w:t>
    </w:r>
    <w:r>
      <w:rPr>
        <w:b/>
        <w:i/>
        <w:sz w:val="16"/>
        <w:szCs w:val="16"/>
        <w:highlight w:val="lightGray"/>
      </w:rPr>
      <w:fldChar w:fldCharType="end"/>
    </w:r>
    <w:r>
      <w:rPr>
        <w:b/>
        <w:i/>
        <w:sz w:val="16"/>
        <w:szCs w:val="16"/>
      </w:rPr>
    </w:r>
    <w:r>
      <w:rPr>
        <w:b/>
        <w:i/>
        <w:sz w:val="16"/>
        <w:szCs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pBdr/>
      <w:spacing/>
      <w:ind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/>
      </w:pPr>
      <w:rPr/>
      <w:start w:val="3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3">
    <w:name w:val="Intense Emphasis"/>
    <w:basedOn w:val="79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64">
    <w:name w:val="Intense Reference"/>
    <w:basedOn w:val="79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65">
    <w:name w:val="Subtle Emphasis"/>
    <w:basedOn w:val="79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66">
    <w:name w:val="Emphasis"/>
    <w:basedOn w:val="799"/>
    <w:uiPriority w:val="20"/>
    <w:qFormat/>
    <w:pPr>
      <w:pBdr/>
      <w:spacing/>
      <w:ind/>
    </w:pPr>
    <w:rPr>
      <w:i/>
      <w:iCs/>
    </w:rPr>
  </w:style>
  <w:style w:type="character" w:styleId="767">
    <w:name w:val="Strong"/>
    <w:basedOn w:val="799"/>
    <w:uiPriority w:val="22"/>
    <w:qFormat/>
    <w:pPr>
      <w:pBdr/>
      <w:spacing/>
      <w:ind/>
    </w:pPr>
    <w:rPr>
      <w:b/>
      <w:bCs/>
    </w:rPr>
  </w:style>
  <w:style w:type="character" w:styleId="768">
    <w:name w:val="Subtle Reference"/>
    <w:basedOn w:val="79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69">
    <w:name w:val="Book Title"/>
    <w:basedOn w:val="79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70">
    <w:name w:val="FollowedHyperlink"/>
    <w:basedOn w:val="79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71">
    <w:name w:val="Placeholder Text"/>
    <w:basedOn w:val="799"/>
    <w:uiPriority w:val="99"/>
    <w:semiHidden/>
    <w:pPr>
      <w:pBdr/>
      <w:spacing/>
      <w:ind/>
    </w:pPr>
    <w:rPr>
      <w:color w:val="666666"/>
    </w:rPr>
  </w:style>
  <w:style w:type="character" w:styleId="772">
    <w:name w:val="Heading 1 Char"/>
    <w:basedOn w:val="799"/>
    <w:link w:val="79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73">
    <w:name w:val="Heading 2 Char"/>
    <w:basedOn w:val="799"/>
    <w:link w:val="791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74">
    <w:name w:val="Heading 3 Char"/>
    <w:basedOn w:val="799"/>
    <w:link w:val="79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75">
    <w:name w:val="Heading 4 Char"/>
    <w:basedOn w:val="799"/>
    <w:link w:val="79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76">
    <w:name w:val="Heading 5 Char"/>
    <w:basedOn w:val="799"/>
    <w:link w:val="79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77">
    <w:name w:val="Heading 6 Char"/>
    <w:basedOn w:val="799"/>
    <w:link w:val="79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78">
    <w:name w:val="Heading 7 Char"/>
    <w:basedOn w:val="799"/>
    <w:link w:val="79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9">
    <w:name w:val="Heading 8 Char"/>
    <w:basedOn w:val="799"/>
    <w:link w:val="79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80">
    <w:name w:val="Heading 9 Char"/>
    <w:basedOn w:val="799"/>
    <w:link w:val="79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81">
    <w:name w:val="Title Char"/>
    <w:basedOn w:val="799"/>
    <w:link w:val="813"/>
    <w:uiPriority w:val="10"/>
    <w:pPr>
      <w:pBdr/>
      <w:spacing/>
      <w:ind/>
    </w:pPr>
    <w:rPr>
      <w:sz w:val="48"/>
      <w:szCs w:val="48"/>
    </w:rPr>
  </w:style>
  <w:style w:type="character" w:styleId="782">
    <w:name w:val="Subtitle Char"/>
    <w:basedOn w:val="799"/>
    <w:link w:val="815"/>
    <w:uiPriority w:val="11"/>
    <w:pPr>
      <w:pBdr/>
      <w:spacing/>
      <w:ind/>
    </w:pPr>
    <w:rPr>
      <w:sz w:val="24"/>
      <w:szCs w:val="24"/>
    </w:rPr>
  </w:style>
  <w:style w:type="character" w:styleId="783">
    <w:name w:val="Quote Char"/>
    <w:link w:val="817"/>
    <w:uiPriority w:val="29"/>
    <w:pPr>
      <w:pBdr/>
      <w:spacing/>
      <w:ind/>
    </w:pPr>
    <w:rPr>
      <w:i/>
    </w:rPr>
  </w:style>
  <w:style w:type="character" w:styleId="784">
    <w:name w:val="Intense Quote Char"/>
    <w:link w:val="819"/>
    <w:uiPriority w:val="30"/>
    <w:pPr>
      <w:pBdr/>
      <w:spacing/>
      <w:ind/>
    </w:pPr>
    <w:rPr>
      <w:i/>
    </w:rPr>
  </w:style>
  <w:style w:type="character" w:styleId="785">
    <w:name w:val="Header Char"/>
    <w:basedOn w:val="799"/>
    <w:link w:val="968"/>
    <w:uiPriority w:val="99"/>
    <w:pPr>
      <w:pBdr/>
      <w:spacing/>
      <w:ind/>
    </w:pPr>
  </w:style>
  <w:style w:type="character" w:styleId="786">
    <w:name w:val="Caption Char"/>
    <w:basedOn w:val="823"/>
    <w:link w:val="969"/>
    <w:uiPriority w:val="99"/>
    <w:pPr>
      <w:pBdr/>
      <w:spacing/>
      <w:ind/>
    </w:pPr>
  </w:style>
  <w:style w:type="character" w:styleId="787">
    <w:name w:val="Footnote Text Char"/>
    <w:link w:val="951"/>
    <w:uiPriority w:val="99"/>
    <w:pPr>
      <w:pBdr/>
      <w:spacing/>
      <w:ind/>
    </w:pPr>
    <w:rPr>
      <w:sz w:val="18"/>
    </w:rPr>
  </w:style>
  <w:style w:type="character" w:styleId="788">
    <w:name w:val="Endnote Text Char"/>
    <w:link w:val="954"/>
    <w:uiPriority w:val="99"/>
    <w:pPr>
      <w:pBdr/>
      <w:spacing/>
      <w:ind/>
    </w:pPr>
    <w:rPr>
      <w:sz w:val="20"/>
    </w:rPr>
  </w:style>
  <w:style w:type="paragraph" w:styleId="789" w:default="1">
    <w:name w:val="Normal"/>
    <w:qFormat/>
    <w:pPr>
      <w:pBdr/>
      <w:spacing/>
      <w:ind/>
      <w:jc w:val="both"/>
    </w:pPr>
    <w:rPr>
      <w:rFonts w:eastAsia="Calibri" w:asciiTheme="minorHAnsi" w:hAnsiTheme="minorHAnsi" w:cstheme="minorBidi"/>
      <w:sz w:val="24"/>
      <w:szCs w:val="24"/>
    </w:rPr>
  </w:style>
  <w:style w:type="paragraph" w:styleId="790">
    <w:name w:val="Heading 1"/>
    <w:basedOn w:val="789"/>
    <w:next w:val="789"/>
    <w:link w:val="802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91">
    <w:name w:val="Heading 2"/>
    <w:basedOn w:val="789"/>
    <w:next w:val="789"/>
    <w:link w:val="803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92">
    <w:name w:val="Heading 3"/>
    <w:basedOn w:val="789"/>
    <w:next w:val="789"/>
    <w:link w:val="804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93">
    <w:name w:val="Heading 4"/>
    <w:basedOn w:val="789"/>
    <w:next w:val="789"/>
    <w:link w:val="80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94">
    <w:name w:val="Heading 5"/>
    <w:basedOn w:val="789"/>
    <w:next w:val="789"/>
    <w:link w:val="80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795">
    <w:name w:val="Heading 6"/>
    <w:basedOn w:val="789"/>
    <w:next w:val="789"/>
    <w:link w:val="807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96">
    <w:name w:val="Heading 7"/>
    <w:basedOn w:val="789"/>
    <w:next w:val="789"/>
    <w:link w:val="80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97">
    <w:name w:val="Heading 8"/>
    <w:basedOn w:val="789"/>
    <w:next w:val="789"/>
    <w:link w:val="809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8">
    <w:name w:val="Heading 9"/>
    <w:basedOn w:val="789"/>
    <w:next w:val="789"/>
    <w:link w:val="81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9" w:default="1">
    <w:name w:val="Default Paragraph Font"/>
    <w:uiPriority w:val="1"/>
    <w:semiHidden/>
    <w:unhideWhenUsed/>
    <w:pPr>
      <w:pBdr/>
      <w:spacing/>
      <w:ind/>
    </w:pPr>
  </w:style>
  <w:style w:type="table" w:styleId="80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01" w:default="1">
    <w:name w:val="No List"/>
    <w:uiPriority w:val="99"/>
    <w:semiHidden/>
    <w:unhideWhenUsed/>
    <w:pPr>
      <w:pBdr/>
      <w:spacing/>
      <w:ind/>
    </w:pPr>
  </w:style>
  <w:style w:type="character" w:styleId="802" w:customStyle="1">
    <w:name w:val="Заголовок 1 Знак"/>
    <w:basedOn w:val="799"/>
    <w:link w:val="79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03" w:customStyle="1">
    <w:name w:val="Заголовок 2 Знак"/>
    <w:basedOn w:val="799"/>
    <w:link w:val="791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04" w:customStyle="1">
    <w:name w:val="Заголовок 3 Знак"/>
    <w:basedOn w:val="799"/>
    <w:link w:val="79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05" w:customStyle="1">
    <w:name w:val="Заголовок 4 Знак"/>
    <w:basedOn w:val="799"/>
    <w:link w:val="79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06" w:customStyle="1">
    <w:name w:val="Заголовок 5 Знак"/>
    <w:basedOn w:val="799"/>
    <w:link w:val="79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07" w:customStyle="1">
    <w:name w:val="Заголовок 6 Знак"/>
    <w:basedOn w:val="799"/>
    <w:link w:val="79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08" w:customStyle="1">
    <w:name w:val="Заголовок 7 Знак"/>
    <w:basedOn w:val="799"/>
    <w:link w:val="79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09" w:customStyle="1">
    <w:name w:val="Заголовок 8 Знак"/>
    <w:basedOn w:val="799"/>
    <w:link w:val="79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10" w:customStyle="1">
    <w:name w:val="Заголовок 9 Знак"/>
    <w:basedOn w:val="799"/>
    <w:link w:val="79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11">
    <w:name w:val="List Paragraph"/>
    <w:basedOn w:val="789"/>
    <w:uiPriority w:val="34"/>
    <w:qFormat/>
    <w:pPr>
      <w:pBdr/>
      <w:spacing/>
      <w:ind w:left="720"/>
      <w:contextualSpacing w:val="true"/>
    </w:pPr>
  </w:style>
  <w:style w:type="paragraph" w:styleId="812">
    <w:name w:val="No Spacing"/>
    <w:uiPriority w:val="1"/>
    <w:qFormat/>
    <w:pPr>
      <w:pBdr/>
      <w:spacing/>
      <w:ind/>
    </w:pPr>
  </w:style>
  <w:style w:type="paragraph" w:styleId="813">
    <w:name w:val="Title"/>
    <w:basedOn w:val="789"/>
    <w:next w:val="789"/>
    <w:link w:val="81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14" w:customStyle="1">
    <w:name w:val="Название Знак"/>
    <w:basedOn w:val="799"/>
    <w:link w:val="813"/>
    <w:uiPriority w:val="10"/>
    <w:pPr>
      <w:pBdr/>
      <w:spacing/>
      <w:ind/>
    </w:pPr>
    <w:rPr>
      <w:sz w:val="48"/>
      <w:szCs w:val="48"/>
    </w:rPr>
  </w:style>
  <w:style w:type="paragraph" w:styleId="815">
    <w:name w:val="Subtitle"/>
    <w:basedOn w:val="789"/>
    <w:next w:val="789"/>
    <w:link w:val="816"/>
    <w:uiPriority w:val="11"/>
    <w:qFormat/>
    <w:pPr>
      <w:pBdr/>
      <w:spacing w:after="200" w:before="200"/>
      <w:ind/>
    </w:pPr>
  </w:style>
  <w:style w:type="character" w:styleId="816" w:customStyle="1">
    <w:name w:val="Подзаголовок Знак"/>
    <w:basedOn w:val="799"/>
    <w:link w:val="815"/>
    <w:uiPriority w:val="11"/>
    <w:pPr>
      <w:pBdr/>
      <w:spacing/>
      <w:ind/>
    </w:pPr>
    <w:rPr>
      <w:sz w:val="24"/>
      <w:szCs w:val="24"/>
    </w:rPr>
  </w:style>
  <w:style w:type="paragraph" w:styleId="817">
    <w:name w:val="Quote"/>
    <w:basedOn w:val="789"/>
    <w:next w:val="789"/>
    <w:link w:val="818"/>
    <w:uiPriority w:val="29"/>
    <w:qFormat/>
    <w:pPr>
      <w:pBdr/>
      <w:spacing/>
      <w:ind w:right="720" w:left="720"/>
    </w:pPr>
    <w:rPr>
      <w:i/>
    </w:rPr>
  </w:style>
  <w:style w:type="character" w:styleId="818" w:customStyle="1">
    <w:name w:val="Цитата 2 Знак"/>
    <w:link w:val="817"/>
    <w:uiPriority w:val="29"/>
    <w:pPr>
      <w:pBdr/>
      <w:spacing/>
      <w:ind/>
    </w:pPr>
    <w:rPr>
      <w:i/>
    </w:rPr>
  </w:style>
  <w:style w:type="paragraph" w:styleId="819">
    <w:name w:val="Intense Quote"/>
    <w:basedOn w:val="789"/>
    <w:next w:val="789"/>
    <w:link w:val="82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20" w:customStyle="1">
    <w:name w:val="Выделенная цитата Знак"/>
    <w:link w:val="819"/>
    <w:uiPriority w:val="30"/>
    <w:pPr>
      <w:pBdr/>
      <w:spacing/>
      <w:ind/>
    </w:pPr>
    <w:rPr>
      <w:i/>
    </w:rPr>
  </w:style>
  <w:style w:type="character" w:styleId="821" w:customStyle="1">
    <w:name w:val="Верхний колонтитул Знак"/>
    <w:basedOn w:val="799"/>
    <w:link w:val="968"/>
    <w:uiPriority w:val="99"/>
    <w:pPr>
      <w:pBdr/>
      <w:spacing/>
      <w:ind/>
    </w:pPr>
  </w:style>
  <w:style w:type="character" w:styleId="822" w:customStyle="1">
    <w:name w:val="Footer Char"/>
    <w:basedOn w:val="799"/>
    <w:uiPriority w:val="99"/>
    <w:pPr>
      <w:pBdr/>
      <w:spacing/>
      <w:ind/>
    </w:pPr>
  </w:style>
  <w:style w:type="paragraph" w:styleId="823">
    <w:name w:val="Caption"/>
    <w:basedOn w:val="789"/>
    <w:next w:val="789"/>
    <w:uiPriority w:val="35"/>
    <w:semiHidden/>
    <w:unhideWhenUsed/>
    <w:qFormat/>
    <w:pPr>
      <w:pBdr/>
      <w:spacing w:line="276" w:lineRule="auto"/>
      <w:ind/>
    </w:pPr>
    <w:rPr>
      <w:b/>
      <w:bCs/>
      <w:color w:val="5b9bd5" w:themeColor="accent1"/>
      <w:sz w:val="18"/>
      <w:szCs w:val="18"/>
    </w:rPr>
  </w:style>
  <w:style w:type="character" w:styleId="824" w:customStyle="1">
    <w:name w:val="Нижний колонтитул Знак"/>
    <w:link w:val="969"/>
    <w:uiPriority w:val="99"/>
    <w:pPr>
      <w:pBdr/>
      <w:spacing/>
      <w:ind/>
    </w:pPr>
  </w:style>
  <w:style w:type="table" w:styleId="825" w:customStyle="1">
    <w:name w:val="Table Grid Light"/>
    <w:basedOn w:val="800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Plain Table 1"/>
    <w:basedOn w:val="800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Plain Table 2"/>
    <w:basedOn w:val="800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Plain Table 3"/>
    <w:basedOn w:val="80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Plain Table 4"/>
    <w:basedOn w:val="80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Plain Table 5"/>
    <w:basedOn w:val="80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1 Light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1 Light - Accent 1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1 Light - Accent 2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1 Light - Accent 3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1 Light - Accent 4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1 Light - Accent 5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1 Light - Accent 6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2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2 - Accent 1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2 - Accent 2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2 - Accent 3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2 - Accent 4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2 - Accent 5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2 - Accent 6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3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3 - Accent 1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3 - Accent 2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3 - Accent 3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3 - Accent 4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3 - Accent 5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3 - Accent 6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4"/>
    <w:basedOn w:val="800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4 - Accent 1"/>
    <w:basedOn w:val="800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4 - Accent 2"/>
    <w:basedOn w:val="800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4 - Accent 3"/>
    <w:basedOn w:val="800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4 - Accent 4"/>
    <w:basedOn w:val="800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4 - Accent 5"/>
    <w:basedOn w:val="800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4 - Accent 6"/>
    <w:basedOn w:val="800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5 Dark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5 Dark- Accent 1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5 Dark - Accent 2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5 Dark - Accent 3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5 Dark- Accent 4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5 Dark - Accent 5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5 Dark - Accent 6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6 Colorful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6 Colorful - Accent 1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6 Colorful - Accent 2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6 Colorful - Accent 3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6 Colorful - Accent 4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6 Colorful - Accent 5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6 Colorful - Accent 6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7 Colorful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7 Colorful - Accent 1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7 Colorful - Accent 2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7 Colorful - Accent 3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7 Colorful - Accent 4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7 Colorful - Accent 5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7 Colorful - Accent 6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1 Light"/>
    <w:basedOn w:val="80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1 Light - Accent 1"/>
    <w:basedOn w:val="80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1 Light - Accent 2"/>
    <w:basedOn w:val="80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1 Light - Accent 3"/>
    <w:basedOn w:val="80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1 Light - Accent 4"/>
    <w:basedOn w:val="80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1 Light - Accent 5"/>
    <w:basedOn w:val="80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1 Light - Accent 6"/>
    <w:basedOn w:val="80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2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2 - Accent 1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2 - Accent 2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2 - Accent 3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2 - Accent 4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2 - Accent 5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2 - Accent 6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3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3 - Accent 1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3 - Accent 2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3 - Accent 3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3 - Accent 4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3 - Accent 5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3 - Accent 6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4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4 - Accent 1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4 - Accent 2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4 - Accent 3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4 - Accent 4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4 - Accent 5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4 - Accent 6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5 Dark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5 Dark - Accent 1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5 Dark - Accent 2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5 Dark - Accent 3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5 Dark - Accent 4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5 Dark - Accent 5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5 Dark - Accent 6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6 Colorful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6 Colorful - Accent 1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6 Colorful - Accent 2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6 Colorful - Accent 3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6 Colorful - Accent 4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6 Colorful - Accent 5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6 Colorful - Accent 6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7 Colorful"/>
    <w:basedOn w:val="800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7 Colorful - Accent 1"/>
    <w:basedOn w:val="800"/>
    <w:uiPriority w:val="99"/>
    <w:pPr>
      <w:pBdr/>
      <w:spacing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7 Colorful - Accent 2"/>
    <w:basedOn w:val="800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7 Colorful - Accent 3"/>
    <w:basedOn w:val="800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7 Colorful - Accent 4"/>
    <w:basedOn w:val="800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7 Colorful - Accent 5"/>
    <w:basedOn w:val="800"/>
    <w:uiPriority w:val="99"/>
    <w:pPr>
      <w:pBdr/>
      <w:spacing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7 Colorful - Accent 6"/>
    <w:basedOn w:val="800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ned - Accent"/>
    <w:basedOn w:val="80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ned - Accent 1"/>
    <w:basedOn w:val="80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ned - Accent 2"/>
    <w:basedOn w:val="80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ned - Accent 3"/>
    <w:basedOn w:val="80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ned - Accent 4"/>
    <w:basedOn w:val="80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ned - Accent 5"/>
    <w:basedOn w:val="80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ned - Accent 6"/>
    <w:basedOn w:val="80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&amp; Lined - Accent"/>
    <w:basedOn w:val="80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&amp; Lined - Accent 1"/>
    <w:basedOn w:val="80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&amp; Lined - Accent 2"/>
    <w:basedOn w:val="80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&amp; Lined - Accent 3"/>
    <w:basedOn w:val="80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&amp; Lined - Accent 4"/>
    <w:basedOn w:val="80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&amp; Lined - Accent 5"/>
    <w:basedOn w:val="80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&amp; Lined - Accent 6"/>
    <w:basedOn w:val="80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Bordered - Accent 1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Bordered - Accent 2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Bordered - Accent 3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Bordered - Accent 4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Bordered - Accent 5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Bordered - Accent 6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50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51">
    <w:name w:val="footnote text"/>
    <w:basedOn w:val="789"/>
    <w:link w:val="952"/>
    <w:uiPriority w:val="99"/>
    <w:semiHidden/>
    <w:unhideWhenUsed/>
    <w:pPr>
      <w:pBdr/>
      <w:spacing w:after="40"/>
      <w:ind/>
    </w:pPr>
    <w:rPr>
      <w:sz w:val="18"/>
    </w:rPr>
  </w:style>
  <w:style w:type="character" w:styleId="952" w:customStyle="1">
    <w:name w:val="Текст сноски Знак"/>
    <w:link w:val="951"/>
    <w:uiPriority w:val="99"/>
    <w:pPr>
      <w:pBdr/>
      <w:spacing/>
      <w:ind/>
    </w:pPr>
    <w:rPr>
      <w:sz w:val="18"/>
    </w:rPr>
  </w:style>
  <w:style w:type="character" w:styleId="953">
    <w:name w:val="footnote reference"/>
    <w:basedOn w:val="799"/>
    <w:uiPriority w:val="99"/>
    <w:unhideWhenUsed/>
    <w:pPr>
      <w:pBdr/>
      <w:spacing/>
      <w:ind/>
    </w:pPr>
    <w:rPr>
      <w:vertAlign w:val="superscript"/>
    </w:rPr>
  </w:style>
  <w:style w:type="paragraph" w:styleId="954">
    <w:name w:val="endnote text"/>
    <w:basedOn w:val="789"/>
    <w:link w:val="955"/>
    <w:uiPriority w:val="99"/>
    <w:semiHidden/>
    <w:unhideWhenUsed/>
    <w:pPr>
      <w:pBdr/>
      <w:spacing/>
      <w:ind/>
    </w:pPr>
    <w:rPr>
      <w:sz w:val="20"/>
    </w:rPr>
  </w:style>
  <w:style w:type="character" w:styleId="955" w:customStyle="1">
    <w:name w:val="Текст концевой сноски Знак"/>
    <w:link w:val="954"/>
    <w:uiPriority w:val="99"/>
    <w:pPr>
      <w:pBdr/>
      <w:spacing/>
      <w:ind/>
    </w:pPr>
    <w:rPr>
      <w:sz w:val="20"/>
    </w:rPr>
  </w:style>
  <w:style w:type="character" w:styleId="956">
    <w:name w:val="endnote reference"/>
    <w:basedOn w:val="799"/>
    <w:uiPriority w:val="99"/>
    <w:semiHidden/>
    <w:unhideWhenUsed/>
    <w:pPr>
      <w:pBdr/>
      <w:spacing/>
      <w:ind/>
    </w:pPr>
    <w:rPr>
      <w:vertAlign w:val="superscript"/>
    </w:rPr>
  </w:style>
  <w:style w:type="paragraph" w:styleId="957">
    <w:name w:val="toc 1"/>
    <w:basedOn w:val="789"/>
    <w:next w:val="789"/>
    <w:uiPriority w:val="39"/>
    <w:unhideWhenUsed/>
    <w:pPr>
      <w:pBdr/>
      <w:spacing w:after="57"/>
      <w:ind/>
    </w:pPr>
  </w:style>
  <w:style w:type="paragraph" w:styleId="958">
    <w:name w:val="toc 2"/>
    <w:basedOn w:val="789"/>
    <w:next w:val="789"/>
    <w:uiPriority w:val="39"/>
    <w:unhideWhenUsed/>
    <w:pPr>
      <w:pBdr/>
      <w:spacing w:after="57"/>
      <w:ind w:left="283"/>
    </w:pPr>
  </w:style>
  <w:style w:type="paragraph" w:styleId="959">
    <w:name w:val="toc 3"/>
    <w:basedOn w:val="789"/>
    <w:next w:val="789"/>
    <w:uiPriority w:val="39"/>
    <w:unhideWhenUsed/>
    <w:pPr>
      <w:pBdr/>
      <w:spacing w:after="57"/>
      <w:ind w:left="567"/>
    </w:pPr>
  </w:style>
  <w:style w:type="paragraph" w:styleId="960">
    <w:name w:val="toc 4"/>
    <w:basedOn w:val="789"/>
    <w:next w:val="789"/>
    <w:uiPriority w:val="39"/>
    <w:unhideWhenUsed/>
    <w:pPr>
      <w:pBdr/>
      <w:spacing w:after="57"/>
      <w:ind w:left="850"/>
    </w:pPr>
  </w:style>
  <w:style w:type="paragraph" w:styleId="961">
    <w:name w:val="toc 5"/>
    <w:basedOn w:val="789"/>
    <w:next w:val="789"/>
    <w:uiPriority w:val="39"/>
    <w:unhideWhenUsed/>
    <w:pPr>
      <w:pBdr/>
      <w:spacing w:after="57"/>
      <w:ind w:left="1134"/>
    </w:pPr>
  </w:style>
  <w:style w:type="paragraph" w:styleId="962">
    <w:name w:val="toc 6"/>
    <w:basedOn w:val="789"/>
    <w:next w:val="789"/>
    <w:uiPriority w:val="39"/>
    <w:unhideWhenUsed/>
    <w:pPr>
      <w:pBdr/>
      <w:spacing w:after="57"/>
      <w:ind w:left="1417"/>
    </w:pPr>
  </w:style>
  <w:style w:type="paragraph" w:styleId="963">
    <w:name w:val="toc 7"/>
    <w:basedOn w:val="789"/>
    <w:next w:val="789"/>
    <w:uiPriority w:val="39"/>
    <w:unhideWhenUsed/>
    <w:pPr>
      <w:pBdr/>
      <w:spacing w:after="57"/>
      <w:ind w:left="1701"/>
    </w:pPr>
  </w:style>
  <w:style w:type="paragraph" w:styleId="964">
    <w:name w:val="toc 8"/>
    <w:basedOn w:val="789"/>
    <w:next w:val="789"/>
    <w:uiPriority w:val="39"/>
    <w:unhideWhenUsed/>
    <w:pPr>
      <w:pBdr/>
      <w:spacing w:after="57"/>
      <w:ind w:left="1984"/>
    </w:pPr>
  </w:style>
  <w:style w:type="paragraph" w:styleId="965">
    <w:name w:val="toc 9"/>
    <w:basedOn w:val="789"/>
    <w:next w:val="789"/>
    <w:uiPriority w:val="39"/>
    <w:unhideWhenUsed/>
    <w:pPr>
      <w:pBdr/>
      <w:spacing w:after="57"/>
      <w:ind w:left="2268"/>
    </w:pPr>
  </w:style>
  <w:style w:type="paragraph" w:styleId="966">
    <w:name w:val="TOC Heading"/>
    <w:uiPriority w:val="39"/>
    <w:unhideWhenUsed/>
    <w:pPr>
      <w:pBdr/>
      <w:spacing/>
      <w:ind/>
    </w:pPr>
  </w:style>
  <w:style w:type="paragraph" w:styleId="967">
    <w:name w:val="table of figures"/>
    <w:basedOn w:val="789"/>
    <w:next w:val="789"/>
    <w:uiPriority w:val="99"/>
    <w:unhideWhenUsed/>
    <w:pPr>
      <w:pBdr/>
      <w:spacing/>
      <w:ind/>
    </w:pPr>
  </w:style>
  <w:style w:type="paragraph" w:styleId="968">
    <w:name w:val="Header"/>
    <w:basedOn w:val="789"/>
    <w:link w:val="821"/>
    <w:uiPriority w:val="99"/>
    <w:unhideWhenUsed/>
    <w:qFormat/>
    <w:pPr>
      <w:pBdr/>
      <w:tabs>
        <w:tab w:val="center" w:leader="none" w:pos="7143"/>
        <w:tab w:val="right" w:leader="none" w:pos="14287"/>
      </w:tabs>
      <w:spacing/>
      <w:ind/>
    </w:pPr>
  </w:style>
  <w:style w:type="paragraph" w:styleId="969">
    <w:name w:val="Footer"/>
    <w:basedOn w:val="789"/>
    <w:link w:val="824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table" w:styleId="970">
    <w:name w:val="Table Grid"/>
    <w:uiPriority w:val="59"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1" w:customStyle="1">
    <w:name w:val="Обычный1"/>
    <w:uiPriority w:val="99"/>
    <w:qFormat/>
    <w:pPr>
      <w:pBdr/>
      <w:spacing/>
      <w:ind/>
    </w:pPr>
    <w:rPr>
      <w:rFonts w:asciiTheme="minorHAnsi" w:hAnsiTheme="minorHAnsi" w:eastAsiaTheme="minorEastAsia" w:cstheme="minorBidi"/>
      <w:lang w:eastAsia="ar-SA"/>
    </w:rPr>
  </w:style>
  <w:style w:type="paragraph" w:styleId="972" w:customStyle="1">
    <w:name w:val="Table Contents"/>
    <w:pPr>
      <w:widowControl w:val="false"/>
      <w:suppressLineNumbers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000000" w:fill="auto"/>
      <w:spacing/>
      <w:ind/>
    </w:pPr>
    <w:rPr>
      <w:rFonts w:ascii="PT Sans" w:hAnsi="PT Sans" w:eastAsia="Tahoma" w:cs="FreeSans"/>
      <w:sz w:val="24"/>
      <w:szCs w:val="24"/>
      <w:lang w:eastAsia="zh-CN" w:bidi="hi-IN"/>
    </w:rPr>
  </w:style>
  <w:style w:type="paragraph" w:styleId="973" w:customStyle="1">
    <w:name w:val="Нижний колонтитул1"/>
    <w:basedOn w:val="789"/>
    <w:semiHidden/>
    <w:qFormat/>
    <w:pPr>
      <w:pBdr/>
      <w:tabs>
        <w:tab w:val="center" w:leader="none" w:pos="4677"/>
        <w:tab w:val="right" w:leader="none" w:pos="9355"/>
      </w:tabs>
      <w:spacing/>
      <w:ind/>
    </w:pPr>
    <w:rPr>
      <w:lang w:val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ONLYOFFICE/9.0.3.29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Watt7</dc:creator>
  <cp:revision>8</cp:revision>
  <dcterms:created xsi:type="dcterms:W3CDTF">2024-05-02T11:26:00Z</dcterms:created>
  <dcterms:modified xsi:type="dcterms:W3CDTF">2026-07-24T14:37:04Z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86FE4A95B3964C1E919A2A3FC7E9B0A6</vt:lpwstr>
  </property>
</Properties>
</file>