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32" w:leader="none"/>
        </w:tabs>
        <w:suppressAutoHyphens w:val="true"/>
        <w:ind w:hanging="432" w:start="432" w:end="0"/>
        <w:jc w:val="center"/>
        <w:rPr>
          <w:rFonts w:ascii="Times New Roman CYR" w:hAnsi="Times New Roman CYR" w:cs="Times New Roman CYR"/>
          <w:b/>
          <w:bCs/>
        </w:rPr>
      </w:pPr>
      <w:r>
        <w:rPr>
          <w:rFonts w:cs="Times New Roman CYR" w:ascii="Times New Roman CYR" w:hAnsi="Times New Roman CYR"/>
          <w:b/>
          <w:bCs/>
        </w:rPr>
      </w:r>
    </w:p>
    <w:p>
      <w:pPr>
        <w:pStyle w:val="Normal"/>
        <w:tabs>
          <w:tab w:val="clear" w:pos="708"/>
          <w:tab w:val="left" w:pos="0" w:leader="none"/>
        </w:tabs>
        <w:suppressAutoHyphens w:val="true"/>
        <w:jc w:val="end"/>
        <w:rPr>
          <w:rFonts w:ascii="Times New Roman CYR" w:hAnsi="Times New Roman CYR" w:cs="Times New Roman CYR"/>
          <w:b/>
          <w:bCs/>
        </w:rPr>
      </w:pPr>
      <w:r>
        <w:rPr>
          <w:rFonts w:cs="Times New Roman CYR" w:ascii="Times New Roman CYR" w:hAnsi="Times New Roman CYR"/>
          <w:b/>
          <w:bCs/>
        </w:rPr>
        <w:t>ПРОЕКТ</w:t>
      </w:r>
    </w:p>
    <w:p>
      <w:pPr>
        <w:pStyle w:val="Normal"/>
        <w:tabs>
          <w:tab w:val="clear" w:pos="708"/>
          <w:tab w:val="left" w:pos="0" w:leader="none"/>
        </w:tabs>
        <w:suppressAutoHyphens w:val="true"/>
        <w:jc w:val="center"/>
        <w:rPr>
          <w:rFonts w:ascii="Times New Roman CYR" w:hAnsi="Times New Roman CYR" w:cs="Times New Roman CYR"/>
          <w:b/>
          <w:bCs/>
        </w:rPr>
      </w:pPr>
      <w:r>
        <w:rPr>
          <w:rFonts w:cs="Times New Roman CYR" w:ascii="Times New Roman CYR" w:hAnsi="Times New Roman CYR"/>
          <w:b/>
          <w:bCs/>
        </w:rPr>
        <w:t xml:space="preserve">КОНТРАКТ № </w:t>
      </w:r>
    </w:p>
    <w:p>
      <w:pPr>
        <w:pStyle w:val="Normal"/>
        <w:tabs>
          <w:tab w:val="clear" w:pos="708"/>
          <w:tab w:val="left" w:pos="0" w:leader="none"/>
        </w:tabs>
        <w:suppressAutoHyphens w:val="true"/>
        <w:jc w:val="center"/>
        <w:rPr/>
      </w:pPr>
      <w:r>
        <w:rPr/>
        <w:t>о</w:t>
      </w:r>
      <w:r>
        <w:rPr/>
        <w:t>казание услуг по  расчёт</w:t>
      </w:r>
      <w:r>
        <w:rPr/>
        <w:t>у</w:t>
      </w:r>
      <w:r>
        <w:rPr/>
        <w:t xml:space="preserve"> норм расхода</w:t>
      </w:r>
    </w:p>
    <w:p>
      <w:pPr>
        <w:pStyle w:val="Normal"/>
        <w:tabs>
          <w:tab w:val="clear" w:pos="708"/>
          <w:tab w:val="left" w:pos="0" w:leader="none"/>
        </w:tabs>
        <w:suppressAutoHyphens w:val="true"/>
        <w:jc w:val="center"/>
        <w:rPr/>
      </w:pPr>
      <w:r>
        <w:rPr/>
        <w:t>топлива для бензинового генератора</w:t>
      </w:r>
    </w:p>
    <w:p>
      <w:pPr>
        <w:pStyle w:val="Normal"/>
        <w:tabs>
          <w:tab w:val="clear" w:pos="708"/>
          <w:tab w:val="left" w:pos="0" w:leader="none"/>
        </w:tabs>
        <w:suppressAutoHyphens w:val="true"/>
        <w:jc w:val="center"/>
        <w:rPr>
          <w:rFonts w:ascii="Times New Roman CYR" w:hAnsi="Times New Roman CYR" w:cs="Times New Roman CYR"/>
          <w:b/>
          <w:bCs/>
        </w:rPr>
      </w:pPr>
      <w:r>
        <w:rPr>
          <w:rFonts w:cs="Times New Roman CYR" w:ascii="Times New Roman CYR" w:hAnsi="Times New Roman CYR"/>
          <w:b/>
          <w:bCs/>
        </w:rPr>
      </w:r>
    </w:p>
    <w:p>
      <w:pPr>
        <w:pStyle w:val="Normal"/>
        <w:numPr>
          <w:ilvl w:val="0"/>
          <w:numId w:val="0"/>
        </w:numPr>
        <w:tabs>
          <w:tab w:val="clear" w:pos="708"/>
          <w:tab w:val="right" w:pos="9355" w:leader="none"/>
        </w:tabs>
        <w:ind w:hanging="0" w:start="426" w:end="0"/>
        <w:jc w:val="both"/>
        <w:outlineLvl w:val="0"/>
        <w:rPr>
          <w:sz w:val="28"/>
          <w:szCs w:val="28"/>
        </w:rPr>
      </w:pPr>
      <w:r>
        <w:rPr>
          <w:sz w:val="26"/>
          <w:szCs w:val="26"/>
        </w:rPr>
        <w:t>г. Белгород</w:t>
      </w:r>
      <w:r>
        <w:rPr>
          <w:sz w:val="28"/>
          <w:szCs w:val="28"/>
        </w:rPr>
        <w:t xml:space="preserve"> </w:t>
        <w:tab/>
        <w:t xml:space="preserve">                                           </w:t>
      </w:r>
      <w:r>
        <w:rPr>
          <w:sz w:val="26"/>
          <w:szCs w:val="26"/>
        </w:rPr>
        <w:t>«__» ___________  2026 г.</w:t>
      </w:r>
    </w:p>
    <w:p>
      <w:pPr>
        <w:pStyle w:val="Normal"/>
        <w:tabs>
          <w:tab w:val="clear" w:pos="708"/>
          <w:tab w:val="left" w:pos="1380" w:leader="none"/>
        </w:tabs>
        <w:jc w:val="both"/>
        <w:rPr>
          <w:b/>
          <w:lang w:eastAsia="zh-CN"/>
        </w:rPr>
      </w:pPr>
      <w:r>
        <w:rPr>
          <w:sz w:val="28"/>
          <w:szCs w:val="28"/>
        </w:rPr>
        <w:tab/>
      </w:r>
    </w:p>
    <w:p>
      <w:pPr>
        <w:pStyle w:val="Normal"/>
        <w:ind w:firstLine="709" w:end="-1"/>
        <w:jc w:val="both"/>
        <w:rPr>
          <w:lang w:eastAsia="zh-CN"/>
        </w:rPr>
      </w:pPr>
      <w:r>
        <w:rPr>
          <w:b/>
          <w:lang w:eastAsia="zh-CN"/>
        </w:rPr>
        <w:t>Федеральное казенное учреждение «Главное бюро медико-социальной экспертизы по Белгородской области» Министерства труда и социальной защиты Российской Федерации</w:t>
      </w:r>
      <w:r>
        <w:rPr>
          <w:lang w:eastAsia="zh-CN"/>
        </w:rPr>
        <w:t>, именуемое в дальнейшем «Заказчик», от имени и в интересах Российской Федерации, в целях обеспечения государственных нужд, в лице Исполняющего обязанности руководителя-главного эксперта по медико-социальной экспертизе Курило Василия Ивановича, действующего на основании Устава, с одной стороны и ____________________________________</w:t>
      </w:r>
      <w:r>
        <w:rPr/>
        <w:t>,</w:t>
      </w:r>
      <w:r>
        <w:rPr>
          <w:lang w:eastAsia="zh-CN"/>
        </w:rPr>
        <w:t xml:space="preserve"> именуемый в дальнейшем «Поставщик», в лице </w:t>
      </w:r>
      <w:r>
        <w:rPr/>
        <w:t>_______________________________</w:t>
      </w:r>
      <w:r>
        <w:rPr>
          <w:lang w:eastAsia="zh-CN"/>
        </w:rPr>
        <w:t>, действующего на основании ___________,  совместно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Контракт (далее - Контракт) о нижеследующем:</w:t>
      </w:r>
    </w:p>
    <w:p>
      <w:pPr>
        <w:pStyle w:val="Normal"/>
        <w:ind w:firstLine="709" w:end="425"/>
        <w:jc w:val="both"/>
        <w:rPr>
          <w:lang w:eastAsia="zh-CN"/>
        </w:rPr>
      </w:pPr>
      <w:r>
        <w:rPr>
          <w:lang w:eastAsia="zh-CN"/>
        </w:rPr>
      </w:r>
    </w:p>
    <w:p>
      <w:pPr>
        <w:pStyle w:val="Normal"/>
        <w:numPr>
          <w:ilvl w:val="0"/>
          <w:numId w:val="2"/>
        </w:numPr>
        <w:jc w:val="center"/>
        <w:outlineLvl w:val="0"/>
        <w:rPr/>
      </w:pPr>
      <w:r>
        <w:rPr>
          <w:b/>
          <w:bCs/>
          <w:color w:val="000000"/>
        </w:rPr>
        <w:t>ПРЕДМЕТ КОНТРАКТА</w:t>
      </w:r>
    </w:p>
    <w:p>
      <w:pPr>
        <w:pStyle w:val="Normal"/>
        <w:numPr>
          <w:ilvl w:val="1"/>
          <w:numId w:val="3"/>
        </w:numPr>
        <w:tabs>
          <w:tab w:val="clear" w:pos="708"/>
          <w:tab w:val="left" w:pos="993" w:leader="none"/>
        </w:tabs>
        <w:ind w:firstLine="567" w:start="0" w:end="0"/>
        <w:jc w:val="both"/>
        <w:rPr/>
      </w:pPr>
      <w:r>
        <w:rPr/>
        <w:t>По настоящему Контракту Заказчик поручает, а Исполнитель обязуется оказать услуг</w:t>
      </w:r>
      <w:r>
        <w:rPr/>
        <w:t>и</w:t>
      </w:r>
      <w:r>
        <w:rPr/>
        <w:t xml:space="preserve"> по  расчёт</w:t>
      </w:r>
      <w:r>
        <w:rPr/>
        <w:t>у</w:t>
      </w:r>
      <w:r>
        <w:rPr/>
        <w:t xml:space="preserve"> норм расхода топлива для</w:t>
      </w:r>
      <w:r>
        <w:rPr>
          <w:color w:val="000000"/>
        </w:rPr>
        <w:t xml:space="preserve"> бензинового генератора</w:t>
      </w:r>
      <w:r>
        <w:rPr>
          <w:color w:val="000000"/>
          <w:lang w:val="en-US"/>
        </w:rPr>
        <w:t xml:space="preserve"> </w:t>
      </w:r>
      <w:r>
        <w:rPr>
          <w:color w:val="000000"/>
          <w:lang w:val="en-US"/>
        </w:rPr>
        <w:t>DENZEL PS-180</w:t>
      </w:r>
      <w:r>
        <w:rPr>
          <w:color w:val="000000"/>
          <w:lang w:val="en-US"/>
        </w:rPr>
        <w:t>EAD-3</w:t>
      </w:r>
      <w:r>
        <w:rPr>
          <w:color w:val="000000"/>
        </w:rPr>
        <w:t xml:space="preserve">. </w:t>
      </w:r>
    </w:p>
    <w:p>
      <w:pPr>
        <w:pStyle w:val="Normal"/>
        <w:numPr>
          <w:ilvl w:val="1"/>
          <w:numId w:val="3"/>
        </w:numPr>
        <w:tabs>
          <w:tab w:val="clear" w:pos="708"/>
          <w:tab w:val="left" w:pos="993" w:leader="none"/>
        </w:tabs>
        <w:ind w:firstLine="567" w:start="0" w:end="0"/>
        <w:jc w:val="both"/>
        <w:rPr/>
      </w:pPr>
      <w:r>
        <w:rPr/>
        <w:t>Расчёт, указанный в п. 1.1 настоящего</w:t>
      </w:r>
      <w:r>
        <w:rPr/>
        <w:t xml:space="preserve"> </w:t>
      </w:r>
      <w:r>
        <w:rPr/>
        <w:t xml:space="preserve">Контракта </w:t>
      </w:r>
      <w:r>
        <w:rPr/>
        <w:t xml:space="preserve">Исполнитель предоставляет Заказчику на бумажном носителе по адресу - </w:t>
      </w:r>
      <w:r>
        <w:rPr/>
        <w:t xml:space="preserve">г. Белгород, ул. Корочанская, д.48.     </w:t>
      </w:r>
    </w:p>
    <w:p>
      <w:pPr>
        <w:pStyle w:val="Normal"/>
        <w:numPr>
          <w:ilvl w:val="1"/>
          <w:numId w:val="3"/>
        </w:numPr>
        <w:tabs>
          <w:tab w:val="clear" w:pos="708"/>
          <w:tab w:val="left" w:pos="993" w:leader="none"/>
        </w:tabs>
        <w:ind w:firstLine="567" w:start="0" w:end="0"/>
        <w:jc w:val="both"/>
        <w:rPr/>
      </w:pPr>
      <w:r>
        <w:rPr/>
        <w:t>Заказчик обязуется принять и оплатить оказанные Исполнителем услуги согласно акта оказанных услуг.</w:t>
      </w:r>
    </w:p>
    <w:p>
      <w:pPr>
        <w:pStyle w:val="Normal"/>
        <w:numPr>
          <w:ilvl w:val="1"/>
          <w:numId w:val="3"/>
        </w:numPr>
        <w:tabs>
          <w:tab w:val="clear" w:pos="708"/>
          <w:tab w:val="left" w:pos="993" w:leader="none"/>
        </w:tabs>
        <w:ind w:firstLine="567" w:start="0" w:end="0"/>
        <w:jc w:val="both"/>
        <w:rPr/>
      </w:pPr>
      <w:r>
        <w:rPr/>
        <w:t>ИКЗ - 26 1 3123113850 312301001 0015 001 0000 244 .</w:t>
      </w:r>
    </w:p>
    <w:p>
      <w:pPr>
        <w:pStyle w:val="Normal"/>
        <w:tabs>
          <w:tab w:val="clear" w:pos="708"/>
          <w:tab w:val="left" w:pos="993" w:leader="none"/>
        </w:tabs>
        <w:jc w:val="both"/>
        <w:rPr/>
      </w:pPr>
      <w:r>
        <w:rPr/>
      </w:r>
    </w:p>
    <w:p>
      <w:pPr>
        <w:pStyle w:val="Normal"/>
        <w:numPr>
          <w:ilvl w:val="0"/>
          <w:numId w:val="0"/>
        </w:numPr>
        <w:tabs>
          <w:tab w:val="clear" w:pos="708"/>
          <w:tab w:val="left" w:pos="0" w:leader="none"/>
          <w:tab w:val="left" w:pos="993" w:leader="none"/>
        </w:tabs>
        <w:bidi w:val="0"/>
        <w:ind w:hanging="0" w:start="720" w:end="0"/>
        <w:jc w:val="both"/>
        <w:rPr>
          <w:b/>
          <w:bCs/>
          <w:sz w:val="16"/>
          <w:szCs w:val="16"/>
        </w:rPr>
      </w:pPr>
      <w:r>
        <w:rPr>
          <w:b/>
          <w:bCs/>
          <w:sz w:val="16"/>
          <w:szCs w:val="16"/>
        </w:rPr>
      </w:r>
    </w:p>
    <w:p>
      <w:pPr>
        <w:pStyle w:val="Normal"/>
        <w:numPr>
          <w:ilvl w:val="0"/>
          <w:numId w:val="0"/>
        </w:numPr>
        <w:ind w:hanging="0" w:start="0" w:end="0"/>
        <w:jc w:val="center"/>
        <w:outlineLvl w:val="0"/>
        <w:rPr>
          <w:b/>
          <w:bCs/>
          <w:color w:val="000000"/>
        </w:rPr>
      </w:pPr>
      <w:r>
        <w:rPr>
          <w:b/>
          <w:bCs/>
          <w:color w:val="000000"/>
        </w:rPr>
        <w:t xml:space="preserve">2. </w:t>
      </w:r>
      <w:r>
        <w:rPr>
          <w:rFonts w:cs="Times New Roman CYR" w:ascii="Times New Roman CYR" w:hAnsi="Times New Roman CYR"/>
          <w:b/>
          <w:bCs/>
          <w:color w:val="000000"/>
        </w:rPr>
        <w:t>ЦЕНА КОНТРАКТА И ПОРЯДОК РАСЧЕТОВ.</w:t>
      </w:r>
    </w:p>
    <w:p>
      <w:pPr>
        <w:pStyle w:val="Normal"/>
        <w:tabs>
          <w:tab w:val="clear" w:pos="708"/>
          <w:tab w:val="left" w:pos="7371" w:leader="none"/>
        </w:tabs>
        <w:ind w:firstLine="709" w:end="-1"/>
        <w:jc w:val="both"/>
        <w:rPr>
          <w:lang w:eastAsia="zh-CN"/>
        </w:rPr>
      </w:pPr>
      <w:r>
        <w:rPr>
          <w:b/>
          <w:bCs/>
          <w:color w:val="000000"/>
        </w:rPr>
        <w:t xml:space="preserve"> </w:t>
      </w:r>
      <w:r>
        <w:rPr>
          <w:lang w:eastAsia="zh-CN"/>
        </w:rPr>
        <w:t xml:space="preserve">2.1. </w:t>
      </w:r>
      <w:r>
        <w:rPr/>
        <w:t>Цена Контракта включает общую стоимость работ, оплачиваемую Государственным заказчиком Исполнителю за полное выполнение Исполнителем своих обязательств по Контракту.</w:t>
      </w:r>
    </w:p>
    <w:p>
      <w:pPr>
        <w:pStyle w:val="Normal"/>
        <w:ind w:firstLine="709" w:end="-1"/>
        <w:jc w:val="both"/>
        <w:rPr>
          <w:lang w:eastAsia="zh-CN"/>
        </w:rPr>
      </w:pPr>
      <w:r>
        <w:rPr>
          <w:lang w:eastAsia="zh-CN"/>
        </w:rPr>
        <w:t xml:space="preserve">2.2. Цена Контракта составляет – </w:t>
      </w:r>
      <w:r>
        <w:rPr>
          <w:b w:val="false"/>
          <w:bCs w:val="false"/>
          <w:lang w:eastAsia="zh-CN"/>
        </w:rPr>
        <w:t>_______________ (в т.ч. НДС/ НДС не предусмотрен).</w:t>
      </w:r>
      <w:r>
        <w:rPr>
          <w:lang w:eastAsia="zh-CN"/>
        </w:rPr>
        <w:t xml:space="preserve"> Цена Контракта является твёрдой и определяется на весь срок исполнения Контракта и не может изменятся в ходе его исполнения, за исключением случаев, предусмотренным действующим законодательством.</w:t>
      </w:r>
    </w:p>
    <w:p>
      <w:pPr>
        <w:pStyle w:val="Normal"/>
        <w:ind w:firstLine="709" w:end="-1"/>
        <w:jc w:val="both"/>
        <w:rPr/>
      </w:pPr>
      <w:r>
        <w:rPr>
          <w:lang w:eastAsia="zh-CN"/>
        </w:rPr>
        <w:t xml:space="preserve">2.3 </w:t>
      </w:r>
      <w:r>
        <w:rPr/>
        <w:t>Источник финансирования – средства федерального бюджета Российской Федерации. Финансирование по настоящему контракту осуществляется за счет лимитов бюджетных обязательств 2026 года</w:t>
      </w:r>
      <w:r>
        <w:rPr>
          <w:b w:val="false"/>
          <w:bCs w:val="false"/>
          <w:lang w:eastAsia="zh-CN"/>
        </w:rPr>
        <w:t xml:space="preserve"> </w:t>
      </w:r>
      <w:r>
        <w:rPr>
          <w:b w:val="false"/>
          <w:bCs w:val="false"/>
        </w:rPr>
        <w:t xml:space="preserve">(КБК: 149 1002 04 4 02 90059 244 </w:t>
      </w:r>
      <w:r>
        <w:rPr>
          <w:b/>
        </w:rPr>
        <w:t xml:space="preserve">). </w:t>
      </w:r>
      <w:r>
        <w:rPr>
          <w:b w:val="false"/>
          <w:bCs w:val="false"/>
        </w:rPr>
        <w:t>Авансирование не предусмотрено.</w:t>
      </w:r>
    </w:p>
    <w:p>
      <w:pPr>
        <w:pStyle w:val="Normal"/>
        <w:ind w:firstLine="709" w:end="-1"/>
        <w:jc w:val="both"/>
        <w:rPr>
          <w:lang w:eastAsia="zh-CN"/>
        </w:rPr>
      </w:pPr>
      <w:r>
        <w:rPr/>
        <w:t xml:space="preserve">Оплата осуществляется Заказчиком по безналичному расчету в течение 7 рабочих дней с момента подписания документа о приемке (акта оказанных услуг / УПД), подписанного обеими сторонами. </w:t>
      </w:r>
      <w:r>
        <w:rPr>
          <w:lang w:eastAsia="zh-CN"/>
        </w:rPr>
        <w:t>В документе о приемке обязательно указывается номер и дата Контракта.</w:t>
      </w:r>
    </w:p>
    <w:p>
      <w:pPr>
        <w:pStyle w:val="Normal"/>
        <w:ind w:firstLine="709" w:end="-1"/>
        <w:jc w:val="both"/>
        <w:rPr>
          <w:b/>
          <w:bCs/>
          <w:color w:val="000000"/>
          <w:sz w:val="16"/>
          <w:szCs w:val="16"/>
          <w:lang w:eastAsia="zh-CN"/>
        </w:rPr>
      </w:pPr>
      <w:r>
        <w:rPr>
          <w:lang w:eastAsia="zh-CN"/>
        </w:rPr>
        <w:t>2.4. Сумма контракта,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numPr>
          <w:ilvl w:val="0"/>
          <w:numId w:val="0"/>
        </w:numPr>
        <w:ind w:hanging="0" w:start="0" w:end="0"/>
        <w:jc w:val="both"/>
        <w:outlineLvl w:val="0"/>
        <w:rPr>
          <w:b/>
          <w:bCs/>
          <w:color w:val="000000"/>
          <w:sz w:val="16"/>
          <w:szCs w:val="16"/>
          <w:lang w:eastAsia="zh-CN"/>
        </w:rPr>
      </w:pPr>
      <w:r>
        <w:rPr>
          <w:b/>
          <w:bCs/>
          <w:color w:val="000000"/>
          <w:sz w:val="16"/>
          <w:szCs w:val="16"/>
          <w:lang w:eastAsia="zh-CN"/>
        </w:rPr>
      </w:r>
    </w:p>
    <w:p>
      <w:pPr>
        <w:pStyle w:val="Normal"/>
        <w:numPr>
          <w:ilvl w:val="0"/>
          <w:numId w:val="0"/>
        </w:numPr>
        <w:ind w:hanging="0" w:start="0" w:end="0"/>
        <w:jc w:val="center"/>
        <w:outlineLvl w:val="0"/>
        <w:rPr>
          <w:b/>
          <w:bCs/>
          <w:color w:val="000000"/>
        </w:rPr>
      </w:pPr>
      <w:r>
        <w:rPr>
          <w:b/>
          <w:bCs/>
          <w:color w:val="000000"/>
        </w:rPr>
        <w:t>3. СРОК ДЕЙСТВИЯ КОНТРАКТА</w:t>
      </w:r>
    </w:p>
    <w:p>
      <w:pPr>
        <w:pStyle w:val="Normal"/>
        <w:suppressAutoHyphens w:val="true"/>
        <w:jc w:val="both"/>
        <w:rPr/>
      </w:pPr>
      <w:r>
        <w:rPr/>
        <w:t xml:space="preserve">           </w:t>
      </w:r>
      <w:r>
        <w:rPr/>
        <w:t>3.1. Настоящий Контракт действует с момента подписания и по</w:t>
      </w:r>
      <w:r>
        <w:rPr>
          <w:lang w:val="en-US"/>
        </w:rPr>
        <w:t xml:space="preserve"> </w:t>
      </w:r>
      <w:r>
        <w:rPr>
          <w:lang w:val="ru-RU"/>
        </w:rPr>
        <w:t>0</w:t>
      </w:r>
      <w:r>
        <w:rPr>
          <w:lang w:val="en-US"/>
        </w:rPr>
        <w:t>1</w:t>
      </w:r>
      <w:r>
        <w:rPr>
          <w:lang w:val="en-US"/>
        </w:rPr>
        <w:t xml:space="preserve"> </w:t>
      </w:r>
      <w:r>
        <w:rPr/>
        <w:t>августа 2026г.</w:t>
        <w:tab/>
        <w:tab/>
        <w:t>Сроки оказания услуг — в течение</w:t>
      </w:r>
      <w:r>
        <w:rPr>
          <w:lang w:val="en-US"/>
        </w:rPr>
        <w:t xml:space="preserve"> </w:t>
      </w:r>
      <w:r>
        <w:rPr>
          <w:lang w:val="ru-RU"/>
        </w:rPr>
        <w:t>2</w:t>
      </w:r>
      <w:r>
        <w:rPr>
          <w:lang w:val="en-US"/>
        </w:rPr>
        <w:t>0</w:t>
      </w:r>
      <w:r>
        <w:rPr>
          <w:lang w:val="en-US"/>
        </w:rPr>
        <w:t xml:space="preserve"> </w:t>
      </w:r>
      <w:r>
        <w:rPr/>
        <w:t xml:space="preserve">календарных дней с  момента заключения Контракта. </w:t>
      </w:r>
    </w:p>
    <w:p>
      <w:pPr>
        <w:pStyle w:val="Normal"/>
        <w:suppressAutoHyphens w:val="true"/>
        <w:ind w:firstLine="567" w:end="0"/>
        <w:jc w:val="both"/>
        <w:rPr/>
      </w:pPr>
      <w:r>
        <w:rPr/>
        <w:t xml:space="preserve">  </w:t>
      </w:r>
      <w:r>
        <w:rPr/>
        <w:t>3.2. Настоящий Контракт может быть изменен или расторгнут по основаниям и в порядке, предусмотренном действующим законодательством.</w:t>
      </w:r>
    </w:p>
    <w:p>
      <w:pPr>
        <w:pStyle w:val="Normal"/>
        <w:suppressAutoHyphens w:val="true"/>
        <w:ind w:firstLine="708" w:end="0"/>
        <w:jc w:val="both"/>
        <w:rPr>
          <w:sz w:val="16"/>
          <w:szCs w:val="16"/>
        </w:rPr>
      </w:pPr>
      <w:r>
        <w:rPr/>
        <w:t>3.3. Настоящий Контракт составлен в 2-х экземплярах, имеющих одинаковую силу.</w:t>
      </w:r>
    </w:p>
    <w:p>
      <w:pPr>
        <w:pStyle w:val="Normal"/>
        <w:suppressAutoHyphens w:val="true"/>
        <w:ind w:firstLine="708" w:end="0"/>
        <w:jc w:val="both"/>
        <w:rPr>
          <w:sz w:val="16"/>
          <w:szCs w:val="16"/>
        </w:rPr>
      </w:pPr>
      <w:r>
        <w:rPr>
          <w:sz w:val="16"/>
          <w:szCs w:val="16"/>
        </w:rPr>
      </w:r>
    </w:p>
    <w:p>
      <w:pPr>
        <w:pStyle w:val="Normal"/>
        <w:jc w:val="center"/>
        <w:rPr/>
      </w:pPr>
      <w:r>
        <w:rPr>
          <w:b/>
          <w:bCs/>
        </w:rPr>
        <w:t xml:space="preserve">4. </w:t>
      </w:r>
      <w:r>
        <w:rPr>
          <w:rFonts w:cs="Times New Roman CYR" w:ascii="Times New Roman CYR" w:hAnsi="Times New Roman CYR"/>
          <w:b/>
          <w:bCs/>
        </w:rPr>
        <w:t>ОБСТОЯТЕЛЬСТВА НЕПРЕОДОЛИМОЙ СИЛЫ</w:t>
      </w:r>
    </w:p>
    <w:p>
      <w:pPr>
        <w:pStyle w:val="Normal"/>
        <w:ind w:firstLine="720" w:end="0"/>
        <w:jc w:val="both"/>
        <w:rPr/>
      </w:pPr>
      <w:r>
        <w:rPr/>
        <w:t xml:space="preserve">4.1. </w:t>
      </w:r>
      <w:r>
        <w:rPr>
          <w:rFonts w:cs="Times New Roman CYR" w:ascii="Times New Roman CYR" w:hAnsi="Times New Roman CYR"/>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pPr>
        <w:pStyle w:val="Normal"/>
        <w:ind w:firstLine="720" w:end="0"/>
        <w:jc w:val="both"/>
        <w:rPr>
          <w:rFonts w:ascii="Times New Roman CYR" w:hAnsi="Times New Roman CYR" w:cs="Times New Roman CYR"/>
          <w:b/>
          <w:bCs/>
          <w:sz w:val="16"/>
          <w:szCs w:val="16"/>
        </w:rPr>
      </w:pPr>
      <w:r>
        <w:rPr/>
        <w:t xml:space="preserve">4.2. </w:t>
      </w:r>
      <w:r>
        <w:rPr>
          <w:rFonts w:cs="Times New Roman CYR" w:ascii="Times New Roman CYR" w:hAnsi="Times New Roman CYR"/>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rmal"/>
        <w:jc w:val="center"/>
        <w:rPr>
          <w:rFonts w:ascii="Times New Roman CYR" w:hAnsi="Times New Roman CYR" w:cs="Times New Roman CYR"/>
          <w:b/>
          <w:bCs/>
          <w:sz w:val="16"/>
          <w:szCs w:val="16"/>
        </w:rPr>
      </w:pPr>
      <w:r>
        <w:rPr>
          <w:rFonts w:cs="Times New Roman CYR" w:ascii="Times New Roman CYR" w:hAnsi="Times New Roman CYR"/>
          <w:b/>
          <w:bCs/>
          <w:sz w:val="16"/>
          <w:szCs w:val="16"/>
        </w:rPr>
      </w:r>
    </w:p>
    <w:p>
      <w:pPr>
        <w:pStyle w:val="Normal"/>
        <w:jc w:val="center"/>
        <w:rPr/>
      </w:pPr>
      <w:r>
        <w:rPr>
          <w:b/>
          <w:bCs/>
        </w:rPr>
        <w:t xml:space="preserve">5. </w:t>
      </w:r>
      <w:r>
        <w:rPr>
          <w:rFonts w:cs="Times New Roman CYR" w:ascii="Times New Roman CYR" w:hAnsi="Times New Roman CYR"/>
          <w:b/>
          <w:bCs/>
        </w:rPr>
        <w:t>ОТВЕТСТВЕННОСТЬ СТОРОН</w:t>
      </w:r>
    </w:p>
    <w:p>
      <w:pPr>
        <w:pStyle w:val="Normal"/>
        <w:ind w:firstLine="709" w:end="0"/>
        <w:jc w:val="both"/>
        <w:rPr/>
      </w:pPr>
      <w:r>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w:t>
      </w:r>
    </w:p>
    <w:p>
      <w:pPr>
        <w:pStyle w:val="Normal"/>
        <w:ind w:firstLine="709" w:end="0"/>
        <w:jc w:val="both"/>
        <w:rPr/>
      </w:pPr>
      <w:r>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709" w:end="0"/>
        <w:jc w:val="both"/>
        <w:rPr/>
      </w:pPr>
      <w:r>
        <w:rPr/>
        <w:t xml:space="preserve">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rPr>
        <w:instrText xml:space="preserve"> HYPERLINK "http://www.consultant.ru/document/cons_doc_LAW_227100/" \l "dst100012"</w:instrText>
      </w:r>
      <w:r>
        <w:rPr>
          <w:rStyle w:val="Hyperlink"/>
        </w:rPr>
        <w:fldChar w:fldCharType="separate"/>
      </w:r>
      <w:r>
        <w:rPr>
          <w:rStyle w:val="Hyperlink"/>
        </w:rPr>
        <w:t>порядке</w:t>
      </w:r>
      <w:r>
        <w:rPr>
          <w:rStyle w:val="Hyperlink"/>
        </w:rPr>
        <w:fldChar w:fldCharType="end"/>
      </w:r>
      <w:r>
        <w:rPr/>
        <w:t>, установленном Постановлением Правительства Российской Федерации от 30 августа 2017 г. № 1042 и составляет 1000 рублей 00 копеек.</w:t>
      </w:r>
    </w:p>
    <w:p>
      <w:pPr>
        <w:pStyle w:val="Normal"/>
        <w:ind w:firstLine="709" w:end="0"/>
        <w:jc w:val="both"/>
        <w:rPr/>
      </w:pPr>
      <w:r>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 что составляет _________ (_______________) рублей 00 копеек.</w:t>
      </w:r>
    </w:p>
    <w:p>
      <w:pPr>
        <w:pStyle w:val="Normal"/>
        <w:ind w:firstLine="709" w:end="0"/>
        <w:jc w:val="both"/>
        <w:rPr/>
      </w:pPr>
      <w:r>
        <w:rPr/>
        <w:t>5.5.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определенной в порядке, установленном Правительством Российской Федерации от 30 августа 2017 г. № 1042.</w:t>
      </w:r>
    </w:p>
    <w:p>
      <w:pPr>
        <w:pStyle w:val="Normal"/>
        <w:ind w:firstLine="709" w:end="0"/>
        <w:jc w:val="both"/>
        <w:rPr/>
      </w:pPr>
      <w:r>
        <w:rPr/>
        <w:t>5.6.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ind w:firstLine="709" w:end="0"/>
        <w:jc w:val="both"/>
        <w:rPr/>
      </w:pPr>
      <w:r>
        <w:rPr/>
        <w:t xml:space="preserve">5.7. Общая сумма начисленных штрафов за ненадлежащее исполнение сторонами обязательств, предусмотренных Контрактом, не может превышать цену Контракта </w:t>
      </w:r>
    </w:p>
    <w:p>
      <w:pPr>
        <w:pStyle w:val="Normal"/>
        <w:ind w:firstLine="709" w:end="0"/>
        <w:jc w:val="both"/>
        <w:rPr/>
      </w:pPr>
      <w:r>
        <w:rPr/>
        <w:t>5.8.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9" w:end="0"/>
        <w:jc w:val="both"/>
        <w:rPr/>
      </w:pPr>
      <w:r>
        <w:rPr/>
        <w:t>5.9. Государственный заказчик при оплате Контракта вправе удержать суммы неисполненных Исполнителем требований об уплате неустоек (штрафов, пеней), предъявленных заказчиком в соответствии с пунктом 2 части 14 статьи 34 Федерального закона от 05.04.2013 № 44-ФЗ, из суммы, подлежащей оплате Поставщику.</w:t>
      </w:r>
    </w:p>
    <w:p>
      <w:pPr>
        <w:pStyle w:val="Normal"/>
        <w:ind w:firstLine="709" w:end="0"/>
        <w:jc w:val="both"/>
        <w:rPr/>
      </w:pPr>
      <w:r>
        <w:rPr/>
        <w:t>5.10.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ind w:firstLine="709" w:end="0"/>
        <w:jc w:val="both"/>
        <w:rPr>
          <w:color w:val="000000"/>
          <w:sz w:val="10"/>
          <w:szCs w:val="10"/>
          <w:lang w:eastAsia="zh-CN"/>
        </w:rPr>
      </w:pPr>
      <w:r>
        <w:rPr/>
        <w:t>5.11. В случае ненадлежащего исполнения своих обязательств по государственному Контракту Исполнителем возмещает Государственному заказчику, причиненные убытки, в том числе расходы, связанные с проведением экспертизы.</w:t>
      </w:r>
    </w:p>
    <w:p>
      <w:pPr>
        <w:pStyle w:val="Normal"/>
        <w:ind w:firstLine="709" w:end="0"/>
        <w:jc w:val="both"/>
        <w:rPr>
          <w:color w:val="000000"/>
          <w:sz w:val="10"/>
          <w:szCs w:val="10"/>
          <w:lang w:eastAsia="zh-CN"/>
        </w:rPr>
      </w:pPr>
      <w:r>
        <w:rPr>
          <w:color w:val="000000"/>
          <w:sz w:val="10"/>
          <w:szCs w:val="10"/>
          <w:lang w:eastAsia="zh-CN"/>
        </w:rPr>
      </w:r>
    </w:p>
    <w:p>
      <w:pPr>
        <w:pStyle w:val="Normal"/>
        <w:ind w:firstLine="720" w:end="0"/>
        <w:jc w:val="both"/>
        <w:rPr>
          <w:rFonts w:ascii="Times New Roman CYR" w:hAnsi="Times New Roman CYR" w:cs="Times New Roman CYR"/>
          <w:color w:val="000000"/>
          <w:sz w:val="16"/>
          <w:szCs w:val="16"/>
          <w:lang w:eastAsia="zh-CN"/>
        </w:rPr>
      </w:pPr>
      <w:r>
        <w:rPr>
          <w:rFonts w:cs="Times New Roman CYR" w:ascii="Times New Roman CYR" w:hAnsi="Times New Roman CYR"/>
          <w:color w:val="000000"/>
          <w:sz w:val="16"/>
          <w:szCs w:val="16"/>
          <w:lang w:eastAsia="zh-CN"/>
        </w:rPr>
      </w:r>
    </w:p>
    <w:p>
      <w:pPr>
        <w:pStyle w:val="Normal"/>
        <w:jc w:val="center"/>
        <w:rPr/>
      </w:pPr>
      <w:r>
        <w:rPr>
          <w:b/>
          <w:bCs/>
        </w:rPr>
        <w:t xml:space="preserve">6. </w:t>
      </w:r>
      <w:r>
        <w:rPr>
          <w:rFonts w:cs="Times New Roman CYR" w:ascii="Times New Roman CYR" w:hAnsi="Times New Roman CYR"/>
          <w:b/>
          <w:bCs/>
        </w:rPr>
        <w:t>ОСОБЫЕ УСЛОВИЯ</w:t>
      </w:r>
    </w:p>
    <w:p>
      <w:pPr>
        <w:pStyle w:val="Normal"/>
        <w:ind w:firstLine="720" w:end="0"/>
        <w:jc w:val="both"/>
        <w:rPr/>
      </w:pPr>
      <w:r>
        <w:rPr/>
        <w:t xml:space="preserve">6.1. </w:t>
      </w:r>
      <w:r>
        <w:rPr>
          <w:rFonts w:cs="Times New Roman CYR" w:ascii="Times New Roman CYR" w:hAnsi="Times New Roman CYR"/>
        </w:rPr>
        <w:t>Настоящий Контракт действует с момента заключения до полного исполнения обязательств по настоящему Контракту, но не позднее</w:t>
      </w:r>
      <w:r>
        <w:rPr>
          <w:rFonts w:cs="Times New Roman CYR" w:ascii="Times New Roman CYR" w:hAnsi="Times New Roman CYR"/>
          <w:lang w:val="en-US"/>
        </w:rPr>
        <w:t xml:space="preserve"> </w:t>
      </w:r>
      <w:r>
        <w:rPr>
          <w:rFonts w:cs="Times New Roman CYR" w:ascii="Times New Roman CYR" w:hAnsi="Times New Roman CYR"/>
          <w:lang w:val="ru-RU"/>
        </w:rPr>
        <w:t>0</w:t>
      </w:r>
      <w:r>
        <w:rPr>
          <w:rFonts w:cs="Times New Roman CYR" w:ascii="Times New Roman CYR" w:hAnsi="Times New Roman CYR"/>
          <w:lang w:val="en-US"/>
        </w:rPr>
        <w:t>1</w:t>
      </w:r>
      <w:r>
        <w:rPr>
          <w:rFonts w:cs="Times New Roman CYR" w:ascii="Times New Roman CYR" w:hAnsi="Times New Roman CYR"/>
          <w:lang w:val="en-US"/>
        </w:rPr>
        <w:t xml:space="preserve"> </w:t>
      </w:r>
      <w:r>
        <w:rPr>
          <w:rFonts w:cs="Times New Roman CYR" w:ascii="Times New Roman CYR" w:hAnsi="Times New Roman CYR"/>
        </w:rPr>
        <w:t xml:space="preserve">августа 2026 г. </w:t>
      </w:r>
    </w:p>
    <w:p>
      <w:pPr>
        <w:pStyle w:val="Normal"/>
        <w:ind w:firstLine="720" w:end="0"/>
        <w:jc w:val="both"/>
        <w:rPr/>
      </w:pPr>
      <w:r>
        <w:rPr/>
        <w:t xml:space="preserve">6.2. </w:t>
      </w:r>
      <w:r>
        <w:rPr>
          <w:rFonts w:cs="Times New Roman CYR" w:ascii="Times New Roman CYR" w:hAnsi="Times New Roman CYR"/>
        </w:rPr>
        <w:t xml:space="preserve">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w:t>
      </w:r>
    </w:p>
    <w:p>
      <w:pPr>
        <w:pStyle w:val="Normal"/>
        <w:ind w:firstLine="720" w:end="0"/>
        <w:jc w:val="both"/>
        <w:rPr/>
      </w:pPr>
      <w:r>
        <w:rPr/>
        <w:t xml:space="preserve">6.3. </w:t>
      </w:r>
      <w:r>
        <w:rPr>
          <w:rFonts w:cs="Times New Roman CYR" w:ascii="Times New Roman CYR" w:hAnsi="Times New Roman CYR"/>
        </w:rPr>
        <w:t>Исполнитель не вправе передавать свои права и обязанности по настоящему Контракту, полностью или частично, другому лицу.</w:t>
      </w:r>
    </w:p>
    <w:p>
      <w:pPr>
        <w:pStyle w:val="Normal"/>
        <w:ind w:firstLine="720" w:end="0"/>
        <w:jc w:val="both"/>
        <w:rPr/>
      </w:pPr>
      <w:r>
        <w:rPr/>
        <w:t xml:space="preserve">6.4. </w:t>
      </w:r>
      <w:r>
        <w:rPr>
          <w:rFonts w:cs="Times New Roman CYR" w:ascii="Times New Roman CYR" w:hAnsi="Times New Roman CYR"/>
        </w:rPr>
        <w:t>Исполнитель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pPr>
        <w:pStyle w:val="Normal"/>
        <w:ind w:firstLine="720" w:end="0"/>
        <w:jc w:val="both"/>
        <w:rPr/>
      </w:pPr>
      <w:r>
        <w:rPr/>
        <w:t xml:space="preserve">6.5. </w:t>
      </w:r>
      <w:r>
        <w:rPr>
          <w:rFonts w:cs="Times New Roman CYR" w:ascii="Times New Roman CYR" w:hAnsi="Times New Roman CYR"/>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pPr>
        <w:pStyle w:val="Normal"/>
        <w:ind w:firstLine="720" w:end="0"/>
        <w:jc w:val="both"/>
        <w:rPr>
          <w:rFonts w:ascii="Times New Roman CYR" w:hAnsi="Times New Roman CYR" w:cs="Times New Roman CYR"/>
        </w:rPr>
      </w:pPr>
      <w:r>
        <w:rPr/>
        <w:t xml:space="preserve">6.6. </w:t>
      </w:r>
      <w:r>
        <w:rPr>
          <w:rFonts w:cs="Times New Roman CYR" w:ascii="Times New Roman CYR" w:hAnsi="Times New Roman CYR"/>
        </w:rPr>
        <w:t>Во всем, что не предусмотрено настоящим Контрактом, стороны руководствуется действующим Законодательством РФ.</w:t>
      </w:r>
    </w:p>
    <w:p>
      <w:pPr>
        <w:pStyle w:val="Normal"/>
        <w:ind w:firstLine="720" w:end="0"/>
        <w:jc w:val="both"/>
        <w:rPr>
          <w:rFonts w:ascii="Times New Roman CYR" w:hAnsi="Times New Roman CYR" w:cs="Times New Roman CYR"/>
        </w:rPr>
      </w:pPr>
      <w:r>
        <w:rPr>
          <w:rFonts w:cs="Times New Roman CYR" w:ascii="Times New Roman CYR" w:hAnsi="Times New Roman CYR"/>
        </w:rPr>
      </w:r>
    </w:p>
    <w:p>
      <w:pPr>
        <w:pStyle w:val="Normal"/>
        <w:tabs>
          <w:tab w:val="clear" w:pos="708"/>
          <w:tab w:val="left" w:pos="284" w:leader="none"/>
        </w:tabs>
        <w:suppressAutoHyphens w:val="true"/>
        <w:ind w:firstLine="709" w:end="0"/>
        <w:jc w:val="center"/>
        <w:rPr>
          <w:color w:val="000000"/>
        </w:rPr>
      </w:pPr>
      <w:r>
        <w:rPr>
          <w:b/>
          <w:bCs/>
          <w:color w:val="000000"/>
        </w:rPr>
        <w:t xml:space="preserve">7. </w:t>
      </w:r>
      <w:r>
        <w:rPr>
          <w:rFonts w:cs="Times New Roman CYR" w:ascii="Times New Roman CYR" w:hAnsi="Times New Roman CYR"/>
          <w:b/>
          <w:bCs/>
          <w:color w:val="000000"/>
        </w:rPr>
        <w:t>РИСК СЛУЧАЙНОЙ ГИБЕЛИ</w:t>
      </w:r>
    </w:p>
    <w:p>
      <w:pPr>
        <w:pStyle w:val="Normal"/>
        <w:tabs>
          <w:tab w:val="clear" w:pos="708"/>
          <w:tab w:val="left" w:pos="284" w:leader="none"/>
        </w:tabs>
        <w:suppressAutoHyphens w:val="true"/>
        <w:ind w:firstLine="709" w:end="0"/>
        <w:jc w:val="both"/>
        <w:rPr/>
      </w:pPr>
      <w:r>
        <w:rPr>
          <w:color w:val="000000"/>
        </w:rPr>
        <w:t xml:space="preserve">7.1. </w:t>
      </w:r>
      <w:r>
        <w:rPr>
          <w:rFonts w:cs="Times New Roman CYR" w:ascii="Times New Roman CYR" w:hAnsi="Times New Roman CYR"/>
          <w:color w:val="000000"/>
        </w:rPr>
        <w:t>Риск случайной гибели или случайного повреждения материалов, оборудования Исполнитель или иного, используемого для исполнения данного Контракта имущества, несет Исполнитель.</w:t>
      </w:r>
    </w:p>
    <w:p>
      <w:pPr>
        <w:pStyle w:val="Normal"/>
        <w:ind w:firstLine="720" w:end="0"/>
        <w:jc w:val="both"/>
        <w:rPr>
          <w:rFonts w:ascii="Times New Roman CYR" w:hAnsi="Times New Roman CYR" w:cs="Times New Roman CYR"/>
          <w:sz w:val="22"/>
          <w:szCs w:val="22"/>
        </w:rPr>
      </w:pPr>
      <w:r>
        <w:rPr/>
        <w:t xml:space="preserve">7.2. </w:t>
      </w:r>
      <w:r>
        <w:rPr>
          <w:rFonts w:cs="Times New Roman CYR" w:ascii="Times New Roman CYR" w:hAnsi="Times New Roman CYR"/>
        </w:rPr>
        <w:t>Риск случайной гибели или случайного повреждения товара работы до его приемки Государственным заказчиком, несет Исполнитель.</w:t>
      </w:r>
    </w:p>
    <w:p>
      <w:pPr>
        <w:pStyle w:val="Normal"/>
        <w:ind w:firstLine="720" w:end="0"/>
        <w:jc w:val="both"/>
        <w:rPr>
          <w:rFonts w:ascii="Times New Roman CYR" w:hAnsi="Times New Roman CYR" w:cs="Times New Roman CYR"/>
          <w:sz w:val="22"/>
          <w:szCs w:val="22"/>
        </w:rPr>
      </w:pPr>
      <w:r>
        <w:rPr>
          <w:rFonts w:cs="Times New Roman CYR" w:ascii="Times New Roman CYR" w:hAnsi="Times New Roman CYR"/>
          <w:sz w:val="22"/>
          <w:szCs w:val="22"/>
        </w:rPr>
      </w:r>
    </w:p>
    <w:p>
      <w:pPr>
        <w:pStyle w:val="Normal"/>
        <w:jc w:val="center"/>
        <w:rPr>
          <w:b/>
          <w:bCs/>
          <w:sz w:val="28"/>
          <w:szCs w:val="28"/>
        </w:rPr>
      </w:pPr>
      <w:r>
        <w:rPr>
          <w:b/>
          <w:bCs/>
        </w:rPr>
        <w:t xml:space="preserve">8. </w:t>
      </w:r>
      <w:r>
        <w:rPr>
          <w:rFonts w:cs="Times New Roman CYR" w:ascii="Times New Roman CYR" w:hAnsi="Times New Roman CYR"/>
          <w:b/>
          <w:bCs/>
        </w:rPr>
        <w:t>ЮРИДИЧЕСКИЕ АДРЕСА, РЕКВИЗИТЫ СТОРОН И ПОДПИСИ СТОРОН</w:t>
      </w:r>
    </w:p>
    <w:p>
      <w:pPr>
        <w:pStyle w:val="Normal"/>
        <w:jc w:val="center"/>
        <w:rPr>
          <w:b/>
        </w:rPr>
      </w:pPr>
      <w:r>
        <w:rPr>
          <w:b/>
          <w:bCs/>
          <w:sz w:val="28"/>
          <w:szCs w:val="28"/>
        </w:rPr>
        <w:t>ЗАКАЗЧИК</w:t>
      </w:r>
      <w:r>
        <w:rPr>
          <w:b/>
        </w:rPr>
        <w:t xml:space="preserve">                                                            ИСПОЛНИТЕЛЬ</w:t>
      </w:r>
    </w:p>
    <w:tbl>
      <w:tblPr>
        <w:tblW w:w="9581" w:type="dxa"/>
        <w:jc w:val="start"/>
        <w:tblInd w:w="103" w:type="dxa"/>
        <w:tblLayout w:type="fixed"/>
        <w:tblCellMar>
          <w:top w:w="0" w:type="dxa"/>
          <w:start w:w="108" w:type="dxa"/>
          <w:bottom w:w="0" w:type="dxa"/>
          <w:end w:w="108" w:type="dxa"/>
        </w:tblCellMar>
      </w:tblPr>
      <w:tblGrid>
        <w:gridCol w:w="4845"/>
        <w:gridCol w:w="4736"/>
      </w:tblGrid>
      <w:tr>
        <w:trPr>
          <w:trHeight w:val="3393" w:hRule="atLeast"/>
        </w:trPr>
        <w:tc>
          <w:tcPr>
            <w:tcW w:w="4845" w:type="dxa"/>
            <w:tcBorders>
              <w:top w:val="single" w:sz="2" w:space="0" w:color="000000"/>
              <w:start w:val="single" w:sz="2" w:space="0" w:color="000000"/>
              <w:bottom w:val="single" w:sz="2" w:space="0" w:color="000000"/>
            </w:tcBorders>
          </w:tcPr>
          <w:p>
            <w:pPr>
              <w:pStyle w:val="Normal"/>
              <w:widowControl/>
              <w:suppressAutoHyphens w:val="true"/>
              <w:bidi w:val="0"/>
              <w:spacing w:before="0" w:after="0"/>
              <w:ind w:hanging="0" w:start="0" w:end="0"/>
              <w:jc w:val="both"/>
              <w:rPr>
                <w:b/>
                <w:bCs/>
              </w:rPr>
            </w:pPr>
            <w:r>
              <w:rPr>
                <w:b/>
                <w:bCs/>
                <w:lang w:eastAsia="zh-CN"/>
              </w:rPr>
              <w:t>Федеральное казенное учреждение «Главное бюро медико-социальной экспертизы по Белгородской области» Министерства труда и социальной защиты Российской Федерации</w:t>
            </w:r>
          </w:p>
          <w:p>
            <w:pPr>
              <w:pStyle w:val="NoSpacing"/>
              <w:bidi w:val="0"/>
              <w:ind w:end="0"/>
              <w:rPr>
                <w:b w:val="false"/>
                <w:bCs w:val="false"/>
              </w:rPr>
            </w:pPr>
            <w:r>
              <w:rPr>
                <w:b w:val="false"/>
                <w:bCs w:val="false"/>
              </w:rPr>
              <w:t>(ФКУ «ГБ МСЭ по Белгородской</w:t>
            </w:r>
          </w:p>
          <w:p>
            <w:pPr>
              <w:pStyle w:val="NoSpacing"/>
              <w:bidi w:val="0"/>
              <w:ind w:end="0"/>
              <w:rPr>
                <w:b w:val="false"/>
                <w:bCs w:val="false"/>
              </w:rPr>
            </w:pPr>
            <w:r>
              <w:rPr>
                <w:b w:val="false"/>
                <w:bCs w:val="false"/>
              </w:rPr>
              <w:t>области» Минтруда России.»)</w:t>
            </w:r>
          </w:p>
          <w:p>
            <w:pPr>
              <w:pStyle w:val="NoSpacing"/>
              <w:bidi w:val="0"/>
              <w:ind w:end="0"/>
              <w:rPr/>
            </w:pPr>
            <w:r>
              <w:rPr/>
              <w:t>Почтовый адрес: 308006, г. Белгород, ул.Корочанская, д. 48</w:t>
            </w:r>
          </w:p>
          <w:p>
            <w:pPr>
              <w:pStyle w:val="NoSpacing"/>
              <w:bidi w:val="0"/>
              <w:ind w:end="0"/>
              <w:rPr/>
            </w:pPr>
            <w:r>
              <w:rPr/>
              <w:t>Юридический адрес: 308006, г. Белгород, ул.Корочанская, д. 48</w:t>
            </w:r>
          </w:p>
          <w:p>
            <w:pPr>
              <w:pStyle w:val="NoSpacing"/>
              <w:bidi w:val="0"/>
              <w:ind w:end="0"/>
              <w:rPr/>
            </w:pPr>
            <w:r>
              <w:rPr/>
              <w:t>Тел.: 8-(4722)-37-61-91, 37-61-81</w:t>
            </w:r>
          </w:p>
          <w:p>
            <w:pPr>
              <w:pStyle w:val="NoSpacing"/>
              <w:bidi w:val="0"/>
              <w:ind w:end="0"/>
              <w:rPr/>
            </w:pPr>
            <w:r>
              <w:rPr/>
              <w:t>ОГРН 1043107048160</w:t>
            </w:r>
          </w:p>
          <w:p>
            <w:pPr>
              <w:pStyle w:val="NoSpacing"/>
              <w:bidi w:val="0"/>
              <w:ind w:end="0"/>
              <w:rPr/>
            </w:pPr>
            <w:r>
              <w:rPr/>
              <w:t>ИНН 3123113850</w:t>
            </w:r>
          </w:p>
          <w:p>
            <w:pPr>
              <w:pStyle w:val="NoSpacing"/>
              <w:bidi w:val="0"/>
              <w:ind w:end="0"/>
              <w:rPr/>
            </w:pPr>
            <w:r>
              <w:rPr/>
              <w:t>КПП 312301001</w:t>
            </w:r>
          </w:p>
          <w:p>
            <w:pPr>
              <w:pStyle w:val="NoSpacing"/>
              <w:bidi w:val="0"/>
              <w:ind w:end="0"/>
              <w:rPr/>
            </w:pPr>
            <w:r>
              <w:rPr/>
              <w:t>Номер казначейского счета: 03211643000000013226</w:t>
            </w:r>
          </w:p>
          <w:p>
            <w:pPr>
              <w:pStyle w:val="NoSpacing"/>
              <w:bidi w:val="0"/>
              <w:ind w:end="0"/>
              <w:rPr/>
            </w:pPr>
            <w:r>
              <w:rPr/>
              <w:t>Наименование банка: ОКЦ №1 ВВГУ БАНКА РОССИИ//УФК по Нижегородской области, г. Нижний Новгород.</w:t>
            </w:r>
          </w:p>
          <w:p>
            <w:pPr>
              <w:pStyle w:val="NoSpacing"/>
              <w:bidi w:val="0"/>
              <w:ind w:end="0"/>
              <w:rPr/>
            </w:pPr>
            <w:r>
              <w:rPr/>
              <w:t>Л/с 03261А74310</w:t>
            </w:r>
          </w:p>
          <w:p>
            <w:pPr>
              <w:pStyle w:val="NoSpacing"/>
              <w:bidi w:val="0"/>
              <w:ind w:end="0"/>
              <w:rPr/>
            </w:pPr>
            <w:r>
              <w:rPr/>
              <w:t>Номер банковского счета, входящего в состав ЕКС: 40102810745370000024</w:t>
            </w:r>
          </w:p>
          <w:p>
            <w:pPr>
              <w:pStyle w:val="NoSpacing"/>
              <w:bidi w:val="0"/>
              <w:ind w:end="0"/>
              <w:rPr/>
            </w:pPr>
            <w:r>
              <w:rPr/>
              <w:t>БИК 012202102</w:t>
            </w:r>
          </w:p>
          <w:p>
            <w:pPr>
              <w:pStyle w:val="NoSpacing"/>
              <w:bidi w:val="0"/>
              <w:ind w:end="0"/>
              <w:rPr/>
            </w:pPr>
            <w:r>
              <w:rPr/>
              <w:t>ОКПО 74415685</w:t>
            </w:r>
          </w:p>
          <w:p>
            <w:pPr>
              <w:pStyle w:val="NoSpacing"/>
              <w:bidi w:val="0"/>
              <w:ind w:end="0"/>
              <w:rPr/>
            </w:pPr>
            <w:r>
              <w:rPr/>
              <w:t>ОКАТО 14401370000</w:t>
            </w:r>
          </w:p>
          <w:p>
            <w:pPr>
              <w:pStyle w:val="NoSpacing"/>
              <w:bidi w:val="0"/>
              <w:ind w:end="0"/>
              <w:rPr/>
            </w:pPr>
            <w:r>
              <w:rPr/>
              <w:t>эл.почта: gb@31mse.ru</w:t>
            </w:r>
          </w:p>
          <w:p>
            <w:pPr>
              <w:pStyle w:val="NoSpacing"/>
              <w:bidi w:val="0"/>
              <w:ind w:end="0"/>
              <w:rPr/>
            </w:pPr>
            <w:r>
              <w:rPr/>
            </w:r>
          </w:p>
          <w:p>
            <w:pPr>
              <w:pStyle w:val="NoSpacing"/>
              <w:bidi w:val="0"/>
              <w:ind w:end="0"/>
              <w:rPr/>
            </w:pPr>
            <w:r>
              <w:rPr/>
              <w:t>И.О. Руководителя-главного эксперта</w:t>
            </w:r>
          </w:p>
          <w:p>
            <w:pPr>
              <w:pStyle w:val="NoSpacing"/>
              <w:bidi w:val="0"/>
              <w:ind w:end="0"/>
              <w:rPr/>
            </w:pPr>
            <w:r>
              <w:rPr/>
              <w:t>по медико-социальной экспертизе</w:t>
            </w:r>
          </w:p>
          <w:p>
            <w:pPr>
              <w:pStyle w:val="NoSpacing"/>
              <w:bidi w:val="0"/>
              <w:ind w:end="0"/>
              <w:rPr/>
            </w:pPr>
            <w:r>
              <w:rPr/>
            </w:r>
          </w:p>
          <w:p>
            <w:pPr>
              <w:pStyle w:val="NoSpacing"/>
              <w:bidi w:val="0"/>
              <w:ind w:end="0"/>
              <w:rPr>
                <w:sz w:val="16"/>
                <w:szCs w:val="16"/>
              </w:rPr>
            </w:pPr>
            <w:r>
              <w:rPr/>
              <w:t>_____________________ В.И. Курило</w:t>
            </w:r>
          </w:p>
          <w:p>
            <w:pPr>
              <w:pStyle w:val="NoSpacing"/>
              <w:bidi w:val="0"/>
              <w:ind w:end="0"/>
              <w:rPr>
                <w:rFonts w:ascii="Calibri" w:hAnsi="Calibri" w:cs="Calibri"/>
                <w:sz w:val="20"/>
                <w:szCs w:val="20"/>
              </w:rPr>
            </w:pPr>
            <w:r>
              <w:rPr>
                <w:sz w:val="16"/>
                <w:szCs w:val="16"/>
              </w:rPr>
              <w:t>(подпись)</w:t>
            </w:r>
          </w:p>
          <w:p>
            <w:pPr>
              <w:pStyle w:val="Normal"/>
              <w:jc w:val="both"/>
              <w:rPr>
                <w:rFonts w:ascii="Calibri" w:hAnsi="Calibri" w:cs="Calibri"/>
                <w:sz w:val="20"/>
                <w:szCs w:val="20"/>
              </w:rPr>
            </w:pPr>
            <w:r>
              <w:rPr>
                <w:rFonts w:cs="Calibri" w:ascii="Calibri" w:hAnsi="Calibri"/>
                <w:sz w:val="20"/>
                <w:szCs w:val="20"/>
              </w:rPr>
            </w:r>
          </w:p>
        </w:tc>
        <w:tc>
          <w:tcPr>
            <w:tcW w:w="4736" w:type="dxa"/>
            <w:tcBorders>
              <w:top w:val="single" w:sz="2" w:space="0" w:color="000000"/>
              <w:start w:val="single" w:sz="2" w:space="0" w:color="000000"/>
              <w:bottom w:val="single" w:sz="2" w:space="0" w:color="000000"/>
              <w:end w:val="single" w:sz="2" w:space="0" w:color="000000"/>
            </w:tcBorders>
          </w:tcPr>
          <w:p>
            <w:pPr>
              <w:pStyle w:val="Normal"/>
              <w:snapToGrid w:val="false"/>
              <w:rPr>
                <w:rFonts w:ascii="Calibri" w:hAnsi="Calibri" w:cs="Calibri"/>
                <w:sz w:val="20"/>
                <w:szCs w:val="20"/>
              </w:rPr>
            </w:pPr>
            <w:r>
              <w:rPr>
                <w:rFonts w:cs="Calibri" w:ascii="Calibri" w:hAnsi="Calibri"/>
                <w:sz w:val="20"/>
                <w:szCs w:val="20"/>
              </w:rPr>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 xml:space="preserve">                                    </w:t>
      </w:r>
    </w:p>
    <w:p>
      <w:pPr>
        <w:pStyle w:val="Normal"/>
        <w:jc w:val="center"/>
        <w:rPr/>
      </w:pPr>
      <w:r>
        <w:rPr/>
      </w:r>
    </w:p>
    <w:p>
      <w:pPr>
        <w:pStyle w:val="Normal"/>
        <w:jc w:val="center"/>
        <w:rPr/>
      </w:pPr>
      <w:r>
        <w:rPr/>
        <w:t xml:space="preserve">                                </w:t>
      </w:r>
    </w:p>
    <w:p>
      <w:pPr>
        <w:pStyle w:val="Normal"/>
        <w:jc w:val="center"/>
        <w:rPr/>
      </w:pPr>
      <w:r>
        <w:rPr/>
        <w:t xml:space="preserve">                                                                  </w:t>
      </w:r>
    </w:p>
    <w:p>
      <w:pPr>
        <w:pStyle w:val="Normal"/>
        <w:jc w:val="center"/>
        <w:rPr/>
      </w:pPr>
      <w:r>
        <w:rPr/>
        <w:t xml:space="preserve">                                                                              </w:t>
      </w:r>
      <w:r>
        <w:rPr/>
        <w:t>Приложение № 1</w:t>
      </w:r>
    </w:p>
    <w:p>
      <w:pPr>
        <w:pStyle w:val="Normal"/>
        <w:rPr/>
      </w:pPr>
      <w:r>
        <w:rPr/>
        <w:t xml:space="preserve">                                                                                                               </w:t>
      </w:r>
      <w:r>
        <w:rPr/>
        <w:t xml:space="preserve">к Контракту № </w:t>
      </w:r>
    </w:p>
    <w:p>
      <w:pPr>
        <w:pStyle w:val="Normal"/>
        <w:jc w:val="center"/>
        <w:rPr/>
      </w:pPr>
      <w:r>
        <w:rPr/>
        <w:t xml:space="preserve">                                                                                              </w:t>
      </w:r>
      <w:r>
        <w:rPr/>
        <w:t>от «___» _________ 2026г.</w:t>
      </w:r>
    </w:p>
    <w:p>
      <w:pPr>
        <w:pStyle w:val="Normal"/>
        <w:jc w:val="center"/>
        <w:rPr/>
      </w:pPr>
      <w:r>
        <w:rPr/>
      </w:r>
    </w:p>
    <w:p>
      <w:pPr>
        <w:pStyle w:val="Normal"/>
        <w:jc w:val="center"/>
        <w:rPr/>
      </w:pPr>
      <w:r>
        <w:rPr/>
        <w:t>СПЕЦИФИКАЦИЯ</w:t>
      </w:r>
    </w:p>
    <w:p>
      <w:pPr>
        <w:pStyle w:val="Normal"/>
        <w:jc w:val="center"/>
        <w:rPr/>
      </w:pPr>
      <w:r>
        <w:rPr/>
      </w:r>
    </w:p>
    <w:tbl>
      <w:tblPr>
        <w:tblW w:w="9572" w:type="dxa"/>
        <w:jc w:val="start"/>
        <w:tblInd w:w="0" w:type="dxa"/>
        <w:tblLayout w:type="fixed"/>
        <w:tblCellMar>
          <w:top w:w="0" w:type="dxa"/>
          <w:start w:w="108" w:type="dxa"/>
          <w:bottom w:w="0" w:type="dxa"/>
          <w:end w:w="108" w:type="dxa"/>
        </w:tblCellMar>
      </w:tblPr>
      <w:tblGrid>
        <w:gridCol w:w="536"/>
        <w:gridCol w:w="4250"/>
        <w:gridCol w:w="1414"/>
        <w:gridCol w:w="1846"/>
        <w:gridCol w:w="1526"/>
      </w:tblGrid>
      <w:tr>
        <w:trPr/>
        <w:tc>
          <w:tcPr>
            <w:tcW w:w="536"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p>
            <w:pPr>
              <w:pStyle w:val="Normal"/>
              <w:jc w:val="center"/>
              <w:rPr/>
            </w:pPr>
            <w:r>
              <w:rPr/>
              <w:t>п/п</w:t>
            </w:r>
          </w:p>
        </w:tc>
        <w:tc>
          <w:tcPr>
            <w:tcW w:w="4250" w:type="dxa"/>
            <w:tcBorders>
              <w:top w:val="single" w:sz="4" w:space="0" w:color="000000"/>
              <w:start w:val="single" w:sz="4" w:space="0" w:color="000000"/>
              <w:bottom w:val="single" w:sz="4" w:space="0" w:color="000000"/>
              <w:end w:val="single" w:sz="4" w:space="0" w:color="000000"/>
            </w:tcBorders>
          </w:tcPr>
          <w:p>
            <w:pPr>
              <w:pStyle w:val="Normal"/>
              <w:jc w:val="center"/>
              <w:rPr/>
            </w:pPr>
            <w:r>
              <w:rPr/>
              <w:t>Наименование курса</w:t>
            </w:r>
          </w:p>
        </w:tc>
        <w:tc>
          <w:tcPr>
            <w:tcW w:w="1414" w:type="dxa"/>
            <w:tcBorders>
              <w:top w:val="single" w:sz="4" w:space="0" w:color="000000"/>
              <w:start w:val="single" w:sz="4" w:space="0" w:color="000000"/>
              <w:bottom w:val="single" w:sz="4" w:space="0" w:color="000000"/>
              <w:end w:val="single" w:sz="4" w:space="0" w:color="000000"/>
            </w:tcBorders>
          </w:tcPr>
          <w:p>
            <w:pPr>
              <w:pStyle w:val="Normal"/>
              <w:jc w:val="center"/>
              <w:rPr/>
            </w:pPr>
            <w:r>
              <w:rPr/>
              <w:t>Кол-во</w:t>
            </w:r>
          </w:p>
          <w:p>
            <w:pPr>
              <w:pStyle w:val="Normal"/>
              <w:jc w:val="center"/>
              <w:rPr/>
            </w:pPr>
            <w:r>
              <w:rPr/>
            </w:r>
          </w:p>
        </w:tc>
        <w:tc>
          <w:tcPr>
            <w:tcW w:w="1846" w:type="dxa"/>
            <w:tcBorders>
              <w:top w:val="single" w:sz="4" w:space="0" w:color="000000"/>
              <w:start w:val="single" w:sz="4" w:space="0" w:color="000000"/>
              <w:bottom w:val="single" w:sz="4" w:space="0" w:color="000000"/>
              <w:end w:val="single" w:sz="4" w:space="0" w:color="000000"/>
            </w:tcBorders>
          </w:tcPr>
          <w:p>
            <w:pPr>
              <w:pStyle w:val="Normal"/>
              <w:jc w:val="center"/>
              <w:rPr/>
            </w:pPr>
            <w:r>
              <w:rPr/>
              <w:t>Цена, руб.</w:t>
            </w:r>
          </w:p>
        </w:tc>
        <w:tc>
          <w:tcPr>
            <w:tcW w:w="1526" w:type="dxa"/>
            <w:tcBorders>
              <w:top w:val="single" w:sz="4" w:space="0" w:color="000000"/>
              <w:start w:val="single" w:sz="4" w:space="0" w:color="000000"/>
              <w:bottom w:val="single" w:sz="4" w:space="0" w:color="000000"/>
              <w:end w:val="single" w:sz="4" w:space="0" w:color="000000"/>
            </w:tcBorders>
          </w:tcPr>
          <w:p>
            <w:pPr>
              <w:pStyle w:val="Normal"/>
              <w:jc w:val="center"/>
              <w:rPr/>
            </w:pPr>
            <w:r>
              <w:rPr/>
              <w:t>Сумма, руб.</w:t>
            </w:r>
          </w:p>
        </w:tc>
      </w:tr>
      <w:tr>
        <w:trPr/>
        <w:tc>
          <w:tcPr>
            <w:tcW w:w="536"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250" w:type="dxa"/>
            <w:tcBorders>
              <w:top w:val="single" w:sz="4" w:space="0" w:color="000000"/>
              <w:start w:val="single" w:sz="4" w:space="0" w:color="000000"/>
              <w:bottom w:val="single" w:sz="4" w:space="0" w:color="000000"/>
              <w:end w:val="single" w:sz="4" w:space="0" w:color="000000"/>
            </w:tcBorders>
          </w:tcPr>
          <w:p>
            <w:pPr>
              <w:pStyle w:val="Normal"/>
              <w:widowControl/>
              <w:tabs>
                <w:tab w:val="clear" w:pos="708"/>
                <w:tab w:val="left" w:pos="993" w:leader="none"/>
              </w:tabs>
              <w:suppressAutoHyphens w:val="true"/>
              <w:bidi w:val="0"/>
              <w:spacing w:before="0" w:after="0"/>
              <w:ind w:hanging="0" w:start="0" w:end="0"/>
              <w:jc w:val="both"/>
              <w:rPr/>
            </w:pPr>
            <w:r>
              <w:rPr/>
              <w:t>услуг</w:t>
            </w:r>
            <w:r>
              <w:rPr/>
              <w:t>и</w:t>
            </w:r>
            <w:r>
              <w:rPr/>
              <w:t xml:space="preserve"> по  расчёт</w:t>
            </w:r>
            <w:r>
              <w:rPr/>
              <w:t>у</w:t>
            </w:r>
            <w:r>
              <w:rPr/>
              <w:t xml:space="preserve"> норм расхода топлива для</w:t>
            </w:r>
            <w:r>
              <w:rPr>
                <w:color w:val="000000"/>
              </w:rPr>
              <w:t xml:space="preserve"> бензинового генератора</w:t>
            </w:r>
            <w:r>
              <w:rPr>
                <w:color w:val="000000"/>
                <w:lang w:val="en-US"/>
              </w:rPr>
              <w:t xml:space="preserve"> </w:t>
            </w:r>
            <w:r>
              <w:rPr>
                <w:color w:val="000000"/>
                <w:lang w:val="en-US"/>
              </w:rPr>
              <w:t>DENZEL PS-180EAD-3</w:t>
            </w:r>
          </w:p>
        </w:tc>
        <w:tc>
          <w:tcPr>
            <w:tcW w:w="1414" w:type="dxa"/>
            <w:tcBorders>
              <w:top w:val="single" w:sz="4" w:space="0" w:color="000000"/>
              <w:start w:val="single" w:sz="4" w:space="0" w:color="000000"/>
              <w:bottom w:val="single" w:sz="4" w:space="0" w:color="000000"/>
              <w:end w:val="single" w:sz="4" w:space="0" w:color="000000"/>
            </w:tcBorders>
          </w:tcPr>
          <w:p>
            <w:pPr>
              <w:pStyle w:val="Normal"/>
              <w:jc w:val="center"/>
              <w:rPr/>
            </w:pPr>
            <w:r>
              <w:rPr/>
            </w:r>
          </w:p>
          <w:p>
            <w:pPr>
              <w:pStyle w:val="Normal"/>
              <w:jc w:val="center"/>
              <w:rPr/>
            </w:pPr>
            <w:r>
              <w:rPr/>
              <w:t>1</w:t>
            </w:r>
          </w:p>
        </w:tc>
        <w:tc>
          <w:tcPr>
            <w:tcW w:w="184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8046" w:type="dxa"/>
            <w:gridSpan w:val="4"/>
            <w:tcBorders>
              <w:top w:val="single" w:sz="4" w:space="0" w:color="000000"/>
              <w:start w:val="single" w:sz="4" w:space="0" w:color="000000"/>
              <w:bottom w:val="single" w:sz="4" w:space="0" w:color="000000"/>
              <w:end w:val="single" w:sz="4" w:space="0" w:color="000000"/>
            </w:tcBorders>
          </w:tcPr>
          <w:p>
            <w:pPr>
              <w:pStyle w:val="Normal"/>
              <w:tabs>
                <w:tab w:val="clear" w:pos="708"/>
                <w:tab w:val="left" w:pos="5635" w:leader="none"/>
              </w:tabs>
              <w:rPr/>
            </w:pPr>
            <w:r>
              <w:rPr/>
              <w:tab/>
              <w:t>ИТОГО</w:t>
            </w:r>
          </w:p>
        </w:tc>
        <w:tc>
          <w:tcPr>
            <w:tcW w:w="152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t>Заказчик</w:t>
        <w:tab/>
        <w:tab/>
        <w:tab/>
        <w:tab/>
        <w:t xml:space="preserve">                                 </w:t>
        <w:tab/>
        <w:t>Исполнитель</w:t>
      </w:r>
    </w:p>
    <w:p>
      <w:pPr>
        <w:pStyle w:val="Normal"/>
        <w:rPr/>
      </w:pPr>
      <w:r>
        <w:rPr/>
      </w:r>
    </w:p>
    <w:p>
      <w:pPr>
        <w:pStyle w:val="Normal"/>
        <w:rPr/>
      </w:pPr>
      <w:r>
        <w:rPr/>
      </w:r>
    </w:p>
    <w:p>
      <w:pPr>
        <w:pStyle w:val="Normal"/>
        <w:rPr>
          <w:b/>
          <w:bCs/>
          <w:sz w:val="28"/>
          <w:szCs w:val="28"/>
        </w:rPr>
      </w:pPr>
      <w:r>
        <w:rPr/>
        <w:t>__________________ В.И. Курило</w:t>
        <w:tab/>
        <w:t xml:space="preserve">                      _________________</w:t>
      </w:r>
      <w:r>
        <w:rPr>
          <w:lang w:eastAsia="zh-CN"/>
        </w:rPr>
        <w:t xml:space="preserve"> </w:t>
      </w:r>
    </w:p>
    <w:p>
      <w:pPr>
        <w:pStyle w:val="Normal"/>
        <w:jc w:val="center"/>
        <w:rPr>
          <w:b/>
          <w:bCs/>
          <w:sz w:val="28"/>
          <w:szCs w:val="28"/>
        </w:rPr>
      </w:pPr>
      <w:r>
        <w:rPr>
          <w:b/>
          <w:bCs/>
          <w:sz w:val="28"/>
          <w:szCs w:val="28"/>
        </w:rPr>
      </w:r>
    </w:p>
    <w:sectPr>
      <w:type w:val="nextPage"/>
      <w:pgSz w:w="11906" w:h="16838"/>
      <w:pgMar w:left="993" w:right="707" w:gutter="0" w:header="0" w:top="56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Times New Roman CYR">
    <w:charset w:val="cc" w:characterSet="windows-1251"/>
    <w:family w:val="roman"/>
    <w:pitch w:val="variable"/>
  </w:font>
  <w:font w:name="Calibri">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0"/>
        </w:tabs>
        <w:ind w:start="720" w:hanging="360"/>
      </w:pPr>
      <w:rPr/>
    </w:lvl>
    <w:lvl w:ilvl="1">
      <w:start w:val="1"/>
      <w:numFmt w:val="decimal"/>
      <w:isLgl/>
      <w:lvlText w:val="%1.%2."/>
      <w:lvlJc w:val="start"/>
      <w:pPr>
        <w:tabs>
          <w:tab w:val="num" w:pos="0"/>
        </w:tabs>
        <w:ind w:start="1070" w:hanging="360"/>
      </w:pPr>
      <w:rPr>
        <w:b w:val="false"/>
        <w:sz w:val="24"/>
        <w:szCs w:val="24"/>
      </w:rPr>
    </w:lvl>
    <w:lvl w:ilvl="2">
      <w:start w:val="1"/>
      <w:numFmt w:val="decimal"/>
      <w:isLgl/>
      <w:lvlText w:val="%1.%2.%3."/>
      <w:lvlJc w:val="start"/>
      <w:pPr>
        <w:tabs>
          <w:tab w:val="num" w:pos="0"/>
        </w:tabs>
        <w:ind w:start="1080" w:hanging="720"/>
      </w:pPr>
      <w:rPr/>
    </w:lvl>
    <w:lvl w:ilvl="3">
      <w:start w:val="1"/>
      <w:numFmt w:val="decimal"/>
      <w:isLgl/>
      <w:lvlText w:val="%1.%2.%3.%4."/>
      <w:lvlJc w:val="start"/>
      <w:pPr>
        <w:tabs>
          <w:tab w:val="num" w:pos="0"/>
        </w:tabs>
        <w:ind w:start="1080" w:hanging="720"/>
      </w:pPr>
      <w:rPr/>
    </w:lvl>
    <w:lvl w:ilvl="4">
      <w:start w:val="1"/>
      <w:numFmt w:val="decimal"/>
      <w:isLgl/>
      <w:lvlText w:val="%1.%2.%3.%4.%5."/>
      <w:lvlJc w:val="start"/>
      <w:pPr>
        <w:tabs>
          <w:tab w:val="num" w:pos="0"/>
        </w:tabs>
        <w:ind w:start="1440" w:hanging="1080"/>
      </w:pPr>
      <w:rPr/>
    </w:lvl>
    <w:lvl w:ilvl="5">
      <w:start w:val="1"/>
      <w:numFmt w:val="decimal"/>
      <w:isLgl/>
      <w:lvlText w:val="%1.%2.%3.%4.%5.%6."/>
      <w:lvlJc w:val="start"/>
      <w:pPr>
        <w:tabs>
          <w:tab w:val="num" w:pos="0"/>
        </w:tabs>
        <w:ind w:start="1440" w:hanging="1080"/>
      </w:pPr>
      <w:rPr/>
    </w:lvl>
    <w:lvl w:ilvl="6">
      <w:start w:val="1"/>
      <w:numFmt w:val="decimal"/>
      <w:isLgl/>
      <w:lvlText w:val="%1.%2.%3.%4.%5.%6.%7."/>
      <w:lvlJc w:val="start"/>
      <w:pPr>
        <w:tabs>
          <w:tab w:val="num" w:pos="0"/>
        </w:tabs>
        <w:ind w:start="1800" w:hanging="1440"/>
      </w:pPr>
      <w:rPr/>
    </w:lvl>
    <w:lvl w:ilvl="7">
      <w:start w:val="1"/>
      <w:numFmt w:val="decimal"/>
      <w:isLgl/>
      <w:lvlText w:val="%1.%2.%3.%4.%5.%6.%7.%8."/>
      <w:lvlJc w:val="start"/>
      <w:pPr>
        <w:tabs>
          <w:tab w:val="num" w:pos="0"/>
        </w:tabs>
        <w:ind w:start="1800" w:hanging="1440"/>
      </w:pPr>
      <w:rPr/>
    </w:lvl>
    <w:lvl w:ilvl="8">
      <w:start w:val="1"/>
      <w:numFmt w:val="decimal"/>
      <w:isLgl/>
      <w:lvlText w:val="%1.%2.%3.%4.%5.%6.%7.%8.%9."/>
      <w:lvlJc w:val="start"/>
      <w:pPr>
        <w:tabs>
          <w:tab w:val="num" w:pos="0"/>
        </w:tabs>
        <w:ind w:start="2160" w:hanging="180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outlineLvl w:val="1"/>
    </w:pPr>
    <w:rPr>
      <w:sz w:val="28"/>
    </w:rPr>
  </w:style>
  <w:style w:type="character" w:styleId="WW8Num2z0">
    <w:name w:val="WW8Num2z0"/>
    <w:qFormat/>
    <w:rPr/>
  </w:style>
  <w:style w:type="character" w:styleId="WW8Num3z0">
    <w:name w:val="WW8Num3z0"/>
    <w:qFormat/>
    <w:rPr/>
  </w:style>
  <w:style w:type="character" w:styleId="WW8Num3z1">
    <w:name w:val="WW8Num3z1"/>
    <w:qFormat/>
    <w:rPr>
      <w:b w:val="false"/>
      <w:sz w:val="24"/>
      <w:szCs w:val="24"/>
    </w:rPr>
  </w:style>
  <w:style w:type="character" w:styleId="WW8Num4z0">
    <w:name w:val="WW8Num4z0"/>
    <w:qFormat/>
    <w:rPr>
      <w:rFonts w:cs="Times New Roman"/>
    </w:rPr>
  </w:style>
  <w:style w:type="character" w:styleId="WW8Num1z0">
    <w:name w:val="WW8Num1z0"/>
    <w:qFormat/>
    <w:rPr/>
  </w:style>
  <w:style w:type="character" w:styleId="WW8Num2z1">
    <w:name w:val="WW8Num2z1"/>
    <w:qFormat/>
    <w:rPr>
      <w:b w:val="false"/>
      <w:sz w:val="24"/>
      <w:szCs w:val="24"/>
    </w:rPr>
  </w:style>
  <w:style w:type="character" w:styleId="Style12">
    <w:name w:val="Основной шрифт абзаца"/>
    <w:qFormat/>
    <w:rPr/>
  </w:style>
  <w:style w:type="character" w:styleId="Hyperlink">
    <w:name w:val="Hyperlink"/>
    <w:rPr>
      <w:color w:val="0000FF"/>
      <w:u w:val="single"/>
    </w:rPr>
  </w:style>
  <w:style w:type="character" w:styleId="Style13">
    <w:name w:val="Текст выноски Знак"/>
    <w:qFormat/>
    <w:rPr>
      <w:rFonts w:ascii="Tahoma" w:hAnsi="Tahoma" w:cs="Tahoma"/>
      <w:sz w:val="16"/>
      <w:szCs w:val="16"/>
    </w:rPr>
  </w:style>
  <w:style w:type="character" w:styleId="DefaultParagraphFont">
    <w:name w:val="Default Paragraph Font"/>
    <w:qFormat/>
    <w:rPr/>
  </w:style>
  <w:style w:type="paragraph" w:styleId="Style14">
    <w:name w:val="Заголовок"/>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user1">
    <w:name w:val="Указатель (user)"/>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2">
    <w:name w:val="Основной текст 2"/>
    <w:basedOn w:val="Normal"/>
    <w:qFormat/>
    <w:pPr>
      <w:jc w:val="both"/>
    </w:pPr>
    <w:rPr>
      <w:sz w:val="28"/>
    </w:rPr>
  </w:style>
  <w:style w:type="paragraph" w:styleId="Style16">
    <w:name w:val="Схема документа"/>
    <w:basedOn w:val="Normal"/>
    <w:qFormat/>
    <w:pPr>
      <w:shd w:val="clear" w:fill="000080"/>
    </w:pPr>
    <w:rPr>
      <w:rFonts w:ascii="Tahoma" w:hAnsi="Tahoma" w:cs="Tahoma"/>
      <w:sz w:val="20"/>
      <w:szCs w:val="20"/>
    </w:rPr>
  </w:style>
  <w:style w:type="paragraph" w:styleId="Style17">
    <w:name w:val="Текст выноски"/>
    <w:basedOn w:val="Normal"/>
    <w:qFormat/>
    <w:pPr/>
    <w:rPr>
      <w:rFonts w:ascii="Tahoma" w:hAnsi="Tahoma" w:cs="Tahoma"/>
      <w:sz w:val="16"/>
      <w:szCs w:val="16"/>
      <w:lang w:val="ru-RU"/>
    </w:rPr>
  </w:style>
  <w:style w:type="paragraph" w:styleId="Style18">
    <w:name w:val="Содержимое таблицы"/>
    <w:basedOn w:val="Normal"/>
    <w:qFormat/>
    <w:pPr>
      <w:widowControl w:val="false"/>
      <w:suppressLineNumbers/>
    </w:pPr>
    <w:rPr/>
  </w:style>
  <w:style w:type="paragraph" w:styleId="Style19">
    <w:name w:val="Заголовок таблицы"/>
    <w:basedOn w:val="Style18"/>
    <w:qFormat/>
    <w:pPr>
      <w:suppressLineNumbers/>
      <w:jc w:val="center"/>
    </w:pPr>
    <w:rPr>
      <w:b/>
      <w:bCs/>
    </w:rPr>
  </w:style>
  <w:style w:type="paragraph" w:styleId="NoSpacing">
    <w:name w:val="No Spacing"/>
    <w:qFormat/>
    <w:pPr>
      <w:widowControl/>
      <w:suppressAutoHyphens w:val="true"/>
      <w:bidi w:val="0"/>
      <w:spacing w:before="0" w:after="0"/>
      <w:jc w:val="start"/>
      <w:textAlignment w:val="auto"/>
    </w:pPr>
    <w:rPr>
      <w:rFonts w:ascii="Times New Roman" w:hAnsi="Times New Roman" w:eastAsia="Arial Unicode MS" w:cs="Times New Roman"/>
      <w:color w:val="auto"/>
      <w:kern w:val="0"/>
      <w:sz w:val="24"/>
      <w:szCs w:val="24"/>
      <w:lang w:val="ru-RU" w:eastAsia="zh-CN" w:bidi="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67</TotalTime>
  <Application>LibreOffice/25.8.6.2$Windows_X86_64 LibreOffice_project/b4b39682cd9868fa725bc664aff94278d315bd04</Application>
  <AppVersion>15.0000</AppVersion>
  <Pages>5</Pages>
  <Words>1346</Words>
  <Characters>9793</Characters>
  <CharactersWithSpaces>11667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2025-09-01T13:47:00Z</dcterms:created>
  <dc:creator>nbezkorovaynaya</dc:creator>
  <dc:description/>
  <dc:language>ru-RU</dc:language>
  <cp:lastModifiedBy/>
  <cp:lastPrinted>2019-02-18T11:48:00Z</cp:lastPrinted>
  <dcterms:modified xsi:type="dcterms:W3CDTF">2026-06-25T09:22:12Z</dcterms:modified>
  <cp:revision>15</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