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keepNext w:val="1"/>
        <w:spacing w:after="0" w:line="300" w:lineRule="auto"/>
        <w:ind/>
        <w:contextualSpacing w:val="1"/>
        <w:jc w:val="center"/>
        <w:outlineLvl w:val="0"/>
        <w:rPr>
          <w:b w:val="1"/>
          <w:caps w:val="1"/>
        </w:rPr>
      </w:pPr>
      <w:bookmarkStart w:id="1" w:name="_Ref89938565"/>
      <w:r>
        <w:rPr>
          <w:b w:val="1"/>
          <w:caps w:val="1"/>
        </w:rPr>
        <w:t xml:space="preserve">ОБОСНОВАНИЕ </w:t>
      </w:r>
      <w:bookmarkEnd w:id="1"/>
      <w:r>
        <w:rPr>
          <w:b w:val="1"/>
          <w:caps w:val="1"/>
        </w:rPr>
        <w:t>НАЧАЛЬНОЙ (МАКСИМАЛЬНОЙ) ЦЕНЫ КОНТРАКТА</w:t>
      </w:r>
    </w:p>
    <w:p w14:paraId="02000000">
      <w:pPr>
        <w:spacing w:after="0"/>
        <w:ind w:firstLine="709" w:left="0"/>
        <w:jc w:val="center"/>
      </w:pPr>
      <w:r>
        <w:rPr>
          <w:color w:themeColor="text1" w:val="000000"/>
        </w:rPr>
        <w:t>«</w:t>
      </w:r>
      <w:r>
        <w:rPr>
          <w:b w:val="0"/>
          <w:sz w:val="24"/>
        </w:rPr>
        <w:t>Поставка внешних портативных аккумуляторов с символикой Федеральной службы по труду и занятости</w:t>
      </w:r>
      <w:r>
        <w:t>»</w:t>
      </w:r>
    </w:p>
    <w:p w14:paraId="03000000">
      <w:pPr>
        <w:spacing w:after="0"/>
        <w:ind w:firstLine="709" w:left="0"/>
        <w:jc w:val="center"/>
        <w:rPr>
          <w:highlight w:val="white"/>
        </w:rPr>
      </w:pPr>
    </w:p>
    <w:p w14:paraId="04000000">
      <w:pPr>
        <w:spacing w:after="0"/>
        <w:ind w:firstLine="709" w:left="0"/>
      </w:pPr>
      <w:r>
        <w:t xml:space="preserve">Используемый метод определения НМЦК: Метод </w:t>
      </w:r>
      <w:r>
        <w:t>сопоставимых рыночных цен (анализ рынка)</w:t>
      </w:r>
    </w:p>
    <w:p w14:paraId="05000000">
      <w:pPr>
        <w:spacing w:after="0"/>
        <w:ind w:firstLine="708" w:left="0"/>
      </w:pPr>
      <w:r>
        <w:t xml:space="preserve">Расчет НМЦК производился в </w:t>
      </w:r>
      <w:r>
        <w:t>соответствии</w:t>
      </w:r>
      <w:r>
        <w:t xml:space="preserve"> с Приказом Минэкономразвития России от 02.10.2013 № 567 «Об утверждении методических рекомендаций по применению методов определения начальной (максимальной) цены контракта, це</w:t>
      </w:r>
      <w:r>
        <w:t>ны контракта, заключаемого с единственным поставщиком (подрядчиком, исполнителем)».</w:t>
      </w:r>
    </w:p>
    <w:p w14:paraId="06000000">
      <w:pPr>
        <w:spacing w:after="0"/>
        <w:ind w:firstLine="708" w:left="0"/>
        <w:rPr>
          <w:color w:themeColor="text1" w:val="000000"/>
        </w:rPr>
      </w:pPr>
      <w:r>
        <w:rPr>
          <w:color w:themeColor="text1" w:val="000000"/>
        </w:rPr>
        <w:t>Для определения НМЦК использованы ценовые</w:t>
      </w:r>
      <w:bookmarkStart w:id="2" w:name="_GoBack"/>
      <w:bookmarkEnd w:id="2"/>
      <w:r>
        <w:rPr>
          <w:color w:themeColor="text1" w:val="000000"/>
        </w:rPr>
        <w:t xml:space="preserve"> предложения, полученные от потенциальных поставщиков (подрядчиков, исполнителей):</w:t>
      </w:r>
    </w:p>
    <w:p w14:paraId="07000000">
      <w:pPr>
        <w:spacing w:after="0"/>
        <w:ind w:firstLine="708" w:left="12744"/>
      </w:pPr>
    </w:p>
    <w:tbl>
      <w:tblPr>
        <w:tblStyle w:val="Style_1"/>
        <w:tblW w:type="auto" w:w="0"/>
        <w:jc w:val="center"/>
        <w:tblLayout w:type="fixed"/>
      </w:tblPr>
      <w:tblGrid>
        <w:gridCol w:w="1985"/>
        <w:gridCol w:w="1417"/>
        <w:gridCol w:w="1587"/>
        <w:gridCol w:w="1842"/>
        <w:gridCol w:w="1701"/>
        <w:gridCol w:w="1701"/>
        <w:gridCol w:w="2127"/>
        <w:gridCol w:w="1839"/>
      </w:tblGrid>
      <w:tr>
        <w:trPr>
          <w:trHeight w:hRule="atLeast" w:val="1442"/>
        </w:trP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00000">
            <w:pPr>
              <w:widowControl w:val="0"/>
              <w:spacing w:after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>Наименование Товара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00000">
            <w:pPr>
              <w:widowControl w:val="0"/>
              <w:spacing w:after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>Единица измерения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00000">
            <w:pPr>
              <w:widowControl w:val="0"/>
              <w:spacing w:after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>Количеств</w:t>
            </w:r>
            <w:r>
              <w:rPr>
                <w:b w:val="1"/>
              </w:rPr>
              <w:t xml:space="preserve">о 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00000">
            <w:pPr>
              <w:widowControl w:val="0"/>
              <w:spacing w:after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>Ценовое предложение №1</w:t>
            </w:r>
          </w:p>
          <w:p w14:paraId="0C000000">
            <w:pPr>
              <w:widowControl w:val="0"/>
              <w:spacing w:after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>(ВХ/</w:t>
            </w:r>
            <w:r>
              <w:rPr>
                <w:b w:val="1"/>
              </w:rPr>
              <w:t>№ 18369 от 08.09.2026)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00000">
            <w:pPr>
              <w:widowControl w:val="0"/>
              <w:spacing w:after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>Ценовое предложение №2</w:t>
            </w:r>
          </w:p>
          <w:p w14:paraId="0E000000">
            <w:pPr>
              <w:widowControl w:val="0"/>
              <w:spacing w:after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>(ВХ/</w:t>
            </w:r>
            <w:r>
              <w:rPr>
                <w:b w:val="1"/>
              </w:rPr>
              <w:t>№ 18450 от 09.09.2026)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widowControl w:val="0"/>
              <w:spacing w:after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>Ценовое предложение №3</w:t>
            </w:r>
          </w:p>
          <w:p w14:paraId="10000000">
            <w:pPr>
              <w:widowControl w:val="0"/>
              <w:spacing w:after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>(ВХ/</w:t>
            </w:r>
            <w:r>
              <w:rPr>
                <w:b w:val="1"/>
              </w:rPr>
              <w:t>№ 18666 от 11.09.2026)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widowControl w:val="0"/>
              <w:spacing w:after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>Средняя цена единицы товара, руб.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00000">
            <w:pPr>
              <w:widowControl w:val="0"/>
              <w:spacing w:after="0"/>
              <w:ind/>
              <w:jc w:val="center"/>
              <w:rPr>
                <w:b w:val="1"/>
              </w:rPr>
            </w:pPr>
            <w:r>
              <w:rPr>
                <w:b w:val="1"/>
                <w:u w:color="000000"/>
              </w:rPr>
              <w:t>Стоимость товара, руб.</w:t>
            </w:r>
          </w:p>
        </w:tc>
      </w:tr>
      <w:t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00000">
            <w:r>
              <w:rPr>
                <w:rFonts w:ascii="Times New Roman" w:hAnsi="Times New Roman"/>
              </w:rPr>
              <w:t>Внешний портативный аккумулятор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00000">
            <w:pPr>
              <w:widowControl w:val="0"/>
              <w:ind/>
              <w:jc w:val="center"/>
            </w:pPr>
            <w:r>
              <w:t>шт.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00000">
            <w:pPr>
              <w:widowControl w:val="0"/>
              <w:ind/>
              <w:jc w:val="center"/>
            </w:pPr>
            <w:r>
              <w:t>100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00000">
            <w:pPr>
              <w:ind/>
              <w:jc w:val="center"/>
            </w:pPr>
            <w:r>
              <w:t>5 650,00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00000">
            <w:pPr>
              <w:widowControl w:val="0"/>
              <w:spacing w:after="0"/>
              <w:ind/>
              <w:jc w:val="center"/>
            </w:pPr>
            <w:r>
              <w:t>5 600,00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00000">
            <w:pPr>
              <w:widowControl w:val="0"/>
              <w:spacing w:after="0"/>
              <w:ind/>
              <w:jc w:val="center"/>
            </w:pPr>
            <w:r>
              <w:t>5 730,00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00000">
            <w:pPr>
              <w:widowControl w:val="0"/>
              <w:spacing w:after="0"/>
              <w:ind/>
              <w:jc w:val="center"/>
            </w:pPr>
            <w:r>
              <w:t>5 660,00</w:t>
            </w:r>
          </w:p>
        </w:tc>
        <w:tc>
          <w:tcPr>
            <w:tcW w:type="dxa" w:w="1839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00000">
            <w:pPr>
              <w:widowControl w:val="0"/>
              <w:spacing w:after="0"/>
              <w:ind/>
              <w:jc w:val="center"/>
            </w:pPr>
            <w:r>
              <w:t>566 000,00</w:t>
            </w:r>
          </w:p>
        </w:tc>
      </w:tr>
      <w:tr>
        <w:tc>
          <w:tcPr>
            <w:tcW w:type="dxa" w:w="12360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00000">
            <w:pPr>
              <w:widowControl w:val="0"/>
              <w:spacing w:after="0"/>
              <w:ind/>
              <w:jc w:val="left"/>
              <w:rPr>
                <w:b w:val="1"/>
              </w:rPr>
            </w:pPr>
            <w:r>
              <w:rPr>
                <w:b w:val="1"/>
              </w:rPr>
              <w:t>Итого: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566 000,00</w:t>
            </w:r>
          </w:p>
        </w:tc>
      </w:tr>
    </w:tbl>
    <w:p w14:paraId="1D000000">
      <w:pPr>
        <w:tabs>
          <w:tab w:leader="none" w:pos="426" w:val="left"/>
        </w:tabs>
        <w:spacing w:after="0"/>
        <w:ind w:firstLine="0" w:left="1786"/>
        <w:contextualSpacing w:val="1"/>
        <w:rPr>
          <w:color w:themeColor="text1" w:val="000000"/>
        </w:rPr>
      </w:pPr>
    </w:p>
    <w:p w14:paraId="1E000000">
      <w:pPr>
        <w:tabs>
          <w:tab w:leader="none" w:pos="426" w:val="left"/>
        </w:tabs>
        <w:spacing w:after="0"/>
        <w:ind w:firstLine="709" w:left="0"/>
        <w:contextualSpacing w:val="1"/>
        <w:rPr>
          <w:color w:themeColor="text1" w:val="000000"/>
        </w:rPr>
      </w:pPr>
      <w:r>
        <w:t>На основании расчета и с учетом выделенных лимитов бюджетных обязательств начальная (максимальная) цена контракта устанавливается в размере</w:t>
      </w:r>
      <w:r>
        <w:t>:</w:t>
      </w:r>
      <w:r>
        <w:rPr>
          <w:color w:themeColor="text1" w:val="000000"/>
        </w:rPr>
        <w:t xml:space="preserve"> </w:t>
      </w:r>
      <w:r>
        <w:t>566 000 руб.</w:t>
      </w:r>
      <w:r>
        <w:rPr>
          <w:u w:color="000000"/>
        </w:rPr>
        <w:t xml:space="preserve"> 00 коп</w:t>
      </w:r>
      <w:r>
        <w:rPr>
          <w:u w:color="000000"/>
        </w:rPr>
        <w:t>.</w:t>
      </w:r>
      <w:r>
        <w:rPr>
          <w:u w:color="000000"/>
        </w:rPr>
        <w:t xml:space="preserve"> </w:t>
      </w:r>
      <w:r>
        <w:t>и</w:t>
      </w:r>
      <w:r>
        <w:t xml:space="preserve"> включает в себя все расходы </w:t>
      </w:r>
      <w:r>
        <w:t>Поставщика</w:t>
      </w:r>
      <w:r>
        <w:t>, связанные с исполнением контракта, в том числе налоги, сборы и другие обязательные платежи.</w:t>
      </w:r>
    </w:p>
    <w:p w14:paraId="1F000000">
      <w:pPr>
        <w:tabs>
          <w:tab w:leader="none" w:pos="426" w:val="left"/>
        </w:tabs>
        <w:spacing w:after="0"/>
        <w:ind w:firstLine="0" w:left="1786"/>
        <w:contextualSpacing w:val="1"/>
        <w:rPr>
          <w:color w:themeColor="text1" w:val="000000"/>
        </w:rPr>
      </w:pPr>
    </w:p>
    <w:p w14:paraId="20000000">
      <w:pPr>
        <w:tabs>
          <w:tab w:leader="none" w:pos="426" w:val="left"/>
        </w:tabs>
        <w:spacing w:after="0"/>
        <w:ind w:firstLine="0" w:left="1786"/>
        <w:contextualSpacing w:val="1"/>
        <w:rPr>
          <w:color w:themeColor="text1" w:val="000000"/>
        </w:rPr>
      </w:pPr>
    </w:p>
    <w:p w14:paraId="21000000">
      <w:pPr>
        <w:rPr>
          <w:color w:themeColor="text1" w:val="000000"/>
        </w:rPr>
      </w:pPr>
      <w:r>
        <w:rPr>
          <w:color w:themeColor="text1" w:val="000000"/>
        </w:rPr>
        <w:t>Дата подготовки обоснования НМЦК: 11.09.2026</w:t>
      </w:r>
    </w:p>
    <w:sectPr>
      <w:pgSz w:h="11906" w:orient="landscape" w:w="16838"/>
      <w:pgMar w:bottom="284" w:footer="0" w:gutter="0" w:header="0" w:left="1134" w:right="1134" w:top="56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60"/>
      <w:ind/>
      <w:jc w:val="both"/>
    </w:pPr>
    <w:rPr>
      <w:rFonts w:ascii="Times New Roman" w:hAnsi="Times New Roman"/>
      <w:sz w:val="24"/>
    </w:rPr>
  </w:style>
  <w:style w:default="1" w:styleId="Style_2_ch" w:type="character">
    <w:name w:val="Normal"/>
    <w:link w:val="Style_2"/>
    <w:rPr>
      <w:rFonts w:ascii="Times New Roman" w:hAnsi="Times New Roman"/>
      <w:sz w:val="24"/>
    </w:rPr>
  </w:style>
  <w:style w:styleId="Style_3" w:type="paragraph">
    <w:name w:val="Balloon Text"/>
    <w:basedOn w:val="Style_2"/>
    <w:link w:val="Style_3_ch"/>
    <w:pPr>
      <w:spacing w:after="0"/>
      <w:ind/>
    </w:pPr>
    <w:rPr>
      <w:rFonts w:ascii="Segoe UI" w:hAnsi="Segoe UI"/>
      <w:sz w:val="18"/>
    </w:rPr>
  </w:style>
  <w:style w:styleId="Style_3_ch" w:type="character">
    <w:name w:val="Balloon Text"/>
    <w:basedOn w:val="Style_2_ch"/>
    <w:link w:val="Style_3"/>
    <w:rPr>
      <w:rFonts w:ascii="Segoe UI" w:hAnsi="Segoe UI"/>
      <w:sz w:val="18"/>
    </w:rPr>
  </w:style>
  <w:style w:styleId="Style_4" w:type="paragraph">
    <w:name w:val="toc 2"/>
    <w:next w:val="Style_2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Обычный1"/>
    <w:link w:val="Style_6_ch"/>
    <w:rPr>
      <w:rFonts w:ascii="Times New Roman" w:hAnsi="Times New Roman"/>
      <w:sz w:val="24"/>
    </w:rPr>
  </w:style>
  <w:style w:styleId="Style_6_ch" w:type="character">
    <w:name w:val="Обычный1"/>
    <w:link w:val="Style_6"/>
    <w:rPr>
      <w:rFonts w:ascii="Times New Roman" w:hAnsi="Times New Roman"/>
      <w:sz w:val="24"/>
    </w:rPr>
  </w:style>
  <w:style w:styleId="Style_7" w:type="paragraph">
    <w:name w:val="Нижний колонтитул Знак"/>
    <w:basedOn w:val="Style_8"/>
    <w:link w:val="Style_7_ch"/>
    <w:rPr>
      <w:rFonts w:ascii="Times New Roman" w:hAnsi="Times New Roman"/>
      <w:sz w:val="24"/>
    </w:rPr>
  </w:style>
  <w:style w:styleId="Style_7_ch" w:type="character">
    <w:name w:val="Нижний колонтитул Знак"/>
    <w:basedOn w:val="Style_8_ch"/>
    <w:link w:val="Style_7"/>
    <w:rPr>
      <w:rFonts w:ascii="Times New Roman" w:hAnsi="Times New Roman"/>
      <w:sz w:val="24"/>
    </w:rPr>
  </w:style>
  <w:style w:styleId="Style_9" w:type="paragraph">
    <w:name w:val="toc 6"/>
    <w:next w:val="Style_2"/>
    <w:link w:val="Style_9_ch"/>
    <w:uiPriority w:val="39"/>
    <w:pPr>
      <w:ind w:firstLine="0" w:left="1000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2"/>
    <w:link w:val="Style_10_ch"/>
    <w:uiPriority w:val="39"/>
    <w:pPr>
      <w:ind w:firstLine="0" w:left="1200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Заголовок"/>
    <w:basedOn w:val="Style_2"/>
    <w:next w:val="Style_12"/>
    <w:link w:val="Style_11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11_ch" w:type="character">
    <w:name w:val="Заголовок"/>
    <w:basedOn w:val="Style_2_ch"/>
    <w:link w:val="Style_11"/>
    <w:rPr>
      <w:rFonts w:ascii="Liberation Sans" w:hAnsi="Liberation Sans"/>
      <w:sz w:val="28"/>
    </w:rPr>
  </w:style>
  <w:style w:styleId="Style_13" w:type="paragraph">
    <w:name w:val="Верхний колонтитул Знак"/>
    <w:basedOn w:val="Style_8"/>
    <w:link w:val="Style_13_ch"/>
    <w:rPr>
      <w:rFonts w:ascii="Times New Roman" w:hAnsi="Times New Roman"/>
      <w:sz w:val="24"/>
    </w:rPr>
  </w:style>
  <w:style w:styleId="Style_13_ch" w:type="character">
    <w:name w:val="Верхний колонтитул Знак"/>
    <w:basedOn w:val="Style_8_ch"/>
    <w:link w:val="Style_13"/>
    <w:rPr>
      <w:rFonts w:ascii="Times New Roman" w:hAnsi="Times New Roman"/>
      <w:sz w:val="24"/>
    </w:rPr>
  </w:style>
  <w:style w:styleId="Style_14" w:type="paragraph">
    <w:name w:val="Endnote"/>
    <w:link w:val="Style_14_ch"/>
    <w:pPr>
      <w:ind w:firstLine="851" w:left="0"/>
      <w:jc w:val="both"/>
    </w:pPr>
    <w:rPr>
      <w:rFonts w:ascii="XO Thames" w:hAnsi="XO Thames"/>
    </w:rPr>
  </w:style>
  <w:style w:styleId="Style_14_ch" w:type="character">
    <w:name w:val="Endnote"/>
    <w:link w:val="Style_14"/>
    <w:rPr>
      <w:rFonts w:ascii="XO Thames" w:hAnsi="XO Thames"/>
    </w:rPr>
  </w:style>
  <w:style w:styleId="Style_15" w:type="paragraph">
    <w:name w:val="heading 3"/>
    <w:next w:val="Style_2"/>
    <w:link w:val="Style_1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16" w:type="paragraph">
    <w:name w:val="header"/>
    <w:basedOn w:val="Style_2"/>
    <w:link w:val="Style_16_ch"/>
    <w:pPr>
      <w:tabs>
        <w:tab w:leader="none" w:pos="4677" w:val="center"/>
        <w:tab w:leader="none" w:pos="9355" w:val="right"/>
      </w:tabs>
      <w:spacing w:after="0"/>
      <w:ind/>
    </w:pPr>
  </w:style>
  <w:style w:styleId="Style_16_ch" w:type="character">
    <w:name w:val="header"/>
    <w:basedOn w:val="Style_2_ch"/>
    <w:link w:val="Style_16"/>
  </w:style>
  <w:style w:styleId="Style_17" w:type="paragraph">
    <w:name w:val="Обычный1"/>
    <w:link w:val="Style_17_ch"/>
    <w:rPr>
      <w:rFonts w:ascii="Times New Roman" w:hAnsi="Times New Roman"/>
      <w:sz w:val="24"/>
    </w:rPr>
  </w:style>
  <w:style w:styleId="Style_17_ch" w:type="character">
    <w:name w:val="Обычный1"/>
    <w:link w:val="Style_17"/>
    <w:rPr>
      <w:rFonts w:ascii="Times New Roman" w:hAnsi="Times New Roman"/>
      <w:sz w:val="24"/>
    </w:rPr>
  </w:style>
  <w:style w:styleId="Style_12" w:type="paragraph">
    <w:name w:val="Body Text"/>
    <w:basedOn w:val="Style_2"/>
    <w:link w:val="Style_12_ch"/>
    <w:pPr>
      <w:spacing w:after="140" w:line="276" w:lineRule="auto"/>
      <w:ind/>
    </w:pPr>
  </w:style>
  <w:style w:styleId="Style_12_ch" w:type="character">
    <w:name w:val="Body Text"/>
    <w:basedOn w:val="Style_2_ch"/>
    <w:link w:val="Style_12"/>
  </w:style>
  <w:style w:styleId="Style_18" w:type="paragraph">
    <w:name w:val="Колонтитул"/>
    <w:basedOn w:val="Style_2"/>
    <w:link w:val="Style_18_ch"/>
  </w:style>
  <w:style w:styleId="Style_18_ch" w:type="character">
    <w:name w:val="Колонтитул"/>
    <w:basedOn w:val="Style_2_ch"/>
    <w:link w:val="Style_18"/>
  </w:style>
  <w:style w:styleId="Style_19" w:type="paragraph">
    <w:name w:val="toc 3"/>
    <w:next w:val="Style_2"/>
    <w:link w:val="Style_19_ch"/>
    <w:uiPriority w:val="39"/>
    <w:pPr>
      <w:ind w:firstLine="0" w:left="400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Гиперссылка2"/>
    <w:link w:val="Style_20_ch"/>
    <w:rPr>
      <w:color w:val="0000FF"/>
      <w:u w:val="single"/>
    </w:rPr>
  </w:style>
  <w:style w:styleId="Style_20_ch" w:type="character">
    <w:name w:val="Гиперссылка2"/>
    <w:link w:val="Style_20"/>
    <w:rPr>
      <w:color w:val="0000FF"/>
      <w:u w:val="single"/>
    </w:rPr>
  </w:style>
  <w:style w:styleId="Style_21" w:type="paragraph">
    <w:name w:val="heading 5"/>
    <w:next w:val="Style_2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21_ch" w:type="character">
    <w:name w:val="heading 5"/>
    <w:link w:val="Style_21"/>
    <w:rPr>
      <w:rFonts w:ascii="XO Thames" w:hAnsi="XO Thames"/>
      <w:b w:val="1"/>
    </w:rPr>
  </w:style>
  <w:style w:styleId="Style_22" w:type="paragraph">
    <w:name w:val="heading 1"/>
    <w:basedOn w:val="Style_2"/>
    <w:link w:val="Style_22_ch"/>
    <w:uiPriority w:val="9"/>
    <w:qFormat/>
    <w:pPr>
      <w:spacing w:afterAutospacing="on" w:beforeAutospacing="on"/>
      <w:ind/>
      <w:jc w:val="left"/>
      <w:outlineLvl w:val="0"/>
    </w:pPr>
    <w:rPr>
      <w:b w:val="1"/>
      <w:sz w:val="48"/>
    </w:rPr>
  </w:style>
  <w:style w:styleId="Style_22_ch" w:type="character">
    <w:name w:val="heading 1"/>
    <w:basedOn w:val="Style_2_ch"/>
    <w:link w:val="Style_22"/>
    <w:rPr>
      <w:b w:val="1"/>
      <w:sz w:val="4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index heading"/>
    <w:basedOn w:val="Style_2"/>
    <w:link w:val="Style_24_ch"/>
  </w:style>
  <w:style w:styleId="Style_24_ch" w:type="character">
    <w:name w:val="index heading"/>
    <w:basedOn w:val="Style_2_ch"/>
    <w:link w:val="Style_24"/>
  </w:style>
  <w:style w:styleId="Style_25" w:type="paragraph">
    <w:name w:val="Hyperlink"/>
    <w:link w:val="Style_25_ch"/>
    <w:rPr>
      <w:color w:val="0000FF"/>
      <w:u w:val="single"/>
    </w:rPr>
  </w:style>
  <w:style w:styleId="Style_25_ch" w:type="character">
    <w:name w:val="Hyperlink"/>
    <w:link w:val="Style_25"/>
    <w:rPr>
      <w:color w:val="0000FF"/>
      <w:u w:val="single"/>
    </w:rPr>
  </w:style>
  <w:style w:styleId="Style_26" w:type="paragraph">
    <w:name w:val="Footnote"/>
    <w:link w:val="Style_26_ch"/>
    <w:pPr>
      <w:ind w:firstLine="851" w:left="0"/>
      <w:jc w:val="both"/>
    </w:pPr>
    <w:rPr>
      <w:rFonts w:ascii="XO Thames" w:hAnsi="XO Thames"/>
    </w:rPr>
  </w:style>
  <w:style w:styleId="Style_26_ch" w:type="character">
    <w:name w:val="Footnote"/>
    <w:link w:val="Style_26"/>
    <w:rPr>
      <w:rFonts w:ascii="XO Thames" w:hAnsi="XO Thames"/>
    </w:rPr>
  </w:style>
  <w:style w:styleId="Style_27" w:type="paragraph">
    <w:name w:val="toc 1"/>
    <w:next w:val="Style_2"/>
    <w:link w:val="Style_27_ch"/>
    <w:uiPriority w:val="39"/>
    <w:rPr>
      <w:rFonts w:ascii="XO Thames" w:hAnsi="XO Thames"/>
      <w:b w:val="1"/>
      <w:sz w:val="28"/>
    </w:rPr>
  </w:style>
  <w:style w:styleId="Style_27_ch" w:type="character">
    <w:name w:val="toc 1"/>
    <w:link w:val="Style_27"/>
    <w:rPr>
      <w:rFonts w:ascii="XO Thames" w:hAnsi="XO Thames"/>
      <w:b w:val="1"/>
      <w:sz w:val="28"/>
    </w:rPr>
  </w:style>
  <w:style w:styleId="Style_28" w:type="paragraph">
    <w:name w:val="Header and Footer"/>
    <w:link w:val="Style_28_ch"/>
    <w:pPr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29" w:type="paragraph">
    <w:name w:val="Основной шрифт абзаца2"/>
    <w:link w:val="Style_29_ch"/>
  </w:style>
  <w:style w:styleId="Style_29_ch" w:type="character">
    <w:name w:val="Основной шрифт абзаца2"/>
    <w:link w:val="Style_29"/>
  </w:style>
  <w:style w:styleId="Style_30" w:type="paragraph">
    <w:name w:val="footer"/>
    <w:basedOn w:val="Style_2"/>
    <w:link w:val="Style_30_ch"/>
    <w:pPr>
      <w:tabs>
        <w:tab w:leader="none" w:pos="4677" w:val="center"/>
        <w:tab w:leader="none" w:pos="9355" w:val="right"/>
      </w:tabs>
      <w:spacing w:after="0"/>
      <w:ind/>
    </w:pPr>
  </w:style>
  <w:style w:styleId="Style_30_ch" w:type="character">
    <w:name w:val="footer"/>
    <w:basedOn w:val="Style_2_ch"/>
    <w:link w:val="Style_30"/>
  </w:style>
  <w:style w:styleId="Style_31" w:type="paragraph">
    <w:name w:val="toc 9"/>
    <w:next w:val="Style_2"/>
    <w:link w:val="Style_31_ch"/>
    <w:uiPriority w:val="39"/>
    <w:pPr>
      <w:ind w:firstLine="0" w:left="1600"/>
    </w:pPr>
    <w:rPr>
      <w:rFonts w:ascii="XO Thames" w:hAnsi="XO Thames"/>
      <w:sz w:val="28"/>
    </w:rPr>
  </w:style>
  <w:style w:styleId="Style_31_ch" w:type="character">
    <w:name w:val="toc 9"/>
    <w:link w:val="Style_31"/>
    <w:rPr>
      <w:rFonts w:ascii="XO Thames" w:hAnsi="XO Thames"/>
      <w:sz w:val="28"/>
    </w:rPr>
  </w:style>
  <w:style w:styleId="Style_32" w:type="paragraph">
    <w:name w:val="Заголовок 5 Знак"/>
    <w:link w:val="Style_32_ch"/>
    <w:rPr>
      <w:rFonts w:ascii="XO Thames" w:hAnsi="XO Thames"/>
      <w:b w:val="1"/>
    </w:rPr>
  </w:style>
  <w:style w:styleId="Style_32_ch" w:type="character">
    <w:name w:val="Заголовок 5 Знак"/>
    <w:link w:val="Style_32"/>
    <w:rPr>
      <w:rFonts w:ascii="XO Thames" w:hAnsi="XO Thames"/>
      <w:b w:val="1"/>
    </w:rPr>
  </w:style>
  <w:style w:styleId="Style_33" w:type="paragraph">
    <w:name w:val="toc 8"/>
    <w:next w:val="Style_2"/>
    <w:link w:val="Style_33_ch"/>
    <w:uiPriority w:val="39"/>
    <w:pPr>
      <w:ind w:firstLine="0" w:left="1400"/>
    </w:pPr>
    <w:rPr>
      <w:rFonts w:ascii="XO Thames" w:hAnsi="XO Thames"/>
      <w:sz w:val="28"/>
    </w:rPr>
  </w:style>
  <w:style w:styleId="Style_33_ch" w:type="character">
    <w:name w:val="toc 8"/>
    <w:link w:val="Style_33"/>
    <w:rPr>
      <w:rFonts w:ascii="XO Thames" w:hAnsi="XO Thames"/>
      <w:sz w:val="28"/>
    </w:rPr>
  </w:style>
  <w:style w:styleId="Style_34" w:type="paragraph">
    <w:name w:val="caption"/>
    <w:basedOn w:val="Style_2"/>
    <w:link w:val="Style_34_ch"/>
    <w:pPr>
      <w:spacing w:after="120" w:before="120"/>
      <w:ind/>
    </w:pPr>
    <w:rPr>
      <w:i w:val="1"/>
    </w:rPr>
  </w:style>
  <w:style w:styleId="Style_34_ch" w:type="character">
    <w:name w:val="caption"/>
    <w:basedOn w:val="Style_2_ch"/>
    <w:link w:val="Style_34"/>
    <w:rPr>
      <w:i w:val="1"/>
    </w:rPr>
  </w:style>
  <w:style w:styleId="Style_35" w:type="paragraph">
    <w:name w:val="Заголовок 1 Знак"/>
    <w:basedOn w:val="Style_8"/>
    <w:link w:val="Style_35_ch"/>
    <w:rPr>
      <w:rFonts w:ascii="Times New Roman" w:hAnsi="Times New Roman"/>
      <w:b w:val="1"/>
      <w:sz w:val="48"/>
    </w:rPr>
  </w:style>
  <w:style w:styleId="Style_35_ch" w:type="character">
    <w:name w:val="Заголовок 1 Знак"/>
    <w:basedOn w:val="Style_8_ch"/>
    <w:link w:val="Style_35"/>
    <w:rPr>
      <w:rFonts w:ascii="Times New Roman" w:hAnsi="Times New Roman"/>
      <w:b w:val="1"/>
      <w:sz w:val="48"/>
    </w:rPr>
  </w:style>
  <w:style w:styleId="Style_36" w:type="paragraph">
    <w:name w:val="toc 5"/>
    <w:next w:val="Style_2"/>
    <w:link w:val="Style_36_ch"/>
    <w:uiPriority w:val="39"/>
    <w:pPr>
      <w:ind w:firstLine="0" w:left="800"/>
    </w:pPr>
    <w:rPr>
      <w:rFonts w:ascii="XO Thames" w:hAnsi="XO Thames"/>
      <w:sz w:val="28"/>
    </w:rPr>
  </w:style>
  <w:style w:styleId="Style_36_ch" w:type="character">
    <w:name w:val="toc 5"/>
    <w:link w:val="Style_36"/>
    <w:rPr>
      <w:rFonts w:ascii="XO Thames" w:hAnsi="XO Thames"/>
      <w:sz w:val="28"/>
    </w:rPr>
  </w:style>
  <w:style w:styleId="Style_8" w:type="paragraph">
    <w:name w:val="Основной шрифт абзаца1"/>
    <w:link w:val="Style_8_ch"/>
  </w:style>
  <w:style w:styleId="Style_8_ch" w:type="character">
    <w:name w:val="Основной шрифт абзаца1"/>
    <w:link w:val="Style_8"/>
  </w:style>
  <w:style w:styleId="Style_37" w:type="paragraph">
    <w:name w:val="Subtitle"/>
    <w:next w:val="Style_2"/>
    <w:link w:val="Style_3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7_ch" w:type="character">
    <w:name w:val="Subtitle"/>
    <w:link w:val="Style_37"/>
    <w:rPr>
      <w:rFonts w:ascii="XO Thames" w:hAnsi="XO Thames"/>
      <w:i w:val="1"/>
      <w:sz w:val="24"/>
    </w:rPr>
  </w:style>
  <w:style w:styleId="Style_38" w:type="paragraph">
    <w:name w:val="List"/>
    <w:basedOn w:val="Style_12"/>
    <w:link w:val="Style_38_ch"/>
  </w:style>
  <w:style w:styleId="Style_38_ch" w:type="character">
    <w:name w:val="List"/>
    <w:basedOn w:val="Style_12_ch"/>
    <w:link w:val="Style_38"/>
  </w:style>
  <w:style w:styleId="Style_39" w:type="paragraph">
    <w:name w:val="Title"/>
    <w:next w:val="Style_2"/>
    <w:link w:val="Style_3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9_ch" w:type="character">
    <w:name w:val="Title"/>
    <w:link w:val="Style_39"/>
    <w:rPr>
      <w:rFonts w:ascii="XO Thames" w:hAnsi="XO Thames"/>
      <w:b w:val="1"/>
      <w:caps w:val="1"/>
      <w:sz w:val="40"/>
    </w:rPr>
  </w:style>
  <w:style w:styleId="Style_40" w:type="paragraph">
    <w:name w:val="heading 4"/>
    <w:next w:val="Style_2"/>
    <w:link w:val="Style_4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0_ch" w:type="character">
    <w:name w:val="heading 4"/>
    <w:link w:val="Style_40"/>
    <w:rPr>
      <w:rFonts w:ascii="XO Thames" w:hAnsi="XO Thames"/>
      <w:b w:val="1"/>
      <w:sz w:val="24"/>
    </w:rPr>
  </w:style>
  <w:style w:styleId="Style_41" w:type="paragraph">
    <w:name w:val="Гиперссылка1"/>
    <w:link w:val="Style_41_ch"/>
    <w:rPr>
      <w:color w:val="0000FF"/>
      <w:u w:val="single"/>
    </w:rPr>
  </w:style>
  <w:style w:styleId="Style_41_ch" w:type="character">
    <w:name w:val="Гиперссылка1"/>
    <w:link w:val="Style_41"/>
    <w:rPr>
      <w:color w:val="0000FF"/>
      <w:u w:val="single"/>
    </w:rPr>
  </w:style>
  <w:style w:styleId="Style_42" w:type="paragraph">
    <w:name w:val="heading 2"/>
    <w:next w:val="Style_2"/>
    <w:link w:val="Style_4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2_ch" w:type="character">
    <w:name w:val="heading 2"/>
    <w:link w:val="Style_42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MyOffice-CoreFramework-Linux/33-1224.848.9400.852.1@a485da99dcc738e8c7d147737040082c6b3f9fe8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2026-09-17T10:56:19Z</dcterms:modified>
</cp:coreProperties>
</file>