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Приложение №</w:t>
      </w:r>
      <w:r>
        <w:rPr>
          <w:rFonts w:eastAsia="Calibri"/>
          <w:b/>
          <w:lang w:eastAsia="en-US"/>
        </w:rPr>
        <w:t xml:space="preserve">1</w:t>
      </w:r>
      <w:r>
        <w:rPr>
          <w:rFonts w:eastAsia="Calibri"/>
          <w:b/>
          <w:lang w:eastAsia="en-US"/>
        </w:rPr>
      </w:r>
    </w:p>
    <w:p>
      <w:pPr>
        <w:ind w:firstLine="600"/>
        <w:jc w:val="center"/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ОБЪЕКТА ЗАКУПКИ</w:t>
      </w:r>
      <w:r>
        <w:rPr>
          <w:b/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(Техническое задание)</w:t>
      </w:r>
      <w:r>
        <w:rPr>
          <w:bCs/>
          <w:sz w:val="28"/>
          <w:szCs w:val="28"/>
        </w:rPr>
      </w:r>
    </w:p>
    <w:p>
      <w:pPr>
        <w:contextualSpacing/>
        <w:jc w:val="center"/>
        <w:rPr>
          <w:b/>
        </w:rPr>
      </w:pPr>
      <w:r>
        <w:rPr>
          <w:rStyle w:val="784"/>
          <w:b/>
          <w:sz w:val="24"/>
          <w:szCs w:val="24"/>
        </w:rPr>
        <w:t xml:space="preserve">Поставка огнетушителей для нужд </w:t>
      </w:r>
      <w:r>
        <w:rPr>
          <w:b/>
        </w:rPr>
        <w:t xml:space="preserve">Петровско-Анастасиевского филиала ФГБУ Управление «Кубаньмелиоводхоз».</w:t>
      </w:r>
      <w:r>
        <w:rPr>
          <w:b/>
        </w:rPr>
      </w:r>
    </w:p>
    <w:p>
      <w:pPr>
        <w:contextualSpacing/>
        <w:jc w:val="both"/>
      </w:pPr>
      <w:r>
        <w:rPr>
          <w:b/>
        </w:rPr>
        <w:t xml:space="preserve">Объект закупки:</w:t>
      </w:r>
      <w:r>
        <w:t xml:space="preserve"> Поставка </w:t>
      </w:r>
      <w:r>
        <w:t xml:space="preserve">огнетушителей</w:t>
      </w:r>
      <w:r>
        <w:t xml:space="preserve"> для нужд Петровско-Анастасиевского филиала ФГБУ Управление «Кубаньмелиоводхоз».</w:t>
      </w:r>
      <w:r/>
    </w:p>
    <w:p>
      <w:pPr>
        <w:contextualSpacing/>
        <w:jc w:val="both"/>
        <w:rPr>
          <w:b/>
          <w:bCs/>
        </w:rPr>
      </w:pPr>
      <w:r>
        <w:rPr>
          <w:b/>
          <w:bCs/>
        </w:rPr>
        <w:t xml:space="preserve">ОКПД 2: </w:t>
      </w:r>
      <w:r>
        <w:rPr>
          <w:b/>
          <w:bCs/>
          <w:shd w:val="clear" w:color="auto" w:fill="ffffff"/>
        </w:rPr>
        <w:t xml:space="preserve">28.29.22.110</w:t>
      </w:r>
      <w:r>
        <w:rPr>
          <w:b/>
          <w:bCs/>
          <w:shd w:val="clear" w:color="auto" w:fill="ffffff"/>
        </w:rPr>
        <w:t xml:space="preserve">  КТРУ: </w:t>
      </w:r>
      <w:hyperlink r:id="rId16" w:tooltip="https://zakupki.gov.ru/epz/ktru/ktruCard/commonInfo.html?itemVersionId=164455" w:history="1">
        <w:r>
          <w:rPr>
            <w:b/>
            <w:bCs/>
          </w:rPr>
          <w:t xml:space="preserve">28.29.22.110-0000001</w:t>
        </w:r>
        <w:r>
          <w:rPr>
            <w:b/>
            <w:bCs/>
          </w:rPr>
          <w:t xml:space="preserve">4</w:t>
        </w:r>
      </w:hyperlink>
      <w:r>
        <w:rPr>
          <w:b/>
          <w:bCs/>
        </w:rPr>
        <w:t xml:space="preserve"> </w:t>
      </w:r>
      <w:r>
        <w:rPr>
          <w:b/>
          <w:bCs/>
        </w:rPr>
      </w:r>
    </w:p>
    <w:p>
      <w:pPr>
        <w:ind w:firstLine="709"/>
        <w:jc w:val="both"/>
        <w:spacing w:line="276" w:lineRule="auto"/>
      </w:pPr>
      <w:r>
        <w:rPr>
          <w:b/>
        </w:rPr>
        <w:t xml:space="preserve">Место поставки товара</w:t>
      </w:r>
      <w:r>
        <w:t xml:space="preserve">: </w:t>
      </w:r>
      <w:r>
        <w:t xml:space="preserve">353560, </w:t>
      </w:r>
      <w:r>
        <w:t xml:space="preserve">Краснодарский край</w:t>
      </w:r>
      <w:r>
        <w:t xml:space="preserve">, г. Славянск-на-Кубани, ул. Кубанская, 139</w:t>
      </w:r>
      <w:r>
        <w:t xml:space="preserve">.</w:t>
      </w:r>
      <w:r/>
    </w:p>
    <w:p>
      <w:pPr>
        <w:ind w:firstLine="709"/>
        <w:jc w:val="both"/>
        <w:spacing w:line="276" w:lineRule="auto"/>
        <w:rPr>
          <w:rFonts w:ascii="Tahoma" w:hAnsi="Tahoma" w:cs="Tahoma"/>
        </w:rPr>
      </w:pPr>
      <w:r>
        <w:t xml:space="preserve">Поставщик обязан обеспечить перевозку, погрузку, выгрузку товара по месту поставки товара своими силами и за свой счет.</w:t>
      </w:r>
      <w:r>
        <w:rPr>
          <w:rFonts w:ascii="Tahoma" w:hAnsi="Tahoma" w:cs="Tahoma"/>
        </w:rPr>
      </w:r>
    </w:p>
    <w:p>
      <w:pPr>
        <w:ind w:firstLine="709"/>
        <w:jc w:val="both"/>
        <w:spacing w:line="276" w:lineRule="auto"/>
      </w:pPr>
      <w:r>
        <w:rPr>
          <w:b/>
        </w:rPr>
        <w:t xml:space="preserve">Срок поставки товара</w:t>
      </w:r>
      <w:r>
        <w:t xml:space="preserve">: </w:t>
      </w:r>
      <w:r>
        <w:t xml:space="preserve">В течение</w:t>
      </w:r>
      <w:r>
        <w:t xml:space="preserve"> </w:t>
      </w:r>
      <w:r>
        <w:t xml:space="preserve">5</w:t>
      </w:r>
      <w:r>
        <w:t xml:space="preserve"> (</w:t>
      </w:r>
      <w:r>
        <w:t xml:space="preserve">пяти</w:t>
      </w:r>
      <w:r>
        <w:t xml:space="preserve">) </w:t>
      </w:r>
      <w:r>
        <w:t xml:space="preserve">рабочих </w:t>
      </w:r>
      <w:r>
        <w:t xml:space="preserve">дней с момента подписания </w:t>
      </w:r>
      <w:r>
        <w:t xml:space="preserve">Контракта</w:t>
      </w:r>
      <w:r>
        <w:t xml:space="preserve">.</w:t>
      </w:r>
      <w:r/>
    </w:p>
    <w:p>
      <w:pPr>
        <w:ind w:firstLine="709"/>
        <w:jc w:val="both"/>
        <w:spacing w:line="276" w:lineRule="auto"/>
        <w:rPr>
          <w:b/>
        </w:rPr>
      </w:pPr>
      <w:r>
        <w:rPr>
          <w:b/>
        </w:rPr>
        <w:t xml:space="preserve">Описание объекта закупки:</w:t>
      </w:r>
      <w:r>
        <w:rPr>
          <w:b/>
        </w:rPr>
      </w:r>
    </w:p>
    <w:tbl>
      <w:tblPr>
        <w:tblStyle w:val="774"/>
        <w:tblW w:w="103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3011"/>
        <w:gridCol w:w="1461"/>
        <w:gridCol w:w="1232"/>
        <w:gridCol w:w="1276"/>
        <w:gridCol w:w="1096"/>
      </w:tblGrid>
      <w:tr>
        <w:tblPrEx/>
        <w:trPr/>
        <w:tc>
          <w:tcPr>
            <w:tcW w:w="426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r>
              <w:rPr>
                <w:b/>
              </w:rPr>
            </w:r>
          </w:p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товара</w:t>
            </w:r>
            <w:r>
              <w:rPr>
                <w:b/>
              </w:rPr>
            </w:r>
          </w:p>
        </w:tc>
        <w:tc>
          <w:tcPr>
            <w:gridSpan w:val="2"/>
            <w:tcW w:w="447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Характеристики </w:t>
            </w:r>
            <w:r>
              <w:rPr>
                <w:b/>
              </w:rPr>
            </w:r>
          </w:p>
        </w:tc>
        <w:tc>
          <w:tcPr>
            <w:tcW w:w="1232" w:type="dxa"/>
            <w:textDirection w:val="lrTb"/>
            <w:noWrap w:val="false"/>
          </w:tcPr>
          <w:p>
            <w:pPr>
              <w:ind w:left="-152" w:right="-108"/>
              <w:jc w:val="center"/>
              <w:rPr>
                <w:b/>
              </w:rPr>
            </w:pPr>
            <w:r>
              <w:rPr>
                <w:b/>
              </w:rPr>
              <w:t xml:space="preserve">Ед</w:t>
            </w:r>
            <w:r>
              <w:rPr>
                <w:b/>
              </w:rPr>
              <w:t xml:space="preserve">и</w:t>
            </w:r>
            <w:r>
              <w:rPr>
                <w:b/>
              </w:rPr>
              <w:t xml:space="preserve">ница измерения</w:t>
            </w:r>
            <w:r>
              <w:rPr>
                <w:b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</w:rPr>
            </w:r>
          </w:p>
        </w:tc>
        <w:tc>
          <w:tcPr>
            <w:tcW w:w="109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ГОСТ</w:t>
            </w:r>
            <w:r>
              <w:rPr>
                <w:b/>
              </w:rPr>
            </w:r>
          </w:p>
        </w:tc>
      </w:tr>
      <w:tr>
        <w:tblPrEx/>
        <w:trPr>
          <w:trHeight w:val="276"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значение</w:t>
            </w:r>
            <w:r>
              <w:rPr>
                <w:b/>
              </w:rPr>
            </w:r>
          </w:p>
        </w:tc>
        <w:tc>
          <w:tcPr>
            <w:tcW w:w="123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Шт.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20</w:t>
            </w:r>
            <w:r/>
          </w:p>
        </w:tc>
        <w:tc>
          <w:tcPr>
            <w:tcW w:w="10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ГОСТ Р 5</w:t>
            </w:r>
            <w:r>
              <w:t xml:space="preserve">9641</w:t>
            </w:r>
            <w:r>
              <w:t xml:space="preserve">-20</w:t>
            </w:r>
            <w:r>
              <w:t xml:space="preserve">2</w:t>
            </w:r>
            <w:r>
              <w:t xml:space="preserve">1</w:t>
            </w:r>
            <w:r/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W w:w="447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по КТРУ</w:t>
            </w:r>
            <w:r>
              <w:rPr>
                <w:b/>
              </w:rPr>
              <w:t xml:space="preserve">:</w:t>
            </w:r>
            <w:r>
              <w:rPr>
                <w:b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276"/>
        </w:trPr>
        <w:tc>
          <w:tcP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Огнетушитель</w:t>
            </w:r>
            <w:r/>
          </w:p>
        </w:tc>
        <w:tc>
          <w:tcPr>
            <w:tcW w:w="3011" w:type="dxa"/>
            <w:textDirection w:val="lrTb"/>
            <w:noWrap w:val="false"/>
          </w:tcPr>
          <w:p>
            <w:pPr>
              <w:jc w:val="both"/>
            </w:pPr>
            <w:r>
              <w:t xml:space="preserve">Вид </w:t>
            </w:r>
            <w:r>
              <w:t xml:space="preserve">(по типу огнетушащего вещества)</w:t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both"/>
            </w:pPr>
            <w:r>
              <w:t xml:space="preserve">Порошковый (ОП)</w:t>
            </w:r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r>
              <w:t xml:space="preserve">Назначение по классу пожара</w:t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both"/>
            </w:pPr>
            <w:r>
              <w:rPr>
                <w:lang w:val="en-US"/>
              </w:rPr>
              <w:t xml:space="preserve">B, C, D, E, A</w:t>
            </w:r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jc w:val="both"/>
            </w:pPr>
            <w:r>
              <w:t xml:space="preserve">Тип </w:t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both"/>
            </w:pPr>
            <w:r>
              <w:t xml:space="preserve">Переносной </w:t>
            </w:r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jc w:val="both"/>
            </w:pPr>
            <w:r>
              <w:t xml:space="preserve">Тип по принципу создания избыточного давления газа</w:t>
            </w:r>
            <w:r/>
          </w:p>
        </w:tc>
        <w:tc>
          <w:tcPr>
            <w:tcW w:w="1461" w:type="dxa"/>
            <w:textDirection w:val="lrTb"/>
            <w:noWrap w:val="false"/>
          </w:tcPr>
          <w:p>
            <w:pPr>
              <w:jc w:val="both"/>
            </w:pPr>
            <w:r>
              <w:t xml:space="preserve">Закачной (з)</w:t>
            </w:r>
            <w:r/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W w:w="447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Дополнительная характеристика</w:t>
            </w:r>
            <w:r>
              <w:rPr>
                <w:b/>
              </w:rPr>
              <w:t xml:space="preserve">*:</w:t>
            </w:r>
            <w:r>
              <w:rPr>
                <w:b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тушения очагов класса А,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9,36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тушения очагов класса В,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2,25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Металл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Перезаряжаемый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подачи огнетушащего вещества,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длина струи  огнетушителя,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Номинальная масса ОТВ,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масса заряженного огнетушителя,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1" w:type="dxa"/>
            <w:textDirection w:val="lrTb"/>
            <w:noWrap w:val="false"/>
          </w:tcPr>
          <w:p>
            <w:pPr>
              <w:pStyle w:val="7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 пустого баллона,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61" w:type="dxa"/>
            <w:textDirection w:val="lrTb"/>
            <w:noWrap w:val="false"/>
          </w:tcPr>
          <w:p>
            <w:pPr>
              <w:pStyle w:val="7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1,4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32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6" w:type="dxa"/>
            <w:vMerge w:val="continue"/>
            <w:textDirection w:val="lrTb"/>
            <w:noWrap w:val="false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8"/>
        <w:jc w:val="both"/>
        <w:rPr>
          <w:b/>
        </w:rPr>
      </w:pPr>
      <w:r>
        <w:rPr>
          <w:b/>
        </w:rPr>
        <w:t xml:space="preserve">Требования к поставляемому Товару.</w:t>
      </w:r>
      <w:r>
        <w:rPr>
          <w:b/>
        </w:rPr>
      </w:r>
    </w:p>
    <w:p>
      <w:pPr>
        <w:ind w:firstLine="709"/>
        <w:jc w:val="both"/>
        <w:rPr>
          <w:rStyle w:val="767"/>
          <w:rFonts w:eastAsia="Calibri"/>
        </w:rPr>
      </w:pPr>
      <w:r>
        <w:t xml:space="preserve">В</w:t>
      </w:r>
      <w:r>
        <w:t xml:space="preserve">есь поставляемый Товар должен быть новым</w:t>
      </w:r>
      <w:r>
        <w:t xml:space="preserve"> (год выпуска не раньше 2026 года)</w:t>
      </w:r>
      <w:r>
        <w:t xml:space="preserve">, сертифицированным</w:t>
      </w:r>
      <w:r>
        <w:t xml:space="preserve">, </w:t>
      </w:r>
      <w:r>
        <w:t xml:space="preserve">промышленного производства, ранее </w:t>
      </w:r>
      <w:r>
        <w:t xml:space="preserve">не</w:t>
      </w:r>
      <w:r>
        <w:t xml:space="preserve"> </w:t>
      </w:r>
      <w:r>
        <w:t xml:space="preserve">использованным</w:t>
      </w:r>
      <w:r>
        <w:t xml:space="preserve">, </w:t>
      </w:r>
      <w:r>
        <w:rPr>
          <w:rStyle w:val="767"/>
          <w:rFonts w:eastAsia="Calibri"/>
        </w:rPr>
        <w:t xml:space="preserve">не должен иметь следов эксплуатации, восстановления и дефектов. </w:t>
      </w:r>
      <w:r>
        <w:rPr>
          <w:rStyle w:val="767"/>
          <w:rFonts w:eastAsia="Calibri"/>
        </w:rPr>
      </w:r>
    </w:p>
    <w:p>
      <w:pPr>
        <w:ind w:firstLine="709"/>
        <w:jc w:val="both"/>
      </w:pPr>
      <w:r>
        <w:t xml:space="preserve">Товары должны быть упакованы в неповрежденную заводскую стандартную упаковку, предохраняющую </w:t>
      </w:r>
      <w:r>
        <w:t xml:space="preserve">его</w:t>
      </w:r>
      <w:r>
        <w:t xml:space="preserve"> от повреждения, от воздействия влаги и обеспечивающую сохранн</w:t>
      </w:r>
      <w:r>
        <w:t xml:space="preserve">ость товара при транспортировке</w:t>
      </w:r>
      <w:r>
        <w:t xml:space="preserve">.</w:t>
      </w:r>
      <w:r/>
    </w:p>
    <w:p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Упакованный надлежащим образом товар должен сопровождаться счетом-фактурой и товарной накладной установленного образца</w:t>
      </w:r>
      <w:r>
        <w:rPr>
          <w:bCs/>
          <w:color w:val="000000"/>
        </w:rPr>
        <w:t xml:space="preserve">,</w:t>
      </w:r>
      <w:r>
        <w:rPr>
          <w:bCs/>
          <w:color w:val="000000"/>
        </w:rPr>
        <w:t xml:space="preserve"> Актом приемки-передачи товара.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</w:r>
    </w:p>
    <w:p>
      <w:pPr>
        <w:pStyle w:val="77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приеме товара Заказчик имеет право произвести выборочный контроль качества. При выявлении несоответствия требованиям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настоящего Технического задания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Заказчик возвращает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весь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некачественный товар Поставщику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подписывает накладные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 оплату до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товара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Замена испорченного товара производится за счет Поставщика. В случае выявления при поставке некачественного товара, поставщик производит замену в срок, установленный Заказчиком, не позднее 3(трех)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рабочих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со дня обнаружения.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8"/>
        <w:jc w:val="both"/>
        <w:rPr>
          <w:b/>
        </w:rPr>
      </w:pPr>
      <w:r>
        <w:rPr>
          <w:b/>
        </w:rPr>
        <w:t xml:space="preserve">Гарантия на поставляемый Товар.</w:t>
      </w:r>
      <w:r>
        <w:rPr>
          <w:b/>
        </w:rPr>
      </w:r>
    </w:p>
    <w:p>
      <w:pPr>
        <w:ind w:firstLine="708"/>
        <w:jc w:val="both"/>
      </w:pPr>
      <w:r>
        <w:t xml:space="preserve">Гарантийный срок на поставляемы</w:t>
      </w:r>
      <w:r>
        <w:t xml:space="preserve">й</w:t>
      </w:r>
      <w:r>
        <w:t xml:space="preserve"> Товар</w:t>
      </w:r>
      <w:r>
        <w:t xml:space="preserve"> должен составлять не менее 12 месяцев. </w:t>
      </w:r>
      <w:r/>
    </w:p>
    <w:p>
      <w:pPr>
        <w:ind w:firstLine="708"/>
        <w:jc w:val="both"/>
        <w:rPr>
          <w:b/>
        </w:rPr>
      </w:pPr>
      <w:r>
        <w:rPr>
          <w:b/>
        </w:rPr>
        <w:t xml:space="preserve">Срок и условия оплаты товара</w:t>
      </w:r>
      <w:r>
        <w:rPr>
          <w:b/>
        </w:rPr>
      </w:r>
    </w:p>
    <w:p>
      <w:pPr>
        <w:ind w:firstLine="709"/>
        <w:jc w:val="both"/>
        <w:rPr>
          <w:lang w:eastAsia="ar-SA"/>
        </w:rPr>
      </w:pPr>
      <w:r>
        <w:rPr>
          <w:rStyle w:val="782"/>
          <w:b w:val="0"/>
          <w:color w:val="000000"/>
          <w:sz w:val="24"/>
        </w:rPr>
        <w:t xml:space="preserve">Оплата за поставленный товар осуществляется по </w:t>
      </w:r>
      <w:r>
        <w:rPr>
          <w:rStyle w:val="782"/>
          <w:b w:val="0"/>
          <w:color w:val="000000"/>
          <w:sz w:val="24"/>
        </w:rPr>
        <w:t xml:space="preserve">б</w:t>
      </w:r>
      <w:r>
        <w:rPr>
          <w:rStyle w:val="782"/>
          <w:b w:val="0"/>
          <w:color w:val="000000"/>
          <w:sz w:val="24"/>
        </w:rPr>
        <w:t xml:space="preserve">езналичному расчету в течение 7</w:t>
      </w:r>
      <w:r>
        <w:rPr>
          <w:rStyle w:val="782"/>
          <w:b w:val="0"/>
          <w:color w:val="000000"/>
          <w:sz w:val="24"/>
        </w:rPr>
        <w:t xml:space="preserve"> (</w:t>
      </w:r>
      <w:r>
        <w:rPr>
          <w:rStyle w:val="782"/>
          <w:b w:val="0"/>
          <w:color w:val="000000"/>
          <w:sz w:val="24"/>
        </w:rPr>
        <w:t xml:space="preserve">семи</w:t>
      </w:r>
      <w:r>
        <w:rPr>
          <w:rStyle w:val="782"/>
          <w:b w:val="0"/>
          <w:color w:val="000000"/>
          <w:sz w:val="24"/>
        </w:rPr>
        <w:t xml:space="preserve">) </w:t>
      </w:r>
      <w:r>
        <w:rPr>
          <w:rStyle w:val="782"/>
          <w:b w:val="0"/>
          <w:color w:val="000000"/>
          <w:sz w:val="24"/>
        </w:rPr>
        <w:t xml:space="preserve">рабочих</w:t>
      </w:r>
      <w:r>
        <w:rPr>
          <w:rStyle w:val="782"/>
          <w:b w:val="0"/>
          <w:color w:val="000000"/>
          <w:sz w:val="24"/>
        </w:rPr>
        <w:t xml:space="preserve"> дней со дня поставки всего товара, подписания предоставленной Поставщиком товарной накладной и принятия товара экспертной комиссией Заказчика путем перечисления Покупателем денежных средств на расчетный счет Поставщика, указанный в контракте.</w:t>
      </w:r>
      <w:r>
        <w:rPr>
          <w:lang w:eastAsia="ar-SA"/>
        </w:rPr>
      </w:r>
    </w:p>
    <w:p>
      <w:pPr>
        <w:jc w:val="both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</w:p>
    <w:p>
      <w:pPr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* Согласно пунктам 5 и 6 Правил использования ка</w:t>
      </w:r>
      <w:r>
        <w:rPr>
          <w:sz w:val="20"/>
          <w:szCs w:val="20"/>
          <w:lang w:eastAsia="ar-SA"/>
        </w:rPr>
        <w:t xml:space="preserve">талога товаров, работ, услуг для обеспечения государственных и муниципальных нужд, утвержденных постановлением Правительства от 08.02.2017 № 145, заказчик вправе указать в извещении об осуществлении закупки, приглашении и документации о закупке дополнитель</w:t>
      </w:r>
      <w:r>
        <w:rPr>
          <w:sz w:val="20"/>
          <w:szCs w:val="20"/>
          <w:lang w:eastAsia="ar-SA"/>
        </w:rPr>
        <w:t xml:space="preserve">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№ 44-ФЗ.</w:t>
      </w:r>
      <w:r>
        <w:rPr>
          <w:sz w:val="20"/>
          <w:szCs w:val="20"/>
          <w:lang w:eastAsia="ar-SA"/>
        </w:rPr>
      </w:r>
    </w:p>
    <w:p>
      <w:pPr>
        <w:jc w:val="both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</w:p>
    <w:p>
      <w:pPr>
        <w:jc w:val="both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</w:p>
    <w:p>
      <w:pPr>
        <w:jc w:val="both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</w:p>
    <w:p>
      <w:pPr>
        <w:jc w:val="both"/>
        <w:rPr>
          <w:lang w:eastAsia="ar-SA"/>
        </w:rPr>
      </w:pPr>
      <w:r>
        <w:rPr>
          <w:lang w:eastAsia="ar-SA"/>
        </w:rPr>
        <w:t xml:space="preserve">Ведущий специалист по ОТ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В.Н. Анфиногенова</w:t>
      </w:r>
      <w:r>
        <w:rPr>
          <w:lang w:eastAsia="ar-SA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709" w:right="707" w:bottom="568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color w:val="auto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9" w:hanging="360"/>
        <w:tabs>
          <w:tab w:val="num" w:pos="106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1" w:hanging="360"/>
        <w:tabs>
          <w:tab w:val="num" w:pos="1441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1" w:hanging="360"/>
        <w:tabs>
          <w:tab w:val="num" w:pos="216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1" w:hanging="360"/>
        <w:tabs>
          <w:tab w:val="num" w:pos="288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1" w:hanging="360"/>
        <w:tabs>
          <w:tab w:val="num" w:pos="3601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1" w:hanging="360"/>
        <w:tabs>
          <w:tab w:val="num" w:pos="432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1" w:hanging="360"/>
        <w:tabs>
          <w:tab w:val="num" w:pos="504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1" w:hanging="360"/>
        <w:tabs>
          <w:tab w:val="num" w:pos="5761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1" w:hanging="360"/>
        <w:tabs>
          <w:tab w:val="num" w:pos="6481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4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60" w:hanging="360"/>
        <w:tabs>
          <w:tab w:val="num" w:pos="96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80" w:hanging="360"/>
        <w:tabs>
          <w:tab w:val="num" w:pos="16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400" w:hanging="180"/>
        <w:tabs>
          <w:tab w:val="num" w:pos="24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120" w:hanging="360"/>
        <w:tabs>
          <w:tab w:val="num" w:pos="31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40" w:hanging="360"/>
        <w:tabs>
          <w:tab w:val="num" w:pos="38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60" w:hanging="180"/>
        <w:tabs>
          <w:tab w:val="num" w:pos="45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80" w:hanging="360"/>
        <w:tabs>
          <w:tab w:val="num" w:pos="52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000" w:hanging="360"/>
        <w:tabs>
          <w:tab w:val="num" w:pos="60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720" w:hanging="180"/>
        <w:tabs>
          <w:tab w:val="num" w:pos="6720" w:leader="none"/>
        </w:tabs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29" w:hanging="10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60" w:hanging="360"/>
        <w:tabs>
          <w:tab w:val="num" w:pos="96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80" w:hanging="360"/>
        <w:tabs>
          <w:tab w:val="num" w:pos="16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400" w:hanging="180"/>
        <w:tabs>
          <w:tab w:val="num" w:pos="24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120" w:hanging="360"/>
        <w:tabs>
          <w:tab w:val="num" w:pos="31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40" w:hanging="360"/>
        <w:tabs>
          <w:tab w:val="num" w:pos="38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60" w:hanging="180"/>
        <w:tabs>
          <w:tab w:val="num" w:pos="45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80" w:hanging="360"/>
        <w:tabs>
          <w:tab w:val="num" w:pos="52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000" w:hanging="360"/>
        <w:tabs>
          <w:tab w:val="num" w:pos="60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720" w:hanging="180"/>
        <w:tabs>
          <w:tab w:val="num" w:pos="6720" w:leader="none"/>
        </w:tabs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0"/>
    <w:lvlOverride w:ilvl="0">
      <w:lvl w:ilvl="0">
        <w:start w:val="1"/>
        <w:numFmt w:val="bullet"/>
        <w:isLgl w:val="false"/>
        <w:suff w:val="tab"/>
        <w:lvlText w:val="-"/>
        <w:legacy w:legacy="1" w:legacyIndent="682" w:legacySpace="0"/>
        <w:lvlJc w:val="left"/>
        <w:pPr/>
        <w:rPr>
          <w:rFonts w:hint="default" w:ascii="Times New Roman" w:hAnsi="Times New Roman"/>
        </w:rPr>
      </w:lvl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12"/>
  </w:num>
  <w:num w:numId="11">
    <w:abstractNumId w:val="1"/>
  </w:num>
  <w:num w:numId="12">
    <w:abstractNumId w:val="13"/>
  </w:num>
  <w:num w:numId="13">
    <w:abstractNumId w:val="2"/>
  </w:num>
  <w:num w:numId="14">
    <w:abstractNumId w:val="7"/>
  </w:num>
  <w:num w:numId="15">
    <w:abstractNumId w:val="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8"/>
    <w:link w:val="745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44"/>
    <w:next w:val="74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48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48"/>
    <w:link w:val="746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44"/>
    <w:next w:val="74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4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44"/>
    <w:next w:val="74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48"/>
    <w:link w:val="2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48"/>
    <w:link w:val="747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4"/>
    <w:next w:val="74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4"/>
    <w:next w:val="74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4"/>
    <w:next w:val="74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44"/>
    <w:next w:val="74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48"/>
    <w:link w:val="34"/>
    <w:uiPriority w:val="10"/>
    <w:rPr>
      <w:sz w:val="48"/>
      <w:szCs w:val="48"/>
    </w:rPr>
  </w:style>
  <w:style w:type="paragraph" w:styleId="36">
    <w:name w:val="Subtitle"/>
    <w:basedOn w:val="744"/>
    <w:next w:val="74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8"/>
    <w:link w:val="36"/>
    <w:uiPriority w:val="11"/>
    <w:rPr>
      <w:sz w:val="24"/>
      <w:szCs w:val="24"/>
    </w:rPr>
  </w:style>
  <w:style w:type="paragraph" w:styleId="38">
    <w:name w:val="Quote"/>
    <w:basedOn w:val="744"/>
    <w:next w:val="7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4"/>
    <w:next w:val="7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48"/>
    <w:link w:val="751"/>
    <w:uiPriority w:val="99"/>
  </w:style>
  <w:style w:type="character" w:styleId="45">
    <w:name w:val="Footer Char"/>
    <w:basedOn w:val="748"/>
    <w:link w:val="759"/>
    <w:uiPriority w:val="99"/>
  </w:style>
  <w:style w:type="paragraph" w:styleId="46">
    <w:name w:val="Caption"/>
    <w:basedOn w:val="744"/>
    <w:next w:val="74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4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48"/>
    <w:uiPriority w:val="99"/>
    <w:unhideWhenUsed/>
    <w:rPr>
      <w:vertAlign w:val="superscript"/>
    </w:rPr>
  </w:style>
  <w:style w:type="paragraph" w:styleId="178">
    <w:name w:val="endnote text"/>
    <w:basedOn w:val="7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8"/>
    <w:uiPriority w:val="99"/>
    <w:semiHidden/>
    <w:unhideWhenUsed/>
    <w:rPr>
      <w:vertAlign w:val="superscript"/>
    </w:rPr>
  </w:style>
  <w:style w:type="paragraph" w:styleId="181">
    <w:name w:val="toc 1"/>
    <w:basedOn w:val="744"/>
    <w:next w:val="74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4"/>
    <w:next w:val="74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4"/>
    <w:next w:val="74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4"/>
    <w:next w:val="74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4"/>
    <w:next w:val="74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4"/>
    <w:next w:val="74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4"/>
    <w:next w:val="74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4"/>
    <w:next w:val="74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4"/>
    <w:next w:val="74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4"/>
    <w:next w:val="744"/>
    <w:uiPriority w:val="99"/>
    <w:unhideWhenUsed/>
    <w:pPr>
      <w:spacing w:after="0" w:afterAutospacing="0"/>
    </w:pPr>
  </w:style>
  <w:style w:type="paragraph" w:styleId="74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45">
    <w:name w:val="Heading 1"/>
    <w:basedOn w:val="744"/>
    <w:link w:val="775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46">
    <w:name w:val="Heading 3"/>
    <w:basedOn w:val="744"/>
    <w:next w:val="744"/>
    <w:link w:val="776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47">
    <w:name w:val="Heading 6"/>
    <w:basedOn w:val="744"/>
    <w:next w:val="744"/>
    <w:link w:val="777"/>
    <w:uiPriority w:val="9"/>
    <w:semiHidden/>
    <w:unhideWhenUsed/>
    <w:qFormat/>
    <w:pPr>
      <w:keepLines/>
      <w:keepNext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748" w:default="1">
    <w:name w:val="Default Paragraph Font"/>
    <w:uiPriority w:val="1"/>
    <w:semiHidden/>
    <w:unhideWhenUsed/>
  </w:style>
  <w:style w:type="table" w:styleId="74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0" w:default="1">
    <w:name w:val="No List"/>
    <w:uiPriority w:val="99"/>
    <w:semiHidden/>
    <w:unhideWhenUsed/>
  </w:style>
  <w:style w:type="paragraph" w:styleId="751">
    <w:name w:val="Header"/>
    <w:basedOn w:val="744"/>
    <w:link w:val="752"/>
    <w:uiPriority w:val="99"/>
    <w:pPr>
      <w:tabs>
        <w:tab w:val="center" w:pos="4677" w:leader="none"/>
        <w:tab w:val="right" w:pos="9355" w:leader="none"/>
      </w:tabs>
    </w:pPr>
  </w:style>
  <w:style w:type="character" w:styleId="752" w:customStyle="1">
    <w:name w:val="Верхний колонтитул Знак"/>
    <w:basedOn w:val="748"/>
    <w:link w:val="75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3">
    <w:name w:val="Body Text Indent"/>
    <w:basedOn w:val="744"/>
    <w:link w:val="754"/>
    <w:uiPriority w:val="99"/>
    <w:pPr>
      <w:ind w:left="283"/>
      <w:spacing w:after="120"/>
    </w:pPr>
  </w:style>
  <w:style w:type="character" w:styleId="754" w:customStyle="1">
    <w:name w:val="Основной текст с отступом Знак"/>
    <w:basedOn w:val="748"/>
    <w:link w:val="75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55" w:customStyle="1">
    <w:name w:val="Style5"/>
    <w:basedOn w:val="744"/>
    <w:uiPriority w:val="99"/>
    <w:pPr>
      <w:ind w:hanging="542"/>
      <w:spacing w:line="288" w:lineRule="exact"/>
      <w:widowControl w:val="off"/>
    </w:pPr>
  </w:style>
  <w:style w:type="character" w:styleId="756" w:customStyle="1">
    <w:name w:val="Font Style12"/>
    <w:uiPriority w:val="99"/>
    <w:rPr>
      <w:rFonts w:ascii="Times New Roman" w:hAnsi="Times New Roman"/>
      <w:sz w:val="22"/>
    </w:rPr>
  </w:style>
  <w:style w:type="paragraph" w:styleId="757" w:customStyle="1">
    <w:name w:val="Style4"/>
    <w:basedOn w:val="744"/>
    <w:uiPriority w:val="99"/>
    <w:pPr>
      <w:ind w:firstLine="538"/>
      <w:jc w:val="both"/>
      <w:spacing w:line="403" w:lineRule="exact"/>
      <w:widowControl w:val="off"/>
    </w:pPr>
  </w:style>
  <w:style w:type="character" w:styleId="758" w:customStyle="1">
    <w:name w:val="Font Style11"/>
    <w:uiPriority w:val="99"/>
    <w:rPr>
      <w:rFonts w:ascii="Times New Roman" w:hAnsi="Times New Roman"/>
      <w:sz w:val="24"/>
    </w:rPr>
  </w:style>
  <w:style w:type="paragraph" w:styleId="759">
    <w:name w:val="Footer"/>
    <w:basedOn w:val="744"/>
    <w:link w:val="76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60" w:customStyle="1">
    <w:name w:val="Нижний колонтитул Знак"/>
    <w:basedOn w:val="748"/>
    <w:link w:val="75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61">
    <w:name w:val="Balloon Text"/>
    <w:basedOn w:val="744"/>
    <w:link w:val="762"/>
    <w:uiPriority w:val="99"/>
    <w:semiHidden/>
    <w:unhideWhenUsed/>
    <w:rPr>
      <w:rFonts w:ascii="Tahoma" w:hAnsi="Tahoma" w:cs="Tahoma"/>
      <w:sz w:val="16"/>
      <w:szCs w:val="16"/>
    </w:rPr>
  </w:style>
  <w:style w:type="character" w:styleId="762" w:customStyle="1">
    <w:name w:val="Текст выноски Знак"/>
    <w:basedOn w:val="748"/>
    <w:link w:val="76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763">
    <w:name w:val="List Paragraph"/>
    <w:basedOn w:val="744"/>
    <w:uiPriority w:val="34"/>
    <w:qFormat/>
    <w:pPr>
      <w:contextualSpacing/>
      <w:ind w:left="720"/>
    </w:pPr>
  </w:style>
  <w:style w:type="paragraph" w:styleId="764" w:customStyle="1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765">
    <w:name w:val="Body Text"/>
    <w:basedOn w:val="744"/>
    <w:link w:val="766"/>
    <w:uiPriority w:val="99"/>
    <w:semiHidden/>
    <w:unhideWhenUsed/>
    <w:pPr>
      <w:spacing w:after="120"/>
    </w:pPr>
  </w:style>
  <w:style w:type="character" w:styleId="766" w:customStyle="1">
    <w:name w:val="Основной текст Знак"/>
    <w:basedOn w:val="748"/>
    <w:link w:val="76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7" w:customStyle="1">
    <w:name w:val="Основной текст Знак1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768" w:customStyle="1">
    <w:name w:val="Основной текст (2) + 11"/>
    <w:uiPriority w:val="99"/>
    <w:rPr>
      <w:rFonts w:hint="default" w:ascii="Times New Roman" w:hAnsi="Times New Roman" w:cs="Times New Roman"/>
      <w:spacing w:val="1"/>
      <w:sz w:val="23"/>
      <w:szCs w:val="23"/>
      <w:shd w:val="clear" w:color="auto" w:fill="ffffff"/>
    </w:rPr>
  </w:style>
  <w:style w:type="character" w:styleId="769" w:customStyle="1">
    <w:name w:val="ConsPlusNormal Знак"/>
    <w:basedOn w:val="748"/>
    <w:link w:val="770"/>
    <w:rPr>
      <w:rFonts w:ascii="Arial" w:hAnsi="Arial" w:eastAsia="Times New Roman" w:cs="Arial"/>
    </w:rPr>
  </w:style>
  <w:style w:type="paragraph" w:styleId="770" w:customStyle="1">
    <w:name w:val="ConsPlusNormal"/>
    <w:link w:val="769"/>
    <w:pPr>
      <w:ind w:firstLine="720"/>
      <w:spacing w:after="0" w:line="240" w:lineRule="auto"/>
      <w:widowControl w:val="off"/>
    </w:pPr>
    <w:rPr>
      <w:rFonts w:ascii="Arial" w:hAnsi="Arial" w:eastAsia="Times New Roman" w:cs="Arial"/>
    </w:rPr>
  </w:style>
  <w:style w:type="character" w:styleId="771" w:customStyle="1">
    <w:name w:val="breadcumb_delimitter"/>
    <w:basedOn w:val="748"/>
  </w:style>
  <w:style w:type="character" w:styleId="772" w:customStyle="1">
    <w:name w:val="breadcrumb"/>
    <w:basedOn w:val="748"/>
  </w:style>
  <w:style w:type="character" w:styleId="773">
    <w:name w:val="Strong"/>
    <w:basedOn w:val="748"/>
    <w:uiPriority w:val="22"/>
    <w:qFormat/>
    <w:rPr>
      <w:b/>
      <w:bCs/>
    </w:rPr>
  </w:style>
  <w:style w:type="table" w:styleId="774">
    <w:name w:val="Table Grid"/>
    <w:basedOn w:val="7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75" w:customStyle="1">
    <w:name w:val="Заголовок 1 Знак"/>
    <w:basedOn w:val="748"/>
    <w:link w:val="745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776" w:customStyle="1">
    <w:name w:val="Заголовок 3 Знак"/>
    <w:basedOn w:val="748"/>
    <w:link w:val="746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777" w:customStyle="1">
    <w:name w:val="Заголовок 6 Знак"/>
    <w:basedOn w:val="748"/>
    <w:link w:val="747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78">
    <w:name w:val="List Bullet 2"/>
    <w:basedOn w:val="744"/>
    <w:pPr>
      <w:ind w:left="643" w:hanging="720"/>
      <w:jc w:val="both"/>
      <w:spacing w:after="60"/>
      <w:tabs>
        <w:tab w:val="num" w:pos="643" w:leader="none"/>
        <w:tab w:val="num" w:pos="2160" w:leader="none"/>
      </w:tabs>
    </w:pPr>
    <w:rPr>
      <w:szCs w:val="20"/>
    </w:rPr>
  </w:style>
  <w:style w:type="character" w:styleId="779" w:customStyle="1">
    <w:name w:val="apple-converted-space"/>
    <w:basedOn w:val="748"/>
  </w:style>
  <w:style w:type="character" w:styleId="780" w:customStyle="1">
    <w:name w:val="delimiter"/>
    <w:basedOn w:val="748"/>
  </w:style>
  <w:style w:type="character" w:styleId="781">
    <w:name w:val="Hyperlink"/>
    <w:basedOn w:val="748"/>
    <w:uiPriority w:val="99"/>
    <w:semiHidden/>
    <w:unhideWhenUsed/>
    <w:rPr>
      <w:color w:val="0000ff"/>
      <w:u w:val="single"/>
    </w:rPr>
  </w:style>
  <w:style w:type="character" w:styleId="782" w:customStyle="1">
    <w:name w:val="Основной текст (5)_"/>
    <w:link w:val="783"/>
    <w:rPr>
      <w:b/>
      <w:spacing w:val="3"/>
      <w:sz w:val="23"/>
      <w:shd w:val="clear" w:color="auto" w:fill="ffffff"/>
    </w:rPr>
  </w:style>
  <w:style w:type="paragraph" w:styleId="783" w:customStyle="1">
    <w:name w:val="Основной текст (5)"/>
    <w:basedOn w:val="744"/>
    <w:link w:val="782"/>
    <w:pPr>
      <w:ind w:hanging="340"/>
      <w:jc w:val="both"/>
      <w:spacing w:line="274" w:lineRule="exact"/>
      <w:shd w:val="clear" w:color="auto" w:fill="ffffff"/>
      <w:widowControl w:val="off"/>
    </w:pPr>
    <w:rPr>
      <w:rFonts w:asciiTheme="minorHAnsi" w:hAnsiTheme="minorHAnsi" w:eastAsiaTheme="minorHAnsi" w:cstheme="minorBidi"/>
      <w:b/>
      <w:spacing w:val="3"/>
      <w:sz w:val="23"/>
      <w:szCs w:val="22"/>
      <w:lang w:eastAsia="en-US"/>
    </w:rPr>
  </w:style>
  <w:style w:type="character" w:styleId="784" w:customStyle="1">
    <w:name w:val="Font Style71"/>
    <w:uiPriority w:val="99"/>
    <w:rPr>
      <w:rFonts w:hint="default" w:ascii="Times New Roman" w:hAnsi="Times New Roman" w:cs="Times New Roman"/>
      <w:sz w:val="20"/>
      <w:szCs w:val="20"/>
    </w:rPr>
  </w:style>
  <w:style w:type="paragraph" w:styleId="785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s://zakupki.gov.ru/epz/ktru/ktruCard/commonInfo.html?itemVersionId=16445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67DBA-635D-4812-A75D-A04AA250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Kornilova</dc:creator>
  <cp:lastModifiedBy>u431</cp:lastModifiedBy>
  <cp:revision>30</cp:revision>
  <dcterms:created xsi:type="dcterms:W3CDTF">2019-06-19T10:50:00Z</dcterms:created>
  <dcterms:modified xsi:type="dcterms:W3CDTF">2026-09-01T11:58:41Z</dcterms:modified>
</cp:coreProperties>
</file>