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jc w:val="center"/>
        <w:spacing w:before="0" w:beforeAutospacing="0" w:after="0" w:afterAutospacing="0"/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</w:p>
    <w:p>
      <w:pPr>
        <w:pStyle w:val="621"/>
        <w:jc w:val="center"/>
      </w:pPr>
      <w:r>
        <w:rPr>
          <w:b w:val="0"/>
          <w:bCs w:val="0"/>
          <w:i w:val="0"/>
          <w:sz w:val="24"/>
          <w:szCs w:val="24"/>
        </w:rPr>
        <w:t xml:space="preserve">на оказание услуг по заправке картриджей</w:t>
      </w:r>
      <w:r>
        <w:rPr>
          <w:b w:val="0"/>
          <w:bCs w:val="0"/>
          <w:i w:val="0"/>
          <w:sz w:val="24"/>
          <w:szCs w:val="24"/>
        </w:rPr>
        <w:t xml:space="preserve"> для нужд Темрюкского филиала ФГБУ «Управление «Кубаньмелиоводхоз</w:t>
      </w:r>
      <w:r>
        <w:rPr>
          <w:b w:val="0"/>
          <w:i w:val="0"/>
          <w:sz w:val="24"/>
          <w:szCs w:val="24"/>
        </w:rPr>
        <w:t xml:space="preserve">» </w:t>
      </w:r>
      <w:r/>
    </w:p>
    <w:p>
      <w:pPr>
        <w:pStyle w:val="621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1.</w:t>
      </w:r>
      <w:r>
        <w:rPr>
          <w:b w:val="0"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Наименование объекта закупки:</w:t>
      </w:r>
      <w:r>
        <w:rPr>
          <w:b w:val="0"/>
          <w:i w:val="0"/>
          <w:sz w:val="24"/>
          <w:szCs w:val="24"/>
        </w:rPr>
        <w:t xml:space="preserve"> Оказание услуг по заправке картриджей для нужд Темрюкского филиала ФГБУ «Управление «Кубаньмелиоводхоз».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2.</w:t>
      </w:r>
      <w:r>
        <w:rPr>
          <w:b w:val="0"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Место оказания услуг:</w:t>
      </w:r>
      <w:r>
        <w:rPr>
          <w:b w:val="0"/>
          <w:i w:val="0"/>
          <w:sz w:val="24"/>
          <w:szCs w:val="24"/>
        </w:rPr>
        <w:t xml:space="preserve"> услуги оказываются по месту нахождения Исполнителя. Транспортировку картриджей с адресов Заказчика до места оказания услуг и обратно (по окончании заправки) осуществляет Исполнитель за свой счет, согласно заявке Заказчика.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</w:pPr>
      <w:r>
        <w:rPr>
          <w:b w:val="0"/>
          <w:i w:val="0"/>
          <w:sz w:val="24"/>
          <w:szCs w:val="24"/>
        </w:rPr>
        <w:t xml:space="preserve">Сбор и доставка картриджей осуществляется Исполнителем по адресам: г. Темрюк, ул. Промышленная, 3</w:t>
      </w:r>
      <w:r/>
    </w:p>
    <w:p>
      <w:pPr>
        <w:pStyle w:val="621"/>
        <w:ind w:firstLine="709"/>
        <w:jc w:val="both"/>
      </w:pPr>
      <w:r>
        <w:rPr>
          <w:i w:val="0"/>
          <w:sz w:val="24"/>
          <w:szCs w:val="24"/>
        </w:rPr>
        <w:t xml:space="preserve">3. Сроки оказания услуг:</w:t>
      </w:r>
      <w:r>
        <w:rPr>
          <w:b w:val="0"/>
          <w:i w:val="0"/>
          <w:sz w:val="24"/>
          <w:szCs w:val="24"/>
        </w:rPr>
        <w:t xml:space="preserve"> с момента заключения Контракта до 31.12.2026г.</w:t>
      </w:r>
      <w:r/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Ответственное лицо Заказчика формирует заявку и направляет на электронную почту Исполнителя. В заявке указываются адреса, с которых осуществляется сбор картриджей, наименование, количество и иная необходимая информация.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tabs>
          <w:tab w:val="left" w:pos="9498" w:leader="none"/>
        </w:tabs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Исполнитель должен забрать картриджи для заправки не позднее следующего рабочего дня с момента получения заявки от Заказчика. Риск неполучения заявки несет Исполнитель.</w:t>
      </w:r>
      <w:r>
        <w:rPr>
          <w:b w:val="0"/>
          <w:i w:val="0"/>
          <w:sz w:val="24"/>
          <w:szCs w:val="24"/>
        </w:rPr>
      </w:r>
    </w:p>
    <w:p>
      <w:pPr>
        <w:pStyle w:val="708"/>
        <w:ind w:firstLine="709"/>
        <w:jc w:val="both"/>
        <w:rPr>
          <w:rFonts w:cs="Times New Roman"/>
          <w:lang w:eastAsia="hi-IN" w:bidi="hi-IN"/>
        </w:rPr>
      </w:pPr>
      <w:r>
        <w:rPr>
          <w:rFonts w:cs="Times New Roman"/>
          <w:lang w:eastAsia="hi-IN" w:bidi="hi-IN"/>
        </w:rPr>
        <w:t xml:space="preserve">Оказание услуг осуществляется силами и с помощью материалов Исполнителя.</w:t>
      </w:r>
      <w:r>
        <w:rPr>
          <w:rFonts w:cs="Times New Roman"/>
          <w:lang w:eastAsia="hi-IN" w:bidi="hi-IN"/>
        </w:rPr>
      </w:r>
    </w:p>
    <w:p>
      <w:pPr>
        <w:pStyle w:val="621"/>
        <w:ind w:firstLine="709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 xml:space="preserve">Максимальный срок оказания услуг по заправке картриджей составляет 3 (три) дня с момента сбора картриджей.</w:t>
      </w:r>
      <w:r>
        <w:rPr>
          <w:b w:val="0"/>
          <w:bCs/>
          <w:i w:val="0"/>
          <w:sz w:val="24"/>
          <w:szCs w:val="24"/>
        </w:rPr>
      </w:r>
    </w:p>
    <w:p>
      <w:pPr>
        <w:pStyle w:val="621"/>
        <w:ind w:firstLine="709"/>
        <w:jc w:val="both"/>
        <w:tabs>
          <w:tab w:val="left" w:pos="0" w:leader="none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4. Требования к качеству, к характеристикам оказания услуг, требования к их безопасности, требования к результатам услуг и иные показатели:</w:t>
      </w:r>
      <w:r>
        <w:rPr>
          <w:i w:val="0"/>
          <w:sz w:val="24"/>
          <w:szCs w:val="24"/>
        </w:rPr>
      </w:r>
    </w:p>
    <w:p>
      <w:pPr>
        <w:pStyle w:val="716"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обеспечить заправку картриджей, в соответствии с нормами и правилами, определёнными в технической документации фирмы-изготовит</w:t>
      </w:r>
      <w:r>
        <w:rPr>
          <w:rFonts w:ascii="Times New Roman" w:hAnsi="Times New Roman" w:cs="Times New Roman"/>
          <w:sz w:val="24"/>
          <w:szCs w:val="24"/>
        </w:rPr>
        <w:t xml:space="preserve">еля. Все работы по оказанию услуги Исполнитель производит в собственном сервисном центре, расходы по транспортировке Исполнитель производит за свой счет. Транспортировка должна обеспечивать целостность корпуса картриджа и сохранение его работоспособности.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firstLine="709"/>
        <w:jc w:val="both"/>
        <w:tabs>
          <w:tab w:val="left" w:pos="0" w:leader="none"/>
        </w:tabs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Исполнитель обязан оказать услуги по фактической потребности Заказчика и обеспечить их надлежащее качество, в соответствии с действующими техническими условиями на данные виды услуг.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Заправка картриджа включает в себя: </w:t>
      </w:r>
      <w:r>
        <w:rPr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полную разборку картриджа; 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тщательную очистку всех деталей и узлов;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снятие остаточного электростатического заряда;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полировку (промывку) барабана/лезвий/роликов;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заполнение картриджа тонером; 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сборку картриджа; 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перепрограммирование или установку нового чипа (при необходимости); 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контрольное тестирование картриджа;</w:t>
      </w:r>
      <w:r>
        <w:rPr>
          <w:b w:val="0"/>
          <w:i w:val="0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упаковку.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Технология заправки  картриджей осуществляется в соответствии с требованиями производителей оргтехники к расходным материалам.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  <w:highlight w:val="yellow"/>
        </w:rPr>
      </w:pPr>
      <w:r>
        <w:rPr>
          <w:b w:val="0"/>
          <w:i w:val="0"/>
          <w:sz w:val="24"/>
          <w:szCs w:val="24"/>
        </w:rPr>
        <w:t xml:space="preserve">Заправка картриджа </w:t>
      </w:r>
      <w:r>
        <w:rPr>
          <w:b w:val="0"/>
          <w:bCs/>
          <w:i w:val="0"/>
          <w:sz w:val="24"/>
          <w:szCs w:val="24"/>
        </w:rPr>
        <w:t xml:space="preserve">обязательно</w:t>
      </w:r>
      <w:r>
        <w:rPr>
          <w:b w:val="0"/>
          <w:i w:val="0"/>
          <w:sz w:val="24"/>
          <w:szCs w:val="24"/>
        </w:rPr>
        <w:t xml:space="preserve"> осуществляется расходными материалами, совместимыми с данной моделью картриджа в </w:t>
      </w:r>
      <w:r>
        <w:rPr>
          <w:b w:val="0"/>
          <w:bCs/>
          <w:i w:val="0"/>
          <w:sz w:val="24"/>
          <w:szCs w:val="24"/>
        </w:rPr>
        <w:t xml:space="preserve">полном</w:t>
      </w:r>
      <w:r>
        <w:rPr>
          <w:b w:val="0"/>
          <w:i w:val="0"/>
          <w:sz w:val="24"/>
          <w:szCs w:val="24"/>
        </w:rPr>
        <w:t xml:space="preserve"> объеме. В процессе тестирования Исполнитель обязан на соответствующем картриджу принтере проверить работоспособность картриджа, чистоту печати, отсутствие каких-либо полос, бледных или темных, просыпание тонера, издание посторонних звуков.</w:t>
      </w:r>
      <w:r>
        <w:rPr>
          <w:b w:val="0"/>
          <w:i w:val="0"/>
          <w:sz w:val="24"/>
          <w:szCs w:val="24"/>
          <w:highlight w:val="yellow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После заправки  все картридж</w:t>
      </w:r>
      <w:r>
        <w:rPr>
          <w:b w:val="0"/>
          <w:i w:val="0"/>
          <w:sz w:val="24"/>
          <w:szCs w:val="24"/>
        </w:rPr>
        <w:t xml:space="preserve">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Пакеты должны быть маркированы моделью находящегося в них картриджа, маркировка должна быть разборчивой.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В целях подтверждения соответствия используемого тонера и материалов требованиям Заказчика банки от тонера должны быть переданы Заказчику. </w:t>
      </w:r>
      <w:r>
        <w:rPr>
          <w:i w:val="0"/>
          <w:sz w:val="24"/>
          <w:szCs w:val="24"/>
        </w:rPr>
      </w:r>
    </w:p>
    <w:p>
      <w:pPr>
        <w:pStyle w:val="621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Картриджи Заказчика должны быть идентифицированы Исполнителем посредством присвоения им соответствующих номеров (</w:t>
      </w:r>
      <w:r>
        <w:rPr>
          <w:i w:val="0"/>
          <w:sz w:val="24"/>
          <w:szCs w:val="24"/>
          <w:lang w:val="en-US"/>
        </w:rPr>
        <w:t xml:space="preserve">ID</w:t>
      </w:r>
      <w:r>
        <w:rPr>
          <w:i w:val="0"/>
          <w:sz w:val="24"/>
          <w:szCs w:val="24"/>
        </w:rPr>
        <w:t xml:space="preserve">). По результатам заправки партии картриджей Исполнителем должна быть представлена Заказчику таблица, в которой будет отражено какие работы и материалы, с указанием стоимости, были использованы при заправке каждого картриджа (с указание </w:t>
      </w:r>
      <w:r>
        <w:rPr>
          <w:i w:val="0"/>
          <w:sz w:val="24"/>
          <w:szCs w:val="24"/>
          <w:lang w:val="en-US"/>
        </w:rPr>
        <w:t xml:space="preserve">ID</w:t>
      </w:r>
      <w:r>
        <w:rPr>
          <w:i w:val="0"/>
          <w:sz w:val="24"/>
          <w:szCs w:val="24"/>
        </w:rPr>
        <w:t xml:space="preserve">).  Данная расшифровка должна быть представлена к каждому счету. </w:t>
      </w:r>
      <w:r>
        <w:rPr>
          <w:i w:val="0"/>
          <w:sz w:val="24"/>
          <w:szCs w:val="24"/>
        </w:rPr>
      </w:r>
    </w:p>
    <w:p>
      <w:pPr>
        <w:pStyle w:val="714"/>
        <w:ind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5. Требования к маркировке и упаковке товара</w:t>
      </w:r>
      <w:r>
        <w:rPr>
          <w:b/>
          <w:bCs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Упаковка заправленного/восстановленного Исполнителем картриджа должна соответствовать ГОСТ 21552-84 «</w:t>
      </w:r>
      <w:r>
        <w:rPr>
          <w:b w:val="0"/>
          <w:i w:val="0"/>
          <w:sz w:val="24"/>
          <w:szCs w:val="24"/>
        </w:rPr>
        <w:t xml:space="preserve">Средства вычислительной техники. Общие технические требования, приемка, методы испытаний, маркировка, упаковка, транспортирование и хранение».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Заправленный/восстановленный Исполнителем </w:t>
      </w:r>
      <w:r>
        <w:rPr>
          <w:b w:val="0"/>
          <w:i w:val="0"/>
          <w:color w:val="000000"/>
          <w:sz w:val="24"/>
          <w:szCs w:val="24"/>
        </w:rPr>
        <w:t xml:space="preserve">картридж, запечатывается в одноразовый плотный светонепроницаемый полиэтиленовый пакет, гарантирующий предотвращение засвечивания фоторецептора, попадание на картридж влаги и пыли, механических повреждений, с обязательным приложением листа тестовой печати.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На внешней стороне пакета нанесена типографским способом  маркировка типа картриджа, наименование предприятия-изготовителя, наименование моделей печатающей техники, в которых может быть использован картридж, </w:t>
      </w:r>
      <w:r>
        <w:rPr>
          <w:b w:val="0"/>
          <w:i w:val="0"/>
          <w:color w:val="000000"/>
          <w:sz w:val="24"/>
          <w:szCs w:val="24"/>
        </w:rPr>
        <w:t xml:space="preserve">находящийся в пакете, с обязательным приложением листа тестовой печати, а также информация о дате и виде произведенных работ. На картридж, прошедший заправку проставляется отметка (лейбл, наклейка) с информацией о дате произведенных услуг и типе картриджа.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714"/>
        <w:ind w:firstLine="709"/>
        <w:rPr>
          <w:b/>
          <w:szCs w:val="24"/>
        </w:rPr>
      </w:pPr>
      <w:r>
        <w:rPr>
          <w:b/>
          <w:bCs/>
          <w:color w:val="000000"/>
          <w:szCs w:val="24"/>
          <w:lang w:eastAsia="en-US"/>
        </w:rPr>
        <w:t xml:space="preserve">6. Требования к </w:t>
      </w:r>
      <w:r>
        <w:rPr>
          <w:b/>
          <w:szCs w:val="24"/>
        </w:rPr>
        <w:t xml:space="preserve">транспортировке</w:t>
      </w:r>
      <w:r>
        <w:rPr>
          <w:b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Оказание услуг осуществляются на террит</w:t>
      </w:r>
      <w:r>
        <w:rPr>
          <w:b w:val="0"/>
          <w:i w:val="0"/>
          <w:sz w:val="24"/>
          <w:szCs w:val="24"/>
        </w:rPr>
        <w:t xml:space="preserve">ории Исполнителя. Транспортировку картриджей от Заказчика по заявкам Заказчика осуществляет  Исполнитель. После заправки картриджей Исполнитель осуществляет доставку картриджей Заказчику. Расходы по транспортировке картриджей от Заказчика и обратно Исполни</w:t>
      </w:r>
      <w:r>
        <w:rPr>
          <w:b w:val="0"/>
          <w:i w:val="0"/>
          <w:sz w:val="24"/>
          <w:szCs w:val="24"/>
        </w:rPr>
        <w:t xml:space="preserve">тель производит за свой счет. Условия отгрузки и транспортировки картриджей должно соответствовать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</w:pPr>
      <w:r>
        <w:rPr>
          <w:b w:val="0"/>
          <w:i w:val="0"/>
          <w:sz w:val="24"/>
          <w:szCs w:val="24"/>
        </w:rPr>
        <w:t xml:space="preserve">Периодичность транспортного обеспечения с целью выполнения условий договора по заявке Заказчика.</w:t>
      </w:r>
      <w:r/>
    </w:p>
    <w:p>
      <w:pPr>
        <w:pStyle w:val="621"/>
        <w:ind w:firstLine="709"/>
        <w:jc w:val="both"/>
        <w:keepNext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7. Требования к гарантийному сроку и (или) объему предоставления гарантий качества услуг:</w:t>
      </w:r>
      <w:r>
        <w:rPr>
          <w:bCs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При эксплуатации картридж не должен приводить к поломке оборудования, в котором он эксплуатируется и не должен нарушать</w:t>
      </w:r>
      <w:r>
        <w:rPr>
          <w:b w:val="0"/>
          <w:i w:val="0"/>
          <w:color w:val="000000"/>
          <w:sz w:val="24"/>
          <w:szCs w:val="24"/>
        </w:rPr>
        <w:t xml:space="preserve"> условия гарантийного обслуживания этого оборудования. При эксплуатации картриджа не должно происходить сокращение срока службы ресурсных деталей оборудования (фотобарабанов, узлов запекания, узлов дозирования и подачи тонера) в котором он эксплуатируется.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tabs>
          <w:tab w:val="left" w:pos="709" w:leader="none"/>
        </w:tabs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Гарантийный срок заправленного  картриджа устанавливается на весь ресурс картриджа. Ресурс заправлен</w:t>
      </w:r>
      <w:r>
        <w:rPr>
          <w:b w:val="0"/>
          <w:i w:val="0"/>
          <w:color w:val="000000"/>
          <w:sz w:val="24"/>
          <w:szCs w:val="24"/>
        </w:rPr>
        <w:t xml:space="preserve">ного картриджа равен ресурсу нового картриджа, заявленному производителем (информация о ресурсе картриджа указывается на упаковке и/или в прилагаемой к картриджу документации), при этом погрешность ресурса может составлять не более 10% (десяти) процентов. 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В случае некачественного оказания услуг Исполнитель обязан устранить замечания в течение 1 (одного) рабочего дня.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Транспортировка картриджей в случаях, признаваемых гарантийными, осуществляется силами Исполнителя и за счет Исполнителя.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8. Информационная поддержка Заказчика.</w:t>
      </w:r>
      <w:r>
        <w:rPr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Исполнитель обеспечивает Заказчика контактными телефонами, по которым представитель Заказчика мог информировать квалифицированный персонал Исполнителя или его представителя о дефектах в работе техники, проводить</w:t>
      </w:r>
      <w:r>
        <w:rPr>
          <w:b w:val="0"/>
          <w:i w:val="0"/>
          <w:color w:val="000000"/>
          <w:sz w:val="24"/>
          <w:szCs w:val="24"/>
        </w:rPr>
        <w:t xml:space="preserve"> консультации по вопросам эксплуатации техники. Контактные телефоны функционируют в рабочее время Заказчика. Рабочее время Заказчика – с 8:30 до 17:00 (время местное) с понедельника по пятницу за исключением общегосударственных выходных и праздничных дней.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9. Требования к безопасности услуг.</w:t>
      </w:r>
      <w:r>
        <w:rPr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/>
      <w:bookmarkStart w:id="0" w:name="i451152"/>
      <w:r/>
      <w:bookmarkEnd w:id="0"/>
      <w:r>
        <w:rPr>
          <w:b w:val="0"/>
          <w:i w:val="0"/>
          <w:sz w:val="24"/>
          <w:szCs w:val="24"/>
        </w:rPr>
        <w:t xml:space="preserve">ГОСТ 25861-83 «Машины вычислительные и системы обработки данных. Требования по электрической и механической безопасности и методы испытаний»;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/>
      <w:bookmarkStart w:id="1" w:name="i4511521"/>
      <w:r/>
      <w:bookmarkEnd w:id="1"/>
      <w:r>
        <w:rPr>
          <w:b w:val="0"/>
          <w:i w:val="0"/>
          <w:sz w:val="24"/>
          <w:szCs w:val="24"/>
        </w:rPr>
        <w:t xml:space="preserve">ГОСТ 12.1.004-91 «Система стандартов безопасности труда. Пожарная безопасность. Общие требования»;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26329-84 «Машины вычислительные и системы обработки данных. Допустимые уровни шума технических средств и методы их определения»;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color w:val="000000"/>
          <w:sz w:val="24"/>
          <w:szCs w:val="24"/>
        </w:rPr>
      </w:pPr>
      <w:r/>
      <w:bookmarkStart w:id="2" w:name="i483586"/>
      <w:r>
        <w:rPr>
          <w:b w:val="0"/>
          <w:i w:val="0"/>
          <w:color w:val="000000"/>
          <w:sz w:val="24"/>
          <w:szCs w:val="24"/>
        </w:rPr>
        <w:t xml:space="preserve">ГОСТ 12.1.002-84 </w:t>
      </w:r>
      <w:bookmarkEnd w:id="2"/>
      <w:r>
        <w:rPr>
          <w:b w:val="0"/>
          <w:i w:val="0"/>
          <w:color w:val="000000"/>
          <w:sz w:val="24"/>
          <w:szCs w:val="24"/>
        </w:rPr>
        <w:t xml:space="preserve">«</w:t>
      </w:r>
      <w:r>
        <w:rPr>
          <w:b w:val="0"/>
          <w:i w:val="0"/>
          <w:sz w:val="24"/>
          <w:szCs w:val="24"/>
        </w:rPr>
        <w:t xml:space="preserve">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местах»;</w:t>
      </w:r>
      <w:r>
        <w:rPr>
          <w:b w:val="0"/>
          <w:i w:val="0"/>
          <w:color w:val="00000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12.1.007-76 «Система стандартов безопасности труда. Вредные вещества. Классификация и общие требования безопасности»; 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12.2.007.0-75 «Система стандартов безопасности труда. Изделия электротехнические. Общие требования безопасности»;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rFonts w:eastAsia="Calibri"/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12.1.019-2017«Система стандартов безопасности труда. Электробезопасность. Общие требования и номенклатура видов защиты».</w:t>
      </w:r>
      <w:r>
        <w:rPr>
          <w:rFonts w:eastAsia="Calibri"/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Исполнитель обязуется соблюдать все правила, которые действуют на территории Заказчика, в том числе требования к технике безопасности и пожарной безопасности при оказании услуг. 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Исполнитель несет ответственность за соблюдение мер безопасности в соответствии с нормативными документами, правилами и стандартами, регулирующими данные правоотношения.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10. Требования к качеству услуг</w:t>
      </w:r>
      <w:r>
        <w:rPr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Качество услуг соответствует требованиям качества, безопасности жизни и здоровья, требованиям сертификации безопасности. 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13.0.002-84 «Репрография. Термины и определения», 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13.1.701-95 «Репрография. Микрография. Тест-объекты для контроля качества микроизображения. Типы. Методы контроля», 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13.2.001-2001 «Репрография. Копирография. Аппараты копировальные электрофотографические. Общие технические требования»,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13.2.013-93 «Репрография. Копирография. Тест-оригиналы для контроля качества копий. Основные параметры и размеры»,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ГОСТ 13.2.014-2001 «Репрография. Копирография. Метод испытаний сухих тонеров для электрофотографических аппаратов по качеству воспроизведения изображения на копиях», </w:t>
      </w:r>
      <w:r>
        <w:rPr>
          <w:b w:val="0"/>
          <w:i w:val="0"/>
          <w:sz w:val="24"/>
          <w:szCs w:val="24"/>
        </w:rPr>
      </w:r>
    </w:p>
    <w:p>
      <w:pPr>
        <w:pStyle w:val="621"/>
        <w:ind w:firstLine="709"/>
        <w:jc w:val="both"/>
      </w:pPr>
      <w:r>
        <w:rPr>
          <w:b w:val="0"/>
          <w:i w:val="0"/>
          <w:sz w:val="24"/>
          <w:szCs w:val="24"/>
        </w:rPr>
        <w:t xml:space="preserve">ГОСТ 13.2.015-2001 «Репрография. Копирография. Метод определения расхода тонера при проявлении в электрофотографических аппаратах».</w:t>
      </w:r>
      <w:r/>
    </w:p>
    <w:p>
      <w:pPr>
        <w:pStyle w:val="621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</w:r>
      <w:r>
        <w:rPr>
          <w:b w:val="0"/>
          <w:i w:val="0"/>
          <w:sz w:val="24"/>
          <w:szCs w:val="24"/>
        </w:rPr>
      </w:r>
    </w:p>
    <w:tbl>
      <w:tblPr>
        <w:tblStyle w:val="719"/>
        <w:tblW w:w="10497" w:type="dxa"/>
        <w:tblInd w:w="-25" w:type="dxa"/>
        <w:tblCellMar>
          <w:left w:w="8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1"/>
        <w:gridCol w:w="7322"/>
        <w:gridCol w:w="1089"/>
        <w:gridCol w:w="1414"/>
      </w:tblGrid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eastAsia="Arial Unicode MS"/>
                <w:i w:val="0"/>
                <w:sz w:val="24"/>
                <w:szCs w:val="24"/>
              </w:rPr>
            </w:pPr>
            <w:r>
              <w:rPr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 xml:space="preserve">№ </w:t>
            </w:r>
            <w:r>
              <w:rPr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 xml:space="preserve">п/п</w:t>
            </w:r>
            <w:r>
              <w:rPr>
                <w:rFonts w:eastAsia="Arial Unicode MS"/>
                <w:i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Наименование картриджа</w:t>
            </w:r>
            <w:r>
              <w:rPr>
                <w:i w:val="0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rPr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Ед. изм</w:t>
            </w:r>
            <w:r>
              <w:rPr>
                <w:i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firstLine="34"/>
              <w:jc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Кол-во</w:t>
            </w:r>
            <w:r>
              <w:rPr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картриджа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HP Q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2612А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9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картриджа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Kyocera TK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-1110/1120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3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тонер-картриджа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Kyocera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ТК-4105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4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картриджа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HP CF283A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5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картриджа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Pantum PC-211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11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6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/>
            <w:bookmarkStart w:id="3" w:name="__DdeLink__201_2231259980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картриджа </w:t>
            </w:r>
            <w:bookmarkEnd w:id="3"/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HP CF244A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Mar>
              <w:left w:w="83" w:type="dxa"/>
            </w:tcMar>
            <w:tcW w:w="671" w:type="dxa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7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83" w:type="dxa"/>
            </w:tcMar>
            <w:tcW w:w="7322" w:type="dxa"/>
            <w:vAlign w:val="bottom"/>
            <w:textDirection w:val="lrTb"/>
            <w:noWrap w:val="false"/>
          </w:tcPr>
          <w:p>
            <w:pPr>
              <w:pStyle w:val="621"/>
              <w:ind w:left="0" w:right="-2" w:firstLine="0"/>
              <w:jc w:val="both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Заправка картриджа 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RicohSP201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83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276" w:lineRule="auto"/>
              <w:tabs>
                <w:tab w:val="left" w:pos="1385" w:leader="none"/>
              </w:tabs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шт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83" w:type="dxa"/>
            </w:tcMar>
            <w:tcW w:w="1414" w:type="dxa"/>
            <w:vAlign w:val="center"/>
            <w:textDirection w:val="lrTb"/>
            <w:noWrap w:val="false"/>
          </w:tcPr>
          <w:p>
            <w:pPr>
              <w:pStyle w:val="621"/>
              <w:ind w:left="0" w:right="-2" w:firstLine="0"/>
              <w:jc w:val="center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1</w:t>
            </w:r>
            <w:r>
              <w:rPr>
                <w:b w:val="0"/>
                <w:bCs w:val="0"/>
                <w:i w:val="0"/>
                <w:iCs w:val="0"/>
              </w:rPr>
            </w:r>
          </w:p>
        </w:tc>
      </w:tr>
    </w:tbl>
    <w:p>
      <w:pPr>
        <w:pStyle w:val="621"/>
      </w:pPr>
      <w:r/>
      <w:r/>
    </w:p>
    <w:p>
      <w:pPr>
        <w:pStyle w:val="6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</w:r>
    </w:p>
    <w:p>
      <w:pPr>
        <w:pStyle w:val="621"/>
      </w:pPr>
      <w:r>
        <w:rPr>
          <w:b w:val="0"/>
          <w:bCs w:val="0"/>
          <w:i w:val="0"/>
          <w:iCs w:val="0"/>
        </w:rPr>
        <w:tab/>
        <w:t xml:space="preserve">Главный инженер</w:t>
        <w:tab/>
        <w:tab/>
        <w:tab/>
        <w:tab/>
        <w:tab/>
        <w:t xml:space="preserve">А.И.Станиславский</w:t>
      </w:r>
      <w:r/>
    </w:p>
    <w:sectPr>
      <w:footnotePr/>
      <w:endnotePr/>
      <w:type w:val="nextPage"/>
      <w:pgSz w:w="11906" w:h="16838" w:orient="portrait"/>
      <w:pgMar w:top="851" w:right="851" w:bottom="851" w:left="85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Consultant">
    <w:panose1 w:val="02000603000000000000"/>
  </w:font>
  <w:font w:name="Microsoft YaHei">
    <w:panose1 w:val="020B0503020203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cs="Symbol"/>
        <w:b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character" w:styleId="47">
    <w:name w:val="Caption Char"/>
    <w:basedOn w:val="623"/>
    <w:link w:val="70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b/>
      <w:i/>
      <w:color w:val="00000a"/>
      <w:sz w:val="28"/>
      <w:szCs w:val="20"/>
      <w:lang w:val="ru-RU" w:eastAsia="ru-RU" w:bidi="ar-SA"/>
    </w:rPr>
  </w:style>
  <w:style w:type="paragraph" w:styleId="622">
    <w:name w:val="Heading 1"/>
    <w:basedOn w:val="621"/>
    <w:qFormat/>
    <w:pPr>
      <w:jc w:val="center"/>
      <w:keepNext/>
      <w:outlineLvl w:val="0"/>
    </w:pPr>
    <w:rPr>
      <w:i w:val="0"/>
    </w:rPr>
  </w:style>
  <w:style w:type="character" w:styleId="623" w:default="1">
    <w:name w:val="Default Paragraph Font"/>
    <w:uiPriority w:val="1"/>
    <w:semiHidden/>
    <w:unhideWhenUsed/>
    <w:qFormat/>
  </w:style>
  <w:style w:type="character" w:styleId="624" w:customStyle="1">
    <w:name w:val="Основной текст с отступом Знак"/>
    <w:qFormat/>
    <w:rPr>
      <w:b/>
      <w:i/>
      <w:sz w:val="28"/>
    </w:rPr>
  </w:style>
  <w:style w:type="character" w:styleId="625" w:customStyle="1">
    <w:name w:val="Основной текст Знак"/>
    <w:qFormat/>
    <w:rPr>
      <w:sz w:val="24"/>
    </w:rPr>
  </w:style>
  <w:style w:type="character" w:styleId="626" w:customStyle="1">
    <w:name w:val="Без интервала Знак"/>
    <w:qFormat/>
    <w:rPr>
      <w:rFonts w:eastAsia="Arial" w:cs="Calibri"/>
      <w:sz w:val="24"/>
      <w:szCs w:val="24"/>
      <w:lang w:eastAsia="ar-SA"/>
    </w:rPr>
  </w:style>
  <w:style w:type="character" w:styleId="627" w:customStyle="1">
    <w:name w:val="Основной текст_"/>
    <w:basedOn w:val="623"/>
    <w:link w:val="710"/>
    <w:qFormat/>
    <w:rPr>
      <w:sz w:val="23"/>
      <w:szCs w:val="23"/>
      <w:shd w:val="clear" w:color="auto" w:fill="ffffff"/>
    </w:rPr>
  </w:style>
  <w:style w:type="character" w:styleId="628" w:customStyle="1">
    <w:name w:val="Основной текст (2)_"/>
    <w:basedOn w:val="623"/>
    <w:qFormat/>
    <w:rPr>
      <w:sz w:val="23"/>
      <w:szCs w:val="23"/>
      <w:shd w:val="clear" w:color="auto" w:fill="ffffff"/>
    </w:rPr>
  </w:style>
  <w:style w:type="character" w:styleId="629" w:customStyle="1">
    <w:name w:val="Основной текст + Полужирный"/>
    <w:basedOn w:val="627"/>
    <w:qFormat/>
    <w:rPr>
      <w:color w:val="000000"/>
      <w:spacing w:val="0"/>
      <w:sz w:val="23"/>
      <w:szCs w:val="23"/>
      <w:shd w:val="clear" w:color="auto" w:fill="ffffff"/>
      <w:lang w:val="ru-RU" w:eastAsia="ru-RU" w:bidi="ru-RU"/>
    </w:rPr>
  </w:style>
  <w:style w:type="character" w:styleId="630">
    <w:name w:val="Интернет-ссылка"/>
    <w:uiPriority w:val="99"/>
    <w:rPr>
      <w:color w:val="0000ff"/>
      <w:u w:val="single"/>
    </w:rPr>
  </w:style>
  <w:style w:type="character" w:styleId="631" w:customStyle="1">
    <w:name w:val="Основной текст + 13 pt"/>
    <w:basedOn w:val="62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  <w:lang w:val="ru-RU" w:eastAsia="ru-RU" w:bidi="ru-RU"/>
    </w:rPr>
  </w:style>
  <w:style w:type="character" w:styleId="632" w:customStyle="1">
    <w:name w:val="Абзац списка Знак"/>
    <w:qFormat/>
    <w:rPr>
      <w:rFonts w:ascii="Courier New" w:hAnsi="Courier New" w:eastAsia="Courier New" w:cs="Courier New"/>
      <w:color w:val="000000"/>
      <w:sz w:val="24"/>
      <w:szCs w:val="24"/>
      <w:lang w:bidi="ru-RU"/>
    </w:rPr>
  </w:style>
  <w:style w:type="character" w:styleId="633" w:customStyle="1">
    <w:name w:val="Обычный Char Char"/>
    <w:link w:val="635"/>
    <w:qFormat/>
    <w:rPr>
      <w:sz w:val="24"/>
    </w:rPr>
  </w:style>
  <w:style w:type="character" w:styleId="634" w:customStyle="1">
    <w:name w:val="Обычный (веб) Знак"/>
    <w:uiPriority w:val="99"/>
    <w:qFormat/>
    <w:rPr>
      <w:sz w:val="24"/>
      <w:szCs w:val="24"/>
    </w:rPr>
  </w:style>
  <w:style w:type="character" w:styleId="635" w:customStyle="1">
    <w:name w:val="Обычный1 Знак"/>
    <w:qFormat/>
    <w:rPr>
      <w:sz w:val="24"/>
      <w:lang w:val="ru-RU" w:eastAsia="ru-RU" w:bidi="ar-SA"/>
    </w:rPr>
  </w:style>
  <w:style w:type="character" w:styleId="636">
    <w:name w:val="ListLabel 1"/>
    <w:qFormat/>
    <w:rPr>
      <w:rFonts w:eastAsia="Times New Roman" w:cs="Times New Roman"/>
    </w:rPr>
  </w:style>
  <w:style w:type="character" w:styleId="637">
    <w:name w:val="ListLabel 2"/>
    <w:qFormat/>
    <w:rPr>
      <w:sz w:val="28"/>
      <w:szCs w:val="24"/>
    </w:rPr>
  </w:style>
  <w:style w:type="character" w:styleId="638">
    <w:name w:val="ListLabel 3"/>
    <w:qFormat/>
    <w:rPr>
      <w:rFonts w:cs="Times New Roman"/>
    </w:rPr>
  </w:style>
  <w:style w:type="character" w:styleId="639">
    <w:name w:val="ListLabel 4"/>
    <w:qFormat/>
    <w:rPr>
      <w:rFonts w:cs="Courier New"/>
    </w:rPr>
  </w:style>
  <w:style w:type="character" w:styleId="640">
    <w:name w:val="ListLabel 5"/>
    <w:qFormat/>
    <w:rPr>
      <w:rFonts w:cs="Courier New"/>
    </w:rPr>
  </w:style>
  <w:style w:type="character" w:styleId="641">
    <w:name w:val="ListLabel 6"/>
    <w:qFormat/>
    <w:rPr>
      <w:rFonts w:cs="Courier New"/>
    </w:rPr>
  </w:style>
  <w:style w:type="character" w:styleId="642">
    <w:name w:val="ListLabel 7"/>
    <w:qFormat/>
    <w:rPr>
      <w:b/>
      <w:color w:val="000000"/>
    </w:rPr>
  </w:style>
  <w:style w:type="character" w:styleId="643">
    <w:name w:val="ListLabel 8"/>
    <w:qFormat/>
    <w:rPr>
      <w:rFonts w:cs="Courier New"/>
    </w:rPr>
  </w:style>
  <w:style w:type="character" w:styleId="644">
    <w:name w:val="ListLabel 9"/>
    <w:qFormat/>
    <w:rPr>
      <w:rFonts w:cs="Courier New"/>
    </w:rPr>
  </w:style>
  <w:style w:type="character" w:styleId="645">
    <w:name w:val="ListLabel 10"/>
    <w:qFormat/>
    <w:rPr>
      <w:rFonts w:cs="Courier New"/>
    </w:rPr>
  </w:style>
  <w:style w:type="character" w:styleId="646">
    <w:name w:val="ListLabel 11"/>
    <w:qFormat/>
    <w:rPr>
      <w:b/>
    </w:rPr>
  </w:style>
  <w:style w:type="character" w:styleId="647">
    <w:name w:val="ListLabel 12"/>
    <w:qFormat/>
    <w:rPr>
      <w:rFonts w:cs="Symbol"/>
      <w:b w:val="0"/>
      <w:sz w:val="24"/>
    </w:rPr>
  </w:style>
  <w:style w:type="character" w:styleId="648">
    <w:name w:val="ListLabel 13"/>
    <w:qFormat/>
    <w:rPr>
      <w:rFonts w:cs="Courier New"/>
    </w:rPr>
  </w:style>
  <w:style w:type="character" w:styleId="649">
    <w:name w:val="ListLabel 14"/>
    <w:qFormat/>
    <w:rPr>
      <w:rFonts w:cs="Wingdings"/>
    </w:rPr>
  </w:style>
  <w:style w:type="character" w:styleId="650">
    <w:name w:val="ListLabel 15"/>
    <w:qFormat/>
    <w:rPr>
      <w:rFonts w:cs="Symbol"/>
    </w:rPr>
  </w:style>
  <w:style w:type="character" w:styleId="651">
    <w:name w:val="ListLabel 16"/>
    <w:qFormat/>
    <w:rPr>
      <w:rFonts w:cs="Courier New"/>
    </w:rPr>
  </w:style>
  <w:style w:type="character" w:styleId="652">
    <w:name w:val="ListLabel 17"/>
    <w:qFormat/>
    <w:rPr>
      <w:rFonts w:cs="Wingdings"/>
    </w:rPr>
  </w:style>
  <w:style w:type="character" w:styleId="653">
    <w:name w:val="ListLabel 18"/>
    <w:qFormat/>
    <w:rPr>
      <w:rFonts w:cs="Symbol"/>
    </w:rPr>
  </w:style>
  <w:style w:type="character" w:styleId="654">
    <w:name w:val="ListLabel 19"/>
    <w:qFormat/>
    <w:rPr>
      <w:rFonts w:cs="Courier New"/>
    </w:rPr>
  </w:style>
  <w:style w:type="character" w:styleId="655">
    <w:name w:val="ListLabel 20"/>
    <w:qFormat/>
    <w:rPr>
      <w:rFonts w:cs="Wingdings"/>
    </w:rPr>
  </w:style>
  <w:style w:type="character" w:styleId="656">
    <w:name w:val="ListLabel 21"/>
    <w:qFormat/>
    <w:rPr>
      <w:rFonts w:cs="Symbol"/>
      <w:b w:val="0"/>
      <w:sz w:val="24"/>
    </w:rPr>
  </w:style>
  <w:style w:type="character" w:styleId="657">
    <w:name w:val="ListLabel 22"/>
    <w:qFormat/>
    <w:rPr>
      <w:rFonts w:cs="Courier New"/>
    </w:rPr>
  </w:style>
  <w:style w:type="character" w:styleId="658">
    <w:name w:val="ListLabel 23"/>
    <w:qFormat/>
    <w:rPr>
      <w:rFonts w:cs="Wingdings"/>
    </w:rPr>
  </w:style>
  <w:style w:type="character" w:styleId="659">
    <w:name w:val="ListLabel 24"/>
    <w:qFormat/>
    <w:rPr>
      <w:rFonts w:cs="Symbol"/>
    </w:rPr>
  </w:style>
  <w:style w:type="character" w:styleId="660">
    <w:name w:val="ListLabel 25"/>
    <w:qFormat/>
    <w:rPr>
      <w:rFonts w:cs="Courier New"/>
    </w:rPr>
  </w:style>
  <w:style w:type="character" w:styleId="661">
    <w:name w:val="ListLabel 26"/>
    <w:qFormat/>
    <w:rPr>
      <w:rFonts w:cs="Wingdings"/>
    </w:rPr>
  </w:style>
  <w:style w:type="character" w:styleId="662">
    <w:name w:val="ListLabel 27"/>
    <w:qFormat/>
    <w:rPr>
      <w:rFonts w:cs="Symbol"/>
    </w:rPr>
  </w:style>
  <w:style w:type="character" w:styleId="663">
    <w:name w:val="ListLabel 28"/>
    <w:qFormat/>
    <w:rPr>
      <w:rFonts w:cs="Courier New"/>
    </w:rPr>
  </w:style>
  <w:style w:type="character" w:styleId="664">
    <w:name w:val="ListLabel 29"/>
    <w:qFormat/>
    <w:rPr>
      <w:rFonts w:cs="Wingdings"/>
    </w:rPr>
  </w:style>
  <w:style w:type="character" w:styleId="665">
    <w:name w:val="ListLabel 30"/>
    <w:qFormat/>
    <w:rPr>
      <w:rFonts w:cs="Symbol"/>
      <w:b w:val="0"/>
      <w:sz w:val="24"/>
    </w:rPr>
  </w:style>
  <w:style w:type="character" w:styleId="666">
    <w:name w:val="ListLabel 31"/>
    <w:qFormat/>
    <w:rPr>
      <w:rFonts w:cs="Courier New"/>
    </w:rPr>
  </w:style>
  <w:style w:type="character" w:styleId="667">
    <w:name w:val="ListLabel 32"/>
    <w:qFormat/>
    <w:rPr>
      <w:rFonts w:cs="Wingdings"/>
    </w:rPr>
  </w:style>
  <w:style w:type="character" w:styleId="668">
    <w:name w:val="ListLabel 33"/>
    <w:qFormat/>
    <w:rPr>
      <w:rFonts w:cs="Symbol"/>
    </w:rPr>
  </w:style>
  <w:style w:type="character" w:styleId="669">
    <w:name w:val="ListLabel 34"/>
    <w:qFormat/>
    <w:rPr>
      <w:rFonts w:cs="Courier New"/>
    </w:rPr>
  </w:style>
  <w:style w:type="character" w:styleId="670">
    <w:name w:val="ListLabel 35"/>
    <w:qFormat/>
    <w:rPr>
      <w:rFonts w:cs="Wingdings"/>
    </w:rPr>
  </w:style>
  <w:style w:type="character" w:styleId="671">
    <w:name w:val="ListLabel 36"/>
    <w:qFormat/>
    <w:rPr>
      <w:rFonts w:cs="Symbol"/>
    </w:rPr>
  </w:style>
  <w:style w:type="character" w:styleId="672">
    <w:name w:val="ListLabel 37"/>
    <w:qFormat/>
    <w:rPr>
      <w:rFonts w:cs="Courier New"/>
    </w:rPr>
  </w:style>
  <w:style w:type="character" w:styleId="673">
    <w:name w:val="ListLabel 38"/>
    <w:qFormat/>
    <w:rPr>
      <w:rFonts w:cs="Wingdings"/>
    </w:rPr>
  </w:style>
  <w:style w:type="character" w:styleId="674">
    <w:name w:val="ListLabel 39"/>
    <w:qFormat/>
    <w:rPr>
      <w:rFonts w:cs="Symbol"/>
      <w:b w:val="0"/>
      <w:sz w:val="24"/>
    </w:rPr>
  </w:style>
  <w:style w:type="character" w:styleId="675">
    <w:name w:val="ListLabel 40"/>
    <w:qFormat/>
    <w:rPr>
      <w:rFonts w:cs="Courier New"/>
    </w:rPr>
  </w:style>
  <w:style w:type="character" w:styleId="676">
    <w:name w:val="ListLabel 41"/>
    <w:qFormat/>
    <w:rPr>
      <w:rFonts w:cs="Wingdings"/>
    </w:rPr>
  </w:style>
  <w:style w:type="character" w:styleId="677">
    <w:name w:val="ListLabel 42"/>
    <w:qFormat/>
    <w:rPr>
      <w:rFonts w:cs="Symbol"/>
    </w:rPr>
  </w:style>
  <w:style w:type="character" w:styleId="678">
    <w:name w:val="ListLabel 43"/>
    <w:qFormat/>
    <w:rPr>
      <w:rFonts w:cs="Courier New"/>
    </w:rPr>
  </w:style>
  <w:style w:type="character" w:styleId="679">
    <w:name w:val="ListLabel 44"/>
    <w:qFormat/>
    <w:rPr>
      <w:rFonts w:cs="Wingdings"/>
    </w:rPr>
  </w:style>
  <w:style w:type="character" w:styleId="680">
    <w:name w:val="ListLabel 45"/>
    <w:qFormat/>
    <w:rPr>
      <w:rFonts w:cs="Symbol"/>
    </w:rPr>
  </w:style>
  <w:style w:type="character" w:styleId="681">
    <w:name w:val="ListLabel 46"/>
    <w:qFormat/>
    <w:rPr>
      <w:rFonts w:cs="Courier New"/>
    </w:rPr>
  </w:style>
  <w:style w:type="character" w:styleId="682">
    <w:name w:val="ListLabel 47"/>
    <w:qFormat/>
    <w:rPr>
      <w:rFonts w:cs="Wingdings"/>
    </w:rPr>
  </w:style>
  <w:style w:type="character" w:styleId="683">
    <w:name w:val="ListLabel 48"/>
    <w:qFormat/>
    <w:rPr>
      <w:rFonts w:cs="Symbol"/>
      <w:b w:val="0"/>
      <w:sz w:val="24"/>
    </w:rPr>
  </w:style>
  <w:style w:type="character" w:styleId="684">
    <w:name w:val="ListLabel 49"/>
    <w:qFormat/>
    <w:rPr>
      <w:rFonts w:cs="Courier New"/>
    </w:rPr>
  </w:style>
  <w:style w:type="character" w:styleId="685">
    <w:name w:val="ListLabel 50"/>
    <w:qFormat/>
    <w:rPr>
      <w:rFonts w:cs="Wingdings"/>
    </w:rPr>
  </w:style>
  <w:style w:type="character" w:styleId="686">
    <w:name w:val="ListLabel 51"/>
    <w:qFormat/>
    <w:rPr>
      <w:rFonts w:cs="Symbol"/>
    </w:rPr>
  </w:style>
  <w:style w:type="character" w:styleId="687">
    <w:name w:val="ListLabel 52"/>
    <w:qFormat/>
    <w:rPr>
      <w:rFonts w:cs="Courier New"/>
    </w:rPr>
  </w:style>
  <w:style w:type="character" w:styleId="688">
    <w:name w:val="ListLabel 53"/>
    <w:qFormat/>
    <w:rPr>
      <w:rFonts w:cs="Wingdings"/>
    </w:rPr>
  </w:style>
  <w:style w:type="character" w:styleId="689">
    <w:name w:val="ListLabel 54"/>
    <w:qFormat/>
    <w:rPr>
      <w:rFonts w:cs="Symbol"/>
    </w:rPr>
  </w:style>
  <w:style w:type="character" w:styleId="690">
    <w:name w:val="ListLabel 55"/>
    <w:qFormat/>
    <w:rPr>
      <w:rFonts w:cs="Courier New"/>
    </w:rPr>
  </w:style>
  <w:style w:type="character" w:styleId="691">
    <w:name w:val="ListLabel 56"/>
    <w:qFormat/>
    <w:rPr>
      <w:rFonts w:cs="Wingdings"/>
    </w:rPr>
  </w:style>
  <w:style w:type="character" w:styleId="692">
    <w:name w:val="ListLabel 57"/>
    <w:qFormat/>
    <w:rPr>
      <w:rFonts w:cs="Symbol"/>
      <w:b w:val="0"/>
      <w:sz w:val="24"/>
    </w:rPr>
  </w:style>
  <w:style w:type="character" w:styleId="693">
    <w:name w:val="ListLabel 58"/>
    <w:qFormat/>
    <w:rPr>
      <w:rFonts w:cs="Courier New"/>
    </w:rPr>
  </w:style>
  <w:style w:type="character" w:styleId="694">
    <w:name w:val="ListLabel 59"/>
    <w:qFormat/>
    <w:rPr>
      <w:rFonts w:cs="Wingdings"/>
    </w:rPr>
  </w:style>
  <w:style w:type="character" w:styleId="695">
    <w:name w:val="ListLabel 60"/>
    <w:qFormat/>
    <w:rPr>
      <w:rFonts w:cs="Symbol"/>
    </w:rPr>
  </w:style>
  <w:style w:type="character" w:styleId="696">
    <w:name w:val="ListLabel 61"/>
    <w:qFormat/>
    <w:rPr>
      <w:rFonts w:cs="Courier New"/>
    </w:rPr>
  </w:style>
  <w:style w:type="character" w:styleId="697">
    <w:name w:val="ListLabel 62"/>
    <w:qFormat/>
    <w:rPr>
      <w:rFonts w:cs="Wingdings"/>
    </w:rPr>
  </w:style>
  <w:style w:type="character" w:styleId="698">
    <w:name w:val="ListLabel 63"/>
    <w:qFormat/>
    <w:rPr>
      <w:rFonts w:cs="Symbol"/>
    </w:rPr>
  </w:style>
  <w:style w:type="character" w:styleId="699">
    <w:name w:val="ListLabel 64"/>
    <w:qFormat/>
    <w:rPr>
      <w:rFonts w:cs="Courier New"/>
    </w:rPr>
  </w:style>
  <w:style w:type="character" w:styleId="700">
    <w:name w:val="ListLabel 65"/>
    <w:qFormat/>
    <w:rPr>
      <w:rFonts w:cs="Wingdings"/>
    </w:rPr>
  </w:style>
  <w:style w:type="paragraph" w:styleId="701">
    <w:name w:val="Заголовок"/>
    <w:basedOn w:val="621"/>
    <w:next w:val="70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2">
    <w:name w:val="Body Text"/>
    <w:basedOn w:val="621"/>
    <w:rPr>
      <w:b w:val="0"/>
      <w:i w:val="0"/>
      <w:sz w:val="24"/>
    </w:rPr>
  </w:style>
  <w:style w:type="paragraph" w:styleId="703">
    <w:name w:val="List"/>
    <w:basedOn w:val="702"/>
    <w:rPr>
      <w:rFonts w:cs="Arial"/>
    </w:rPr>
  </w:style>
  <w:style w:type="paragraph" w:styleId="704">
    <w:name w:val="Caption"/>
    <w:basedOn w:val="62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05">
    <w:name w:val="Указатель"/>
    <w:basedOn w:val="621"/>
    <w:qFormat/>
    <w:pPr>
      <w:suppressLineNumbers/>
    </w:pPr>
    <w:rPr>
      <w:rFonts w:cs="Arial"/>
    </w:rPr>
  </w:style>
  <w:style w:type="paragraph" w:styleId="706">
    <w:name w:val="Balloon Text"/>
    <w:basedOn w:val="621"/>
    <w:semiHidden/>
    <w:qFormat/>
    <w:rPr>
      <w:rFonts w:ascii="Tahoma" w:hAnsi="Tahoma" w:cs="Tahoma"/>
      <w:sz w:val="16"/>
      <w:szCs w:val="16"/>
    </w:rPr>
  </w:style>
  <w:style w:type="paragraph" w:styleId="707">
    <w:name w:val="Body Text Indent"/>
    <w:basedOn w:val="621"/>
    <w:pPr>
      <w:ind w:left="283" w:firstLine="0"/>
      <w:spacing w:before="0" w:after="120"/>
    </w:pPr>
  </w:style>
  <w:style w:type="paragraph" w:styleId="708">
    <w:name w:val="No Spacing"/>
    <w:qFormat/>
    <w:pPr>
      <w:jc w:val="left"/>
      <w:widowControl/>
    </w:pPr>
    <w:rPr>
      <w:rFonts w:ascii="Times New Roman" w:hAnsi="Times New Roman" w:eastAsia="Arial" w:cs="Calibri"/>
      <w:color w:val="00000a"/>
      <w:sz w:val="24"/>
      <w:szCs w:val="24"/>
      <w:lang w:val="ru-RU" w:eastAsia="ar-SA" w:bidi="ar-SA"/>
    </w:rPr>
  </w:style>
  <w:style w:type="paragraph" w:styleId="709" w:customStyle="1">
    <w:name w:val="ConsNormal"/>
    <w:qFormat/>
    <w:pPr>
      <w:ind w:firstLine="720"/>
      <w:jc w:val="left"/>
      <w:widowControl/>
    </w:pPr>
    <w:rPr>
      <w:rFonts w:ascii="Consultant" w:hAnsi="Consultant" w:eastAsia="Arial" w:cs="Times New Roman"/>
      <w:color w:val="00000a"/>
      <w:sz w:val="28"/>
      <w:szCs w:val="20"/>
      <w:lang w:val="ru-RU" w:eastAsia="ar-SA" w:bidi="ar-SA"/>
    </w:rPr>
  </w:style>
  <w:style w:type="paragraph" w:styleId="710" w:customStyle="1">
    <w:name w:val="Основной текст3"/>
    <w:basedOn w:val="621"/>
    <w:qFormat/>
    <w:pPr>
      <w:jc w:val="right"/>
      <w:spacing w:line="240" w:lineRule="auto"/>
      <w:shd w:val="clear" w:color="auto" w:fill="ffffff"/>
      <w:widowControl w:val="off"/>
    </w:pPr>
    <w:rPr>
      <w:b w:val="0"/>
      <w:i w:val="0"/>
      <w:sz w:val="23"/>
      <w:szCs w:val="23"/>
    </w:rPr>
  </w:style>
  <w:style w:type="paragraph" w:styleId="711" w:customStyle="1">
    <w:name w:val="Основной текст (2)"/>
    <w:basedOn w:val="621"/>
    <w:link w:val="628"/>
    <w:qFormat/>
    <w:pPr>
      <w:jc w:val="center"/>
      <w:spacing w:line="274" w:lineRule="exact"/>
      <w:shd w:val="clear" w:color="auto" w:fill="ffffff"/>
      <w:widowControl w:val="off"/>
    </w:pPr>
    <w:rPr>
      <w:bCs/>
      <w:i w:val="0"/>
      <w:sz w:val="23"/>
      <w:szCs w:val="23"/>
    </w:rPr>
  </w:style>
  <w:style w:type="paragraph" w:styleId="712" w:customStyle="1">
    <w:name w:val="Абзац списка1"/>
    <w:basedOn w:val="621"/>
    <w:qFormat/>
    <w:pPr>
      <w:ind w:left="720" w:firstLine="0"/>
    </w:pPr>
    <w:rPr>
      <w:rFonts w:ascii="Courier New" w:hAnsi="Courier New" w:eastAsia="Courier New" w:cs="Courier New"/>
      <w:b w:val="0"/>
      <w:i w:val="0"/>
      <w:color w:val="000000"/>
      <w:sz w:val="24"/>
      <w:szCs w:val="24"/>
      <w:lang w:bidi="ru-RU"/>
    </w:rPr>
  </w:style>
  <w:style w:type="paragraph" w:styleId="713">
    <w:name w:val="List Paragraph"/>
    <w:basedOn w:val="621"/>
    <w:uiPriority w:val="34"/>
    <w:qFormat/>
    <w:pPr>
      <w:contextualSpacing/>
      <w:ind w:left="720" w:firstLine="0"/>
      <w:spacing w:before="0" w:after="0"/>
    </w:pPr>
  </w:style>
  <w:style w:type="paragraph" w:styleId="714" w:customStyle="1">
    <w:name w:val="Обычный1"/>
    <w:link w:val="633"/>
    <w:qFormat/>
    <w:pPr>
      <w:ind w:firstLine="400"/>
      <w:jc w:val="both"/>
      <w:widowControl w:val="off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paragraph" w:styleId="715">
    <w:name w:val="Normal (Web)"/>
    <w:basedOn w:val="621"/>
    <w:uiPriority w:val="99"/>
    <w:qFormat/>
    <w:pPr>
      <w:spacing w:beforeAutospacing="1" w:afterAutospacing="1"/>
    </w:pPr>
    <w:rPr>
      <w:b w:val="0"/>
      <w:i w:val="0"/>
      <w:sz w:val="24"/>
      <w:szCs w:val="24"/>
    </w:rPr>
  </w:style>
  <w:style w:type="paragraph" w:styleId="716" w:customStyle="1">
    <w:name w:val="ConsPlusCell"/>
    <w:uiPriority w:val="99"/>
    <w:qFormat/>
    <w:pPr>
      <w:jc w:val="left"/>
      <w:widowControl w:val="off"/>
    </w:pPr>
    <w:rPr>
      <w:rFonts w:ascii="Calibri" w:hAnsi="Calibri" w:eastAsia="Times New Roman" w:cs="Calibri"/>
      <w:color w:val="00000a"/>
      <w:sz w:val="22"/>
      <w:szCs w:val="22"/>
      <w:lang w:val="ru-RU" w:eastAsia="ru-RU" w:bidi="ar-SA"/>
    </w:rPr>
  </w:style>
  <w:style w:type="numbering" w:styleId="717" w:default="1">
    <w:name w:val="No List"/>
    <w:uiPriority w:val="99"/>
    <w:semiHidden/>
    <w:unhideWhenUsed/>
    <w:qFormat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"/>
    <w:basedOn w:val="71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dc:language>ru-RU</dc:language>
  <cp:lastModifiedBy>u431</cp:lastModifiedBy>
  <cp:revision>15</cp:revision>
  <dcterms:created xsi:type="dcterms:W3CDTF">2022-08-23T03:41:00Z</dcterms:created>
  <dcterms:modified xsi:type="dcterms:W3CDTF">2026-05-25T11:21:21Z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