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567"/>
        <w:jc w:val="center"/>
        <w:rPr>
          <w:sz w:val="24"/>
        </w:rPr>
      </w:pPr>
      <w:r>
        <w:rPr>
          <w:b w:val="1"/>
          <w:color w:val="000000"/>
          <w:spacing w:val="2"/>
          <w:sz w:val="24"/>
        </w:rPr>
        <w:t>ДОГОВОР №</w:t>
      </w:r>
      <w:r>
        <w:rPr>
          <w:b w:val="1"/>
          <w:color w:val="000000"/>
          <w:spacing w:val="2"/>
          <w:sz w:val="24"/>
        </w:rPr>
        <w:t xml:space="preserve"> </w:t>
      </w:r>
    </w:p>
    <w:p w14:paraId="02000000">
      <w:pPr>
        <w:widowControl w:val="1"/>
        <w:ind w:left="1834" w:right="1800"/>
        <w:jc w:val="center"/>
        <w:rPr>
          <w:b w:val="1"/>
          <w:color w:val="000000"/>
          <w:spacing w:val="-1"/>
          <w:sz w:val="24"/>
        </w:rPr>
      </w:pPr>
      <w:r>
        <w:rPr>
          <w:b w:val="1"/>
          <w:color w:val="000000"/>
          <w:spacing w:val="-1"/>
          <w:sz w:val="24"/>
        </w:rPr>
        <w:t>ОБЯЗАТЕЛЬНОГО СТРАХОВАНИЯ ГРАЖДАНСКОЙ ОТВЕТСТВЕННОСТИ ВЛАДЕЛЬЦЕВ ТРАНСПОРТНЫХ СРЕДСТВ</w:t>
      </w:r>
    </w:p>
    <w:p w14:paraId="03000000">
      <w:pPr>
        <w:widowControl w:val="1"/>
        <w:spacing w:before="5"/>
        <w:ind w:firstLine="567"/>
        <w:jc w:val="center"/>
        <w:rPr>
          <w:b w:val="1"/>
          <w:sz w:val="24"/>
        </w:rPr>
      </w:pPr>
      <w:r>
        <w:rPr>
          <w:b w:val="1"/>
          <w:sz w:val="24"/>
        </w:rPr>
        <w:t>ИКЗ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 </w:t>
      </w:r>
      <w:r>
        <w:rPr>
          <w:b w:val="1"/>
          <w:sz w:val="22"/>
        </w:rPr>
        <w:t>261910200990891020100100210000000244</w:t>
      </w:r>
    </w:p>
    <w:p w14:paraId="04000000">
      <w:pPr>
        <w:widowControl w:val="1"/>
        <w:spacing w:before="5"/>
        <w:ind w:firstLine="567"/>
        <w:jc w:val="center"/>
        <w:rPr>
          <w:sz w:val="24"/>
        </w:rPr>
      </w:pPr>
    </w:p>
    <w:p w14:paraId="05000000">
      <w:pPr>
        <w:widowControl w:val="1"/>
        <w:ind w:left="1834" w:right="1800"/>
        <w:jc w:val="center"/>
        <w:rPr>
          <w:sz w:val="24"/>
        </w:rPr>
      </w:pPr>
    </w:p>
    <w:p w14:paraId="06000000">
      <w:pPr>
        <w:widowControl w:val="1"/>
        <w:tabs>
          <w:tab w:leader="none" w:pos="8218" w:val="left"/>
        </w:tabs>
        <w:ind w:left="475"/>
        <w:rPr>
          <w:color w:val="000000"/>
          <w:spacing w:val="-3"/>
          <w:sz w:val="24"/>
        </w:rPr>
      </w:pPr>
    </w:p>
    <w:p w14:paraId="07000000">
      <w:pPr>
        <w:widowControl w:val="1"/>
        <w:tabs>
          <w:tab w:leader="none" w:pos="8218" w:val="left"/>
        </w:tabs>
        <w:ind/>
        <w:jc w:val="both"/>
        <w:rPr>
          <w:sz w:val="24"/>
        </w:rPr>
      </w:pPr>
      <w:r>
        <w:rPr>
          <w:color w:val="000000"/>
          <w:spacing w:val="-3"/>
          <w:sz w:val="24"/>
        </w:rPr>
        <w:t>г.</w:t>
      </w:r>
      <w:r>
        <w:rPr>
          <w:color w:val="000000"/>
          <w:spacing w:val="-3"/>
          <w:sz w:val="24"/>
        </w:rPr>
        <w:t xml:space="preserve"> Симферополь</w:t>
      </w:r>
      <w:r>
        <w:rPr>
          <w:color w:val="000000"/>
          <w:sz w:val="24"/>
        </w:rPr>
        <w:t xml:space="preserve">                          </w:t>
      </w:r>
      <w:r>
        <w:rPr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              </w:t>
      </w:r>
      <w:r>
        <w:rPr>
          <w:color w:val="000000"/>
          <w:sz w:val="24"/>
        </w:rPr>
        <w:t xml:space="preserve">   </w:t>
      </w:r>
      <w:r>
        <w:rPr>
          <w:color w:val="000000"/>
          <w:sz w:val="24"/>
        </w:rPr>
        <w:t xml:space="preserve">     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        </w:t>
      </w:r>
      <w:r>
        <w:rPr>
          <w:color w:val="000000"/>
          <w:sz w:val="24"/>
        </w:rPr>
        <w:t xml:space="preserve">   </w:t>
      </w:r>
      <w:r>
        <w:rPr>
          <w:color w:val="000000"/>
          <w:spacing w:val="-2"/>
          <w:sz w:val="24"/>
        </w:rPr>
        <w:t>«</w:t>
      </w:r>
      <w:r>
        <w:rPr>
          <w:color w:val="000000"/>
          <w:spacing w:val="-2"/>
          <w:sz w:val="24"/>
        </w:rPr>
        <w:t xml:space="preserve"> _</w:t>
      </w:r>
      <w:r>
        <w:rPr>
          <w:color w:val="000000"/>
          <w:spacing w:val="-2"/>
          <w:sz w:val="24"/>
        </w:rPr>
        <w:t>____</w:t>
      </w:r>
      <w:r>
        <w:rPr>
          <w:color w:val="000000"/>
          <w:spacing w:val="-2"/>
          <w:sz w:val="24"/>
        </w:rPr>
        <w:t xml:space="preserve">_ </w:t>
      </w:r>
      <w:r>
        <w:rPr>
          <w:color w:val="000000"/>
          <w:spacing w:val="-2"/>
          <w:sz w:val="24"/>
        </w:rPr>
        <w:t>»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___</w:t>
      </w:r>
      <w:r>
        <w:rPr>
          <w:color w:val="000000"/>
          <w:spacing w:val="-2"/>
          <w:sz w:val="24"/>
        </w:rPr>
        <w:t>_______</w:t>
      </w:r>
      <w:r>
        <w:rPr>
          <w:color w:val="000000"/>
          <w:spacing w:val="-2"/>
          <w:sz w:val="24"/>
        </w:rPr>
        <w:t>____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2026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г.</w:t>
      </w:r>
    </w:p>
    <w:p w14:paraId="08000000">
      <w:pPr>
        <w:widowControl w:val="1"/>
        <w:spacing w:before="5"/>
        <w:ind w:firstLine="720" w:left="24"/>
        <w:jc w:val="both"/>
        <w:rPr>
          <w:b w:val="1"/>
          <w:sz w:val="24"/>
        </w:rPr>
      </w:pPr>
      <w:bookmarkStart w:id="1" w:name="_Hlk342647781"/>
      <w:bookmarkEnd w:id="1"/>
    </w:p>
    <w:p w14:paraId="09000000">
      <w:pPr>
        <w:widowControl w:val="1"/>
        <w:spacing w:before="5"/>
        <w:ind/>
        <w:jc w:val="both"/>
        <w:rPr>
          <w:b w:val="1"/>
          <w:sz w:val="24"/>
        </w:rPr>
      </w:pPr>
      <w:r>
        <w:rPr>
          <w:b w:val="1"/>
          <w:sz w:val="24"/>
        </w:rPr>
        <w:t xml:space="preserve">               ____________________</w:t>
      </w:r>
      <w:r>
        <w:rPr>
          <w:sz w:val="24"/>
        </w:rPr>
        <w:t xml:space="preserve">, с одной стороны и </w:t>
      </w:r>
      <w:r>
        <w:rPr>
          <w:b w:val="1"/>
          <w:sz w:val="24"/>
        </w:rPr>
        <w:t>Федеральное казенное учреждение «Главное бюро медико-социальной экспертизы по Республике Крым» Министерства труда и социальной защиты Российской Федерации</w:t>
      </w:r>
      <w:r>
        <w:rPr>
          <w:sz w:val="24"/>
        </w:rPr>
        <w:t xml:space="preserve"> (далее – ФКУ «ГБ МСЭ по Республике Крым» Минтруда России), именуемое в дальнейшем Страхователь, в лице</w:t>
      </w:r>
      <w:r>
        <w:rPr>
          <w:sz w:val="24"/>
        </w:rPr>
        <w:t xml:space="preserve"> </w:t>
      </w:r>
      <w:r>
        <w:rPr>
          <w:sz w:val="24"/>
        </w:rPr>
        <w:t>заместителя руководителя по</w:t>
      </w:r>
      <w:r>
        <w:rPr>
          <w:sz w:val="24"/>
        </w:rPr>
        <w:t xml:space="preserve"> общим вопросам деятельности учреждения </w:t>
      </w:r>
      <w:r>
        <w:rPr>
          <w:b w:val="1"/>
          <w:spacing w:val="-4"/>
          <w:sz w:val="24"/>
        </w:rPr>
        <w:t>Посторонко</w:t>
      </w:r>
      <w:r>
        <w:rPr>
          <w:b w:val="1"/>
          <w:spacing w:val="-4"/>
          <w:sz w:val="24"/>
        </w:rPr>
        <w:t xml:space="preserve"> Ирины Павловны, действующей на основании приказа от 01.11.2023  № 413</w:t>
      </w:r>
      <w:r>
        <w:rPr>
          <w:sz w:val="24"/>
        </w:rPr>
        <w:t xml:space="preserve">, с другой стороны, в соответствии с п. 4 ч. 1 ст. 93 Федерального закона от 05 апреля </w:t>
      </w:r>
      <w:r>
        <w:rPr>
          <w:sz w:val="24"/>
        </w:rPr>
        <w:t>2013</w:t>
      </w:r>
      <w:r>
        <w:rPr>
          <w:sz w:val="24"/>
        </w:rPr>
        <w:t xml:space="preserve"> г. </w:t>
      </w:r>
      <w:r>
        <w:rPr>
          <w:sz w:val="24"/>
        </w:rPr>
        <w:t>№ 44</w:t>
      </w:r>
      <w:r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ФЗ «О контрактной системе в сфере закупок товаров, работ, услуг для обеспечения государ</w:t>
      </w:r>
      <w:r>
        <w:rPr>
          <w:sz w:val="24"/>
        </w:rPr>
        <w:t>ственных и муниципальных нужд»</w:t>
      </w:r>
      <w:r>
        <w:rPr>
          <w:sz w:val="24"/>
        </w:rPr>
        <w:t>, составили настоящий договор о нижеследующем:</w:t>
      </w:r>
    </w:p>
    <w:p w14:paraId="0A000000">
      <w:pPr>
        <w:widowControl w:val="1"/>
        <w:spacing w:before="5"/>
        <w:ind w:firstLine="567"/>
        <w:jc w:val="both"/>
        <w:rPr>
          <w:sz w:val="24"/>
        </w:rPr>
      </w:pPr>
    </w:p>
    <w:p w14:paraId="0B000000">
      <w:pPr>
        <w:widowControl w:val="1"/>
        <w:spacing w:before="5"/>
        <w:ind w:firstLine="567"/>
        <w:jc w:val="center"/>
        <w:rPr>
          <w:b w:val="1"/>
          <w:sz w:val="24"/>
        </w:rPr>
      </w:pPr>
      <w:r>
        <w:rPr>
          <w:b w:val="1"/>
          <w:sz w:val="24"/>
        </w:rPr>
        <w:t>1. Предмет Договора</w:t>
      </w:r>
    </w:p>
    <w:p w14:paraId="0C000000">
      <w:pPr>
        <w:widowControl w:val="1"/>
        <w:spacing w:before="5"/>
        <w:ind w:firstLine="567"/>
        <w:jc w:val="both"/>
        <w:rPr>
          <w:b w:val="1"/>
          <w:sz w:val="24"/>
        </w:rPr>
      </w:pPr>
    </w:p>
    <w:p w14:paraId="0D000000">
      <w:pPr>
        <w:pStyle w:val="Style_1"/>
        <w:widowControl w:val="1"/>
        <w:ind w:firstLine="851"/>
        <w:rPr>
          <w:color w:val="000000"/>
          <w:spacing w:val="-1"/>
        </w:rPr>
      </w:pPr>
      <w:r>
        <w:rPr>
          <w:color w:val="000000"/>
          <w:spacing w:val="-1"/>
        </w:rPr>
        <w:t xml:space="preserve">1.1. Предметом настоящего Договора является оказание услуг по </w:t>
      </w:r>
      <w:bookmarkStart w:id="2" w:name="_Hlk107825437"/>
      <w:r>
        <w:rPr>
          <w:color w:val="000000"/>
          <w:spacing w:val="-1"/>
        </w:rPr>
        <w:t>обязательному страхованию гражданской ответственности владельца транспортных средств</w:t>
      </w:r>
      <w:bookmarkEnd w:id="2"/>
      <w:r>
        <w:rPr>
          <w:color w:val="000000"/>
          <w:spacing w:val="-1"/>
        </w:rPr>
        <w:t xml:space="preserve"> Государственного заказчика (далее-услуга). </w:t>
      </w:r>
    </w:p>
    <w:p w14:paraId="0E000000">
      <w:pPr>
        <w:pStyle w:val="Style_1"/>
        <w:widowControl w:val="1"/>
        <w:ind w:firstLine="851"/>
        <w:rPr>
          <w:color w:val="000000"/>
          <w:spacing w:val="-1"/>
        </w:rPr>
      </w:pPr>
      <w:r>
        <w:rPr>
          <w:color w:val="000000"/>
          <w:spacing w:val="-1"/>
        </w:rPr>
        <w:t>1.2. Страховщик обязуется за обусловленную договором плату (страховую премию) предоставлять услуги обязательного страхования гражданской ответственности владельцев транспортных средств (далее - услуги), при наступлении предусмотренного правилами обязательного страхования гражданской ответственности владельцев транспортных средств события (страхового случая) возместить потерпевшему (третьему лицу) убытки, возникшие вследствие причинения вреда его жизни, здоровью или имуществу.</w:t>
      </w:r>
    </w:p>
    <w:p w14:paraId="0F000000">
      <w:pPr>
        <w:pStyle w:val="Style_1"/>
        <w:widowControl w:val="1"/>
        <w:ind w:firstLine="851"/>
        <w:rPr>
          <w:color w:val="000000"/>
          <w:spacing w:val="-1"/>
        </w:rPr>
      </w:pPr>
      <w:r>
        <w:rPr>
          <w:color w:val="000000"/>
          <w:spacing w:val="-1"/>
        </w:rPr>
        <w:t xml:space="preserve">1.3. Перечень транспортных средств, условия и сроки страхования указаны в Приложении № 1 к Договору, являющимся неотъемлемой частью настоящего Договора. </w:t>
      </w:r>
    </w:p>
    <w:p w14:paraId="10000000">
      <w:pPr>
        <w:pStyle w:val="Style_1"/>
        <w:widowControl w:val="1"/>
        <w:ind w:firstLine="851"/>
        <w:rPr>
          <w:color w:val="000000"/>
          <w:spacing w:val="-1"/>
        </w:rPr>
      </w:pPr>
      <w:r>
        <w:rPr>
          <w:color w:val="000000"/>
          <w:spacing w:val="-1"/>
        </w:rPr>
        <w:t>1.4. Оказание услуг по Договору должно осуществляться в соответствии с Федеральным законом № 40-ФЗ от 25.04.</w:t>
      </w:r>
      <w:r>
        <w:rPr>
          <w:color w:val="000000"/>
          <w:spacing w:val="-1"/>
        </w:rPr>
        <w:t>20</w:t>
      </w:r>
      <w:r>
        <w:rPr>
          <w:color w:val="000000"/>
          <w:spacing w:val="-1"/>
        </w:rPr>
        <w:t>02 «Об обязательном страховании гражданской ответственности владельцев транспортных средств».</w:t>
      </w:r>
    </w:p>
    <w:p w14:paraId="11000000">
      <w:pPr>
        <w:pStyle w:val="Style_1"/>
        <w:widowControl w:val="1"/>
        <w:ind w:firstLine="851"/>
        <w:rPr>
          <w:color w:val="000000"/>
          <w:spacing w:val="-1"/>
        </w:rPr>
      </w:pPr>
      <w:r>
        <w:rPr>
          <w:color w:val="000000"/>
          <w:spacing w:val="-1"/>
        </w:rPr>
        <w:t>1.5. Лицами, допущенными к управлению транспортным средством, (далее – ТС), являются штатные работники Страхователя и иные лица, осуществляющие управление ТС на основании гражданско-правового договора со Страхователем, без ограничения количества лиц.</w:t>
      </w:r>
    </w:p>
    <w:p w14:paraId="12000000">
      <w:pPr>
        <w:pStyle w:val="Style_1"/>
        <w:rPr>
          <w:color w:val="000000"/>
          <w:spacing w:val="-1"/>
        </w:rPr>
      </w:pPr>
      <w:r>
        <w:rPr>
          <w:color w:val="000000"/>
          <w:spacing w:val="-1"/>
        </w:rPr>
        <w:t xml:space="preserve">        </w:t>
      </w:r>
    </w:p>
    <w:p w14:paraId="13000000">
      <w:pPr>
        <w:pStyle w:val="Style_1"/>
        <w:widowControl w:val="1"/>
        <w:tabs>
          <w:tab w:leader="none" w:pos="4275" w:val="left"/>
        </w:tabs>
        <w:ind/>
        <w:jc w:val="center"/>
        <w:rPr>
          <w:b w:val="1"/>
          <w:color w:val="000000"/>
          <w:spacing w:val="-1"/>
        </w:rPr>
      </w:pPr>
      <w:r>
        <w:rPr>
          <w:b w:val="1"/>
          <w:color w:val="000000"/>
          <w:spacing w:val="-1"/>
        </w:rPr>
        <w:t>2. Цена Договора</w:t>
      </w:r>
    </w:p>
    <w:p w14:paraId="14000000">
      <w:pPr>
        <w:pStyle w:val="Style_1"/>
        <w:widowControl w:val="1"/>
        <w:tabs>
          <w:tab w:leader="none" w:pos="4275" w:val="left"/>
        </w:tabs>
        <w:ind/>
        <w:rPr>
          <w:b w:val="1"/>
          <w:color w:val="000000"/>
          <w:spacing w:val="-1"/>
        </w:rPr>
      </w:pPr>
    </w:p>
    <w:p w14:paraId="15000000">
      <w:pPr>
        <w:pStyle w:val="Style_1"/>
      </w:pPr>
      <w:r>
        <w:rPr>
          <w:color w:val="000000"/>
          <w:spacing w:val="-1"/>
        </w:rPr>
        <w:t xml:space="preserve">     </w:t>
      </w:r>
      <w:r>
        <w:rPr>
          <w:color w:val="000000"/>
          <w:spacing w:val="-1"/>
        </w:rPr>
        <w:t>2.</w:t>
      </w:r>
      <w:r>
        <w:rPr>
          <w:color w:val="000000"/>
          <w:spacing w:val="-1"/>
        </w:rPr>
        <w:t>1.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Цена Договора </w:t>
      </w:r>
      <w:r>
        <w:rPr>
          <w:color w:val="000000"/>
          <w:spacing w:val="-1"/>
        </w:rPr>
        <w:t xml:space="preserve">в соответствии с расчетом стоимости (Приложение №1 к настоящему </w:t>
      </w:r>
      <w:r>
        <w:rPr>
          <w:color w:val="000000"/>
          <w:spacing w:val="-1"/>
        </w:rPr>
        <w:t>Д</w:t>
      </w:r>
      <w:r>
        <w:rPr>
          <w:color w:val="000000"/>
          <w:spacing w:val="-1"/>
        </w:rPr>
        <w:t xml:space="preserve">оговору) </w:t>
      </w:r>
      <w:r>
        <w:rPr>
          <w:b w:val="1"/>
          <w:color w:val="000000"/>
          <w:spacing w:val="-1"/>
        </w:rPr>
        <w:t xml:space="preserve">составляет </w:t>
      </w:r>
      <w:r>
        <w:rPr>
          <w:b w:val="1"/>
          <w:color w:val="000000"/>
          <w:spacing w:val="-1"/>
        </w:rPr>
        <w:t xml:space="preserve"> __________________________</w:t>
      </w:r>
      <w:r>
        <w:rPr>
          <w:b w:val="1"/>
          <w:color w:val="000000"/>
          <w:spacing w:val="-1"/>
        </w:rPr>
        <w:t xml:space="preserve">, </w:t>
      </w:r>
      <w:r>
        <w:rPr>
          <w:color w:val="000000"/>
          <w:spacing w:val="-1"/>
        </w:rPr>
        <w:t xml:space="preserve">НДС не облагается на основании </w:t>
      </w:r>
      <w:r>
        <w:rPr>
          <w:color w:val="000000"/>
          <w:spacing w:val="-1"/>
        </w:rPr>
        <w:t>п.п</w:t>
      </w:r>
      <w:r>
        <w:rPr>
          <w:color w:val="000000"/>
          <w:spacing w:val="-1"/>
        </w:rPr>
        <w:t>. 7 п. 3 Ст. 149 Налогового Кодекса Российской Федерации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и оплачивается Страховщику на основании счетов</w:t>
      </w:r>
      <w:bookmarkStart w:id="3" w:name="OLE_LINK40"/>
      <w:r>
        <w:rPr>
          <w:color w:val="000000"/>
          <w:spacing w:val="-1"/>
        </w:rPr>
        <w:t xml:space="preserve">, </w:t>
      </w:r>
      <w:r>
        <w:rPr>
          <w:color w:val="000000"/>
        </w:rPr>
        <w:t>предоставленных Страховщиком и оформленных в соответствии с требованиями законодательства</w:t>
      </w:r>
      <w:bookmarkEnd w:id="3"/>
      <w:r>
        <w:rPr>
          <w:color w:val="000000"/>
        </w:rPr>
        <w:t xml:space="preserve">, за счет средств </w:t>
      </w:r>
      <w:r>
        <w:t>учреждения</w:t>
      </w:r>
      <w:r>
        <w:t>.</w:t>
      </w:r>
    </w:p>
    <w:p w14:paraId="16000000">
      <w:pPr>
        <w:pStyle w:val="Style_1"/>
        <w:rPr>
          <w:b w:val="1"/>
          <w:u w:val="single"/>
        </w:rPr>
      </w:pPr>
    </w:p>
    <w:p w14:paraId="17000000">
      <w:pPr>
        <w:pStyle w:val="Style_1"/>
        <w:widowControl w:val="1"/>
        <w:ind w:firstLine="426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3. Порядок оказания </w:t>
      </w:r>
      <w:r>
        <w:rPr>
          <w:b w:val="1"/>
          <w:color w:val="000000"/>
        </w:rPr>
        <w:t xml:space="preserve">и оплаты </w:t>
      </w:r>
      <w:r>
        <w:rPr>
          <w:b w:val="1"/>
          <w:color w:val="000000"/>
        </w:rPr>
        <w:t>услуг</w:t>
      </w:r>
    </w:p>
    <w:p w14:paraId="18000000">
      <w:pPr>
        <w:pStyle w:val="Style_1"/>
        <w:widowControl w:val="1"/>
        <w:ind w:firstLine="426"/>
        <w:rPr>
          <w:color w:val="000000"/>
        </w:rPr>
      </w:pPr>
    </w:p>
    <w:p w14:paraId="19000000">
      <w:pPr>
        <w:pStyle w:val="Style_1"/>
        <w:widowControl w:val="1"/>
        <w:ind w:firstLine="426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>.</w:t>
      </w:r>
      <w:r>
        <w:rPr>
          <w:color w:val="000000"/>
        </w:rPr>
        <w:t>1</w:t>
      </w:r>
      <w:r>
        <w:rPr>
          <w:color w:val="000000"/>
        </w:rPr>
        <w:t xml:space="preserve">. </w:t>
      </w:r>
      <w:r>
        <w:t xml:space="preserve">Страховщик производит расчет страховой премии на дату заключения настоящего Договора в отношении каждого транспортного средства в соответствии с Тарифами, </w:t>
      </w:r>
      <w:r>
        <w:rPr>
          <w:rStyle w:val="Style_1_ch"/>
        </w:rPr>
        <w:t xml:space="preserve">установленными   в    соответствии    с  </w:t>
      </w:r>
      <w:r>
        <w:rPr>
          <w:rStyle w:val="Style_1_ch"/>
        </w:rPr>
        <w:t>Указание</w:t>
      </w:r>
      <w:r>
        <w:rPr>
          <w:rStyle w:val="Style_1_ch"/>
        </w:rPr>
        <w:t>м</w:t>
      </w:r>
      <w:r>
        <w:rPr>
          <w:rStyle w:val="Style_1_ch"/>
        </w:rPr>
        <w:t xml:space="preserve"> ЦБ РФ </w:t>
      </w:r>
      <w:r>
        <w:rPr>
          <w:rStyle w:val="Style_1_ch"/>
        </w:rPr>
        <w:t>от 9 октября 2025 года № 7204-У</w:t>
      </w:r>
      <w:r>
        <w:rPr>
          <w:rStyle w:val="Style_1_ch"/>
        </w:rPr>
        <w:t> </w:t>
      </w:r>
      <w:r>
        <w:rPr>
          <w:rStyle w:val="Style_1_ch"/>
        </w:rPr>
        <w:t xml:space="preserve">(в редакции от 4 мая 2026 года) «О страховых тарифах по обязательному страхованию гражданской ответственности владельцев транспортных средств». </w:t>
      </w:r>
      <w:r>
        <w:rPr>
          <w:rStyle w:val="Style_1_ch"/>
        </w:rPr>
        <w:t>, исходя из данных, предоставленных Страхователем, а так же на основании сведений о наличии/отсутствии страховых случаев, выявленных при оформлении страховых полисов</w:t>
      </w:r>
      <w:r>
        <w:t xml:space="preserve"> на транспортные средства в ходе проверки через автоматизированную информационную систему обязательного страхования АИС ОСАГО</w:t>
      </w:r>
      <w:r>
        <w:rPr>
          <w:color w:val="000000"/>
        </w:rPr>
        <w:t>.</w:t>
      </w:r>
    </w:p>
    <w:p w14:paraId="1A000000">
      <w:pPr>
        <w:widowControl w:val="1"/>
        <w:ind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Страхователь производит оплату в размере 100% подлежащей уплате страховой премии </w:t>
      </w:r>
      <w:bookmarkStart w:id="4" w:name="OLE_LINK38"/>
      <w:r>
        <w:rPr>
          <w:color w:val="000000"/>
          <w:sz w:val="24"/>
        </w:rPr>
        <w:t xml:space="preserve">по каждому транспортному средству не позднее даты начала страхования, </w:t>
      </w:r>
      <w:bookmarkStart w:id="5" w:name="OLE_LINK43"/>
      <w:bookmarkStart w:id="6" w:name="OLE_LINK41"/>
      <w:bookmarkStart w:id="7" w:name="OLE_LINK42"/>
      <w:r>
        <w:rPr>
          <w:color w:val="000000"/>
          <w:sz w:val="24"/>
        </w:rPr>
        <w:t>указанных в Приложении № 1 к настоящему Договору</w:t>
      </w:r>
      <w:bookmarkEnd w:id="5"/>
      <w:bookmarkEnd w:id="6"/>
      <w:bookmarkEnd w:id="7"/>
      <w:r>
        <w:rPr>
          <w:color w:val="000000"/>
          <w:sz w:val="24"/>
        </w:rPr>
        <w:t xml:space="preserve">. Оплата страховой премии осуществляется </w:t>
      </w:r>
      <w:bookmarkStart w:id="8" w:name="OLE_LINK39"/>
      <w:r>
        <w:rPr>
          <w:color w:val="000000"/>
          <w:sz w:val="24"/>
        </w:rPr>
        <w:t xml:space="preserve">путем перечисления денежных средств с расчетного счета Страхователя на расчетный счет Страховщика </w:t>
      </w:r>
      <w:bookmarkEnd w:id="8"/>
      <w:r>
        <w:rPr>
          <w:color w:val="000000"/>
          <w:sz w:val="24"/>
        </w:rPr>
        <w:t>на основании счетов на оплату</w:t>
      </w:r>
      <w:r>
        <w:rPr>
          <w:color w:val="000000"/>
          <w:spacing w:val="-1"/>
          <w:sz w:val="24"/>
        </w:rPr>
        <w:t xml:space="preserve">, </w:t>
      </w:r>
      <w:r>
        <w:rPr>
          <w:color w:val="000000"/>
          <w:sz w:val="24"/>
        </w:rPr>
        <w:t>предоставленных Страховщиком и оформленных в соответствии с требованиями законодательства. Датой уплаты страховой премии считается день поступления страховой премии на расчетный счет Страховщика</w:t>
      </w:r>
      <w:bookmarkEnd w:id="4"/>
      <w:r>
        <w:rPr>
          <w:color w:val="000000"/>
          <w:sz w:val="24"/>
        </w:rPr>
        <w:t>.</w:t>
      </w:r>
    </w:p>
    <w:p w14:paraId="1B000000">
      <w:pPr>
        <w:pStyle w:val="Style_1"/>
        <w:widowControl w:val="1"/>
        <w:ind w:firstLine="426"/>
      </w:pPr>
      <w:r>
        <w:rPr>
          <w:color w:val="000000"/>
        </w:rPr>
        <w:t>3.3. Страховщик передает Страхователю полисы на</w:t>
      </w:r>
      <w:r>
        <w:rPr>
          <w:color w:val="000000"/>
        </w:rPr>
        <w:t xml:space="preserve"> каждо</w:t>
      </w:r>
      <w:r>
        <w:rPr>
          <w:color w:val="000000"/>
        </w:rPr>
        <w:t>е</w:t>
      </w:r>
      <w:r>
        <w:rPr>
          <w:color w:val="000000"/>
        </w:rPr>
        <w:t xml:space="preserve"> транспортно</w:t>
      </w:r>
      <w:r>
        <w:rPr>
          <w:color w:val="000000"/>
        </w:rPr>
        <w:t>е</w:t>
      </w:r>
      <w:r>
        <w:rPr>
          <w:color w:val="000000"/>
        </w:rPr>
        <w:t xml:space="preserve"> средств</w:t>
      </w:r>
      <w:r>
        <w:rPr>
          <w:color w:val="000000"/>
        </w:rPr>
        <w:t xml:space="preserve">о </w:t>
      </w:r>
      <w:r>
        <w:t xml:space="preserve">не позднее даты начала страхования, указанных в Приложении № 1 к настоящему Договору. </w:t>
      </w:r>
    </w:p>
    <w:p w14:paraId="1C000000">
      <w:pPr>
        <w:pStyle w:val="Style_1"/>
        <w:widowControl w:val="1"/>
        <w:ind w:firstLine="426"/>
      </w:pPr>
      <w:r>
        <w:t>3.4.</w:t>
      </w:r>
      <w:r>
        <w:t xml:space="preserve"> </w:t>
      </w:r>
      <w:r>
        <w:t>Оплата по Договору осуществляется за счет средств федерального бюджета, предусмотренных на указанные цели Федеральному казенному учреждению «Главное бюро медико-социальной экспертизы по Республике Крым» Министерства труда и социальной защиты Российской Федерации на 2026</w:t>
      </w:r>
      <w:r>
        <w:t xml:space="preserve"> год</w:t>
      </w:r>
      <w:r>
        <w:t>,</w:t>
      </w:r>
      <w:r>
        <w:t xml:space="preserve"> </w:t>
      </w:r>
      <w:r>
        <w:t>п</w:t>
      </w:r>
      <w:r>
        <w:t>утем</w:t>
      </w:r>
      <w:r>
        <w:t xml:space="preserve"> безналичного перевода денежных средств в валюте Российской Федерации (рубль) на расчетный счет </w:t>
      </w:r>
      <w:r>
        <w:rPr>
          <w:color w:val="000000"/>
        </w:rPr>
        <w:t>Страховщика</w:t>
      </w:r>
      <w:r>
        <w:t>.</w:t>
      </w:r>
    </w:p>
    <w:p w14:paraId="1D000000">
      <w:pPr>
        <w:pStyle w:val="Style_1"/>
        <w:widowControl w:val="1"/>
        <w:ind w:firstLine="426"/>
      </w:pPr>
      <w:r>
        <w:t>3.5. Цена Договора является твердой и не может изменяться в ходе исполнения Договора, за исключением случаев, установленных законодательством Российской Федерации.</w:t>
      </w:r>
    </w:p>
    <w:p w14:paraId="1E000000">
      <w:pPr>
        <w:pStyle w:val="Style_1"/>
        <w:widowControl w:val="1"/>
        <w:ind w:firstLine="426"/>
      </w:pPr>
      <w:r>
        <w:t>3.6. По окончании исполнения Сторонами обязательств по Договору Страховщик в течение 3 (трёх) рабочих дней представляет Страхователю Акт сверки расчетов по Договору.</w:t>
      </w:r>
    </w:p>
    <w:p w14:paraId="1F000000">
      <w:pPr>
        <w:pStyle w:val="Style_1"/>
        <w:widowControl w:val="1"/>
        <w:ind w:firstLine="426"/>
        <w:jc w:val="center"/>
        <w:rPr>
          <w:b w:val="1"/>
        </w:rPr>
      </w:pPr>
    </w:p>
    <w:p w14:paraId="20000000">
      <w:pPr>
        <w:pStyle w:val="Style_1"/>
        <w:widowControl w:val="1"/>
        <w:ind w:firstLine="426"/>
        <w:jc w:val="center"/>
        <w:rPr>
          <w:b w:val="1"/>
        </w:rPr>
      </w:pPr>
      <w:r>
        <w:rPr>
          <w:b w:val="1"/>
        </w:rPr>
        <w:t>4. Страховая сумма</w:t>
      </w:r>
    </w:p>
    <w:p w14:paraId="21000000">
      <w:pPr>
        <w:pStyle w:val="Style_1"/>
        <w:widowControl w:val="1"/>
        <w:ind w:firstLine="426"/>
        <w:jc w:val="center"/>
      </w:pPr>
    </w:p>
    <w:p w14:paraId="22000000">
      <w:pPr>
        <w:pStyle w:val="Style_2"/>
        <w:widowControl w:val="1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Страховая  сумма</w:t>
      </w:r>
      <w:r>
        <w:rPr>
          <w:rFonts w:ascii="Times New Roman" w:hAnsi="Times New Roman"/>
          <w:sz w:val="24"/>
        </w:rPr>
        <w:t>, в пределах которой страховщик при наступлении каждого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страхового  случая  (независимо  от  количества страховых случаев в течение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срока   страхования   по   договору  обязательного  страхования)  обязуется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возместить потерпевшим причиненный вред, установлена Федеральным законом 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25  апреля  2002  года 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 40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ФЗ 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Об  обязательном страховании гражданской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ответственности владельцев транспортных средств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в редакции, действующей 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дату заключения настоящего договора.</w:t>
      </w: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 Страховой  случай  -  наступление гражданской ответственности владельца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транспортного  средства  за  причинение вреда жизни, здоровью или имуществу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потерпевших  при  использовании транспортного средства, влекущее за собой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  с договором обязательного страхования обязанность страховщика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осуществить страховую выплату.</w:t>
      </w:r>
    </w:p>
    <w:p w14:paraId="24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center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 Права и обязанности Сторон</w:t>
      </w:r>
    </w:p>
    <w:p w14:paraId="28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29000000">
      <w:pPr>
        <w:widowControl w:val="1"/>
        <w:spacing w:before="5"/>
        <w:ind/>
        <w:jc w:val="both"/>
        <w:rPr>
          <w:color w:val="000000"/>
          <w:spacing w:val="-1"/>
          <w:sz w:val="24"/>
        </w:rPr>
      </w:pPr>
      <w:r>
        <w:rPr>
          <w:color w:val="000000"/>
          <w:sz w:val="24"/>
        </w:rPr>
        <w:t xml:space="preserve">       </w:t>
      </w:r>
      <w:r>
        <w:rPr>
          <w:color w:val="000000"/>
          <w:sz w:val="24"/>
        </w:rPr>
        <w:t xml:space="preserve"> 5</w:t>
      </w:r>
      <w:r>
        <w:rPr>
          <w:color w:val="000000"/>
          <w:spacing w:val="-1"/>
          <w:sz w:val="24"/>
        </w:rPr>
        <w:t>.1. При     наступлении     дорожно-транспортного     происшествия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Страхователь обязан сообщать Страховщику в письменной  форме обо всех случаях  причинения вреда при использовании транспортного средства, которые могут повлечь  за собой    гражданскую    ответственность    Страхователя     в     течении  1</w:t>
      </w:r>
      <w:r>
        <w:rPr>
          <w:color w:val="000000"/>
          <w:spacing w:val="-1"/>
          <w:sz w:val="24"/>
        </w:rPr>
        <w:t>-го</w:t>
      </w:r>
      <w:r>
        <w:rPr>
          <w:color w:val="000000"/>
          <w:spacing w:val="-1"/>
          <w:sz w:val="24"/>
        </w:rPr>
        <w:t xml:space="preserve"> дня с момента происшествия.</w:t>
      </w:r>
    </w:p>
    <w:p w14:paraId="2A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.2. В период действия </w:t>
      </w:r>
      <w:r>
        <w:rPr>
          <w:rFonts w:ascii="Times New Roman" w:hAnsi="Times New Roman"/>
          <w:sz w:val="24"/>
        </w:rPr>
        <w:t>настоящего  Договора</w:t>
      </w:r>
      <w:r>
        <w:rPr>
          <w:rFonts w:ascii="Times New Roman" w:hAnsi="Times New Roman"/>
          <w:sz w:val="24"/>
        </w:rPr>
        <w:t xml:space="preserve">  Страхователь  обязан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незамедлительно сообщать в  письменной  форме  Страховщику  об  изменении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сведений, указанных в заявлении о заключении настоящего Договора.</w:t>
      </w:r>
    </w:p>
    <w:p w14:paraId="2B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.3. При   заключении   настоящего   Договора   Страхователь обязан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предоставить Страховщику:</w:t>
      </w:r>
    </w:p>
    <w:p w14:paraId="2C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.3.1. </w:t>
      </w:r>
      <w:r>
        <w:rPr>
          <w:rFonts w:ascii="Times New Roman" w:hAnsi="Times New Roman"/>
          <w:sz w:val="24"/>
        </w:rPr>
        <w:t>Сведения  о</w:t>
      </w:r>
      <w:r>
        <w:rPr>
          <w:rFonts w:ascii="Times New Roman" w:hAnsi="Times New Roman"/>
          <w:sz w:val="24"/>
        </w:rPr>
        <w:t xml:space="preserve">  количестве  и  характере  наступивших страховых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случаев, об осуществленных  и  о  предстоящих  страховых  выплатах, сроке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страхования, рассматриваемых и неурегулированных требованиях потерпевших,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касающихся страховых выплат, и  иные  сведения  о  страховании  в  период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 договора обязательного страхования, представленные Страховщиком,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которым  был  заключен   последний  договор  обязательного страхования,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форме установленного образца.</w:t>
      </w:r>
    </w:p>
    <w:p w14:paraId="2D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</w:t>
      </w:r>
      <w:r>
        <w:rPr>
          <w:rFonts w:ascii="Times New Roman" w:hAnsi="Times New Roman"/>
          <w:sz w:val="24"/>
        </w:rPr>
        <w:t>.2. Сведения    о    страховании   в   отношении    собственника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транспортного средства.</w:t>
      </w:r>
    </w:p>
    <w:p w14:paraId="2E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</w:t>
      </w:r>
      <w:r>
        <w:rPr>
          <w:rFonts w:ascii="Times New Roman" w:hAnsi="Times New Roman"/>
          <w:sz w:val="24"/>
        </w:rPr>
        <w:t xml:space="preserve">. Страхователь   </w:t>
      </w:r>
      <w:r>
        <w:rPr>
          <w:rFonts w:ascii="Times New Roman" w:hAnsi="Times New Roman"/>
          <w:sz w:val="24"/>
        </w:rPr>
        <w:t>вправе  потребовать</w:t>
      </w:r>
      <w:r>
        <w:rPr>
          <w:rFonts w:ascii="Times New Roman" w:hAnsi="Times New Roman"/>
          <w:sz w:val="24"/>
        </w:rPr>
        <w:t xml:space="preserve">  от  Страховщика письменный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расчет страховой премии, подлежащей уплате.</w:t>
      </w:r>
    </w:p>
    <w:p w14:paraId="2F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  <w:highlight w:val="red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При  заключении</w:t>
      </w:r>
      <w:r>
        <w:rPr>
          <w:rFonts w:ascii="Times New Roman" w:hAnsi="Times New Roman"/>
          <w:sz w:val="24"/>
        </w:rPr>
        <w:t xml:space="preserve"> настоящего Договора Страховщик  обязан  выдать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Страхователю страховой полис</w:t>
      </w:r>
      <w:r>
        <w:rPr>
          <w:rFonts w:ascii="Times New Roman" w:hAnsi="Times New Roman"/>
          <w:sz w:val="24"/>
        </w:rPr>
        <w:t>.</w:t>
      </w:r>
    </w:p>
    <w:p w14:paraId="30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.7. При заключении настоящего </w:t>
      </w:r>
      <w:r>
        <w:rPr>
          <w:rFonts w:ascii="Times New Roman" w:hAnsi="Times New Roman"/>
          <w:sz w:val="24"/>
        </w:rPr>
        <w:t>Договора  Страховщик</w:t>
      </w:r>
      <w:r>
        <w:rPr>
          <w:rFonts w:ascii="Times New Roman" w:hAnsi="Times New Roman"/>
          <w:sz w:val="24"/>
        </w:rPr>
        <w:t xml:space="preserve"> вправе провести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осмотр транспортного средства по месту нахождения Страхователя.</w:t>
      </w:r>
    </w:p>
    <w:p w14:paraId="31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  <w:shd w:fill="FF6350" w:val="clear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.8. При получении от Страхователя заявления об изменении сведений,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указанных    в    заявлении    о    заключении     настоящего   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 (</w:t>
      </w:r>
      <w:r>
        <w:rPr>
          <w:rFonts w:ascii="Times New Roman" w:hAnsi="Times New Roman"/>
          <w:sz w:val="24"/>
        </w:rPr>
        <w:t>или)  представленных  при  заключении  Договора,  Страховщик   вправе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потребовать  от  Страхователя  уплаты  при  необходимости  дополнительной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страховой  премии  соразмерно  увеличению степени  риска  и  переоформить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страховой полис обязательного  страхования  исходя  из  страховых тарифов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 обязательному страховани</w:t>
      </w:r>
      <w:r>
        <w:rPr>
          <w:rFonts w:ascii="Times New Roman" w:hAnsi="Times New Roman"/>
          <w:sz w:val="24"/>
        </w:rPr>
        <w:t>ю.</w:t>
      </w:r>
      <w:r>
        <w:rPr>
          <w:rFonts w:ascii="Times New Roman" w:hAnsi="Times New Roman"/>
          <w:sz w:val="24"/>
        </w:rPr>
        <w:t xml:space="preserve"> </w:t>
      </w:r>
    </w:p>
    <w:p w14:paraId="32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</w:p>
    <w:p w14:paraId="33000000">
      <w:pPr>
        <w:pStyle w:val="Style_2"/>
        <w:widowControl w:val="1"/>
        <w:ind w:firstLine="70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Прочие условия Договора</w:t>
      </w:r>
    </w:p>
    <w:p w14:paraId="34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>1.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Круг лиц , допущенных к управлению транспортными средствами Страхователя - неограниченный.</w:t>
      </w:r>
    </w:p>
    <w:p w14:paraId="35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6.2</w:t>
      </w:r>
      <w:r>
        <w:rPr>
          <w:color w:val="000000"/>
          <w:spacing w:val="-1"/>
          <w:sz w:val="24"/>
        </w:rPr>
        <w:t>. Страховой полис действует на территории Российской Федерации. Срок действия каждого страхового полиса - один год.</w:t>
      </w:r>
    </w:p>
    <w:p w14:paraId="36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6.3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Подписывая настоящий </w:t>
      </w:r>
      <w:r>
        <w:rPr>
          <w:color w:val="000000"/>
          <w:spacing w:val="-1"/>
          <w:sz w:val="24"/>
        </w:rPr>
        <w:t>д</w:t>
      </w:r>
      <w:r>
        <w:rPr>
          <w:color w:val="000000"/>
          <w:spacing w:val="-1"/>
          <w:sz w:val="24"/>
        </w:rPr>
        <w:t>оговор, Стороны подтверждают, что объем прав и обязанностей Сторон, а также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применимая к настоящему </w:t>
      </w:r>
      <w:r>
        <w:rPr>
          <w:color w:val="000000"/>
          <w:spacing w:val="-1"/>
          <w:sz w:val="24"/>
        </w:rPr>
        <w:t>д</w:t>
      </w:r>
      <w:r>
        <w:rPr>
          <w:color w:val="000000"/>
          <w:spacing w:val="-1"/>
          <w:sz w:val="24"/>
        </w:rPr>
        <w:t>оговору терминология определяется в соответствие с Правилами.</w:t>
      </w:r>
    </w:p>
    <w:p w14:paraId="37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6.4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 xml:space="preserve">Документом,   </w:t>
      </w:r>
      <w:r>
        <w:rPr>
          <w:color w:val="000000"/>
          <w:spacing w:val="-1"/>
          <w:sz w:val="24"/>
        </w:rPr>
        <w:t>подтверждающим</w:t>
      </w:r>
      <w:r>
        <w:rPr>
          <w:color w:val="000000"/>
          <w:spacing w:val="-1"/>
          <w:sz w:val="24"/>
        </w:rPr>
        <w:t xml:space="preserve">   осуществление   обязательного   страхования,   является   страховой   полис,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оформляемый Страховщиком на каждое транспортное средство, сведения о которых представлены Страхователем в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заявлении о заключении договора   обязательного страхования.</w:t>
      </w:r>
    </w:p>
    <w:p w14:paraId="38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6.5</w:t>
      </w:r>
      <w:r>
        <w:rPr>
          <w:color w:val="000000"/>
          <w:spacing w:val="-1"/>
          <w:sz w:val="24"/>
        </w:rPr>
        <w:t xml:space="preserve">. Стороны согласовали, что Страховщик передает Страхователю страховые полисы и прилагаемые к ним документы для транспортных средств, по которым произведена оплата страховой премии - не позднее </w:t>
      </w:r>
      <w:r>
        <w:rPr>
          <w:color w:val="000000"/>
          <w:spacing w:val="-1"/>
          <w:sz w:val="24"/>
        </w:rPr>
        <w:t>трех</w:t>
      </w:r>
      <w:r>
        <w:rPr>
          <w:color w:val="000000"/>
          <w:spacing w:val="-1"/>
          <w:sz w:val="24"/>
        </w:rPr>
        <w:t xml:space="preserve"> рабоч</w:t>
      </w:r>
      <w:r>
        <w:rPr>
          <w:color w:val="000000"/>
          <w:spacing w:val="-1"/>
          <w:sz w:val="24"/>
        </w:rPr>
        <w:t>их</w:t>
      </w:r>
      <w:r>
        <w:rPr>
          <w:color w:val="000000"/>
          <w:spacing w:val="-1"/>
          <w:sz w:val="24"/>
        </w:rPr>
        <w:t xml:space="preserve"> дн</w:t>
      </w:r>
      <w:r>
        <w:rPr>
          <w:color w:val="000000"/>
          <w:spacing w:val="-1"/>
          <w:sz w:val="24"/>
        </w:rPr>
        <w:t>ей</w:t>
      </w:r>
      <w:r>
        <w:rPr>
          <w:color w:val="000000"/>
          <w:spacing w:val="-1"/>
          <w:sz w:val="24"/>
        </w:rPr>
        <w:t>, следующ</w:t>
      </w:r>
      <w:r>
        <w:rPr>
          <w:color w:val="000000"/>
          <w:spacing w:val="-1"/>
          <w:sz w:val="24"/>
        </w:rPr>
        <w:t>их</w:t>
      </w:r>
      <w:r>
        <w:rPr>
          <w:color w:val="000000"/>
          <w:spacing w:val="-1"/>
          <w:sz w:val="24"/>
        </w:rPr>
        <w:t xml:space="preserve"> за днем перечисления Страховщику страховой премии в соответствие с настоящим договором. Факт оплаты страховой премии должен быть подтвержден Страхователем путем предъявления Страховщику платежных поручений с отметкой банка о приеме платежа в пользу Страховщика  к </w:t>
      </w:r>
      <w:r>
        <w:rPr>
          <w:color w:val="000000"/>
          <w:spacing w:val="-1"/>
          <w:sz w:val="24"/>
        </w:rPr>
        <w:t>исполнению.</w:t>
      </w:r>
      <w:r>
        <w:rPr>
          <w:color w:val="000000"/>
          <w:spacing w:val="-1"/>
          <w:sz w:val="24"/>
        </w:rPr>
        <w:t xml:space="preserve"> Уведомление происходит путем направления платежных </w:t>
      </w:r>
      <w:r>
        <w:rPr>
          <w:color w:val="000000"/>
          <w:spacing w:val="-1"/>
          <w:sz w:val="24"/>
        </w:rPr>
        <w:t>поручений на электронный адрес Страхователя.</w:t>
      </w:r>
    </w:p>
    <w:p w14:paraId="39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6.6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Стороны согласовали, что при возникновении необходимости   получения страховых полисов   на иные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транспортные   средства,    которые не учитывались при расчете страховой премии, указанной в п. 2 настоящегоДоговора, или внесения каких- либо иных изменений в настоящий Договор или выданные Страховщиком страховые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полисы, Страхователь предоставляет Страховщику заявление для внесения соответствующих изменений</w:t>
      </w:r>
      <w:r>
        <w:rPr>
          <w:color w:val="000000"/>
          <w:spacing w:val="-1"/>
          <w:sz w:val="24"/>
        </w:rPr>
        <w:t>.</w:t>
      </w:r>
    </w:p>
    <w:p w14:paraId="3A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6.7. Подписанием настоящего Договора Страховщик подтверждает свое соответствие единым требованиям, устано</w:t>
      </w:r>
      <w:r>
        <w:rPr>
          <w:color w:val="000000"/>
          <w:spacing w:val="-1"/>
          <w:sz w:val="24"/>
        </w:rPr>
        <w:t xml:space="preserve">вленным в части </w:t>
      </w:r>
      <w:r>
        <w:rPr>
          <w:color w:val="000000"/>
          <w:spacing w:val="-1"/>
          <w:sz w:val="24"/>
        </w:rPr>
        <w:t>1  статьи</w:t>
      </w:r>
      <w:r>
        <w:rPr>
          <w:color w:val="000000"/>
          <w:spacing w:val="-1"/>
          <w:sz w:val="24"/>
        </w:rPr>
        <w:t xml:space="preserve"> 31  </w:t>
      </w:r>
      <w:r>
        <w:rPr>
          <w:color w:val="000000"/>
          <w:spacing w:val="-1"/>
          <w:sz w:val="24"/>
        </w:rPr>
        <w:t>Федерального закона от 05 апреля 2013 г. № 44 - 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 xml:space="preserve"> </w:t>
      </w:r>
    </w:p>
    <w:p w14:paraId="3B000000">
      <w:pPr>
        <w:widowControl w:val="1"/>
        <w:spacing w:before="5"/>
        <w:ind w:firstLine="567"/>
        <w:jc w:val="both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 xml:space="preserve">                                 </w:t>
      </w:r>
    </w:p>
    <w:p w14:paraId="3C000000">
      <w:pPr>
        <w:widowControl w:val="1"/>
        <w:spacing w:before="5"/>
        <w:ind w:firstLine="543" w:left="24"/>
        <w:jc w:val="center"/>
        <w:rPr>
          <w:b w:val="1"/>
          <w:color w:val="000000"/>
          <w:spacing w:val="-1"/>
          <w:sz w:val="24"/>
        </w:rPr>
      </w:pPr>
      <w:r>
        <w:rPr>
          <w:b w:val="1"/>
          <w:color w:val="000000"/>
          <w:spacing w:val="-1"/>
          <w:sz w:val="24"/>
        </w:rPr>
        <w:t>7. Срок действия Договора</w:t>
      </w:r>
    </w:p>
    <w:p w14:paraId="3D000000">
      <w:pPr>
        <w:widowControl w:val="1"/>
        <w:spacing w:before="5"/>
        <w:ind w:firstLine="543" w:left="24"/>
        <w:jc w:val="center"/>
        <w:rPr>
          <w:b w:val="1"/>
          <w:color w:val="000000"/>
          <w:spacing w:val="-1"/>
          <w:sz w:val="24"/>
        </w:rPr>
      </w:pPr>
    </w:p>
    <w:p w14:paraId="3E000000">
      <w:pPr>
        <w:widowControl w:val="1"/>
        <w:spacing w:before="5"/>
        <w:ind w:firstLine="402" w:left="24"/>
        <w:jc w:val="both"/>
        <w:rPr>
          <w:color w:val="000000"/>
          <w:spacing w:val="-1"/>
          <w:sz w:val="24"/>
        </w:rPr>
      </w:pPr>
      <w:bookmarkStart w:id="9" w:name="OLE_LINK45"/>
      <w:r>
        <w:rPr>
          <w:color w:val="000000"/>
          <w:spacing w:val="-1"/>
          <w:sz w:val="24"/>
        </w:rPr>
        <w:t>7.1</w:t>
      </w:r>
      <w:r>
        <w:rPr>
          <w:color w:val="000000"/>
          <w:spacing w:val="-1"/>
          <w:sz w:val="24"/>
        </w:rPr>
        <w:t>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Настоящий Договор   составлен в двух подлинных экземплярах, по одному для каждой из Сторон. При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 xml:space="preserve">подписании   настоящего   </w:t>
      </w:r>
      <w:r>
        <w:rPr>
          <w:color w:val="000000"/>
          <w:spacing w:val="-1"/>
          <w:sz w:val="24"/>
        </w:rPr>
        <w:t>Договора,  Страховщик</w:t>
      </w:r>
      <w:r>
        <w:rPr>
          <w:color w:val="000000"/>
          <w:spacing w:val="-1"/>
          <w:sz w:val="24"/>
        </w:rPr>
        <w:t xml:space="preserve">   передал     Страхователю   экземпляр     Правил  и   перечень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представителей Страховщика в субъектах РФ. Настоящий Договор вступает в силу с момента под</w:t>
      </w:r>
      <w:r>
        <w:rPr>
          <w:color w:val="000000"/>
          <w:spacing w:val="-1"/>
          <w:sz w:val="24"/>
        </w:rPr>
        <w:t xml:space="preserve">писания Сторонами и действует до      </w:t>
      </w:r>
      <w:r>
        <w:rPr>
          <w:color w:val="000000"/>
          <w:spacing w:val="-1"/>
          <w:sz w:val="24"/>
        </w:rPr>
        <w:t>31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дека</w:t>
      </w:r>
      <w:r>
        <w:rPr>
          <w:color w:val="000000"/>
          <w:spacing w:val="-1"/>
          <w:sz w:val="24"/>
        </w:rPr>
        <w:t>бря</w:t>
      </w:r>
      <w:r>
        <w:rPr>
          <w:color w:val="000000"/>
          <w:spacing w:val="-1"/>
          <w:sz w:val="24"/>
        </w:rPr>
        <w:t xml:space="preserve"> 20</w:t>
      </w:r>
      <w:r>
        <w:rPr>
          <w:color w:val="000000"/>
          <w:spacing w:val="-1"/>
          <w:sz w:val="24"/>
        </w:rPr>
        <w:t>26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г.</w:t>
      </w:r>
      <w:r>
        <w:rPr>
          <w:color w:val="000000"/>
          <w:spacing w:val="-1"/>
          <w:sz w:val="24"/>
        </w:rPr>
        <w:t xml:space="preserve">, а в части действия полисов – в течение одного </w:t>
      </w:r>
      <w:r>
        <w:rPr>
          <w:color w:val="000000"/>
          <w:spacing w:val="-1"/>
          <w:sz w:val="24"/>
        </w:rPr>
        <w:t>календарного  года</w:t>
      </w:r>
      <w:r>
        <w:rPr>
          <w:color w:val="000000"/>
          <w:spacing w:val="-1"/>
          <w:sz w:val="24"/>
        </w:rPr>
        <w:t xml:space="preserve"> с дат</w:t>
      </w:r>
      <w:r>
        <w:rPr>
          <w:color w:val="000000"/>
          <w:spacing w:val="-1"/>
          <w:sz w:val="24"/>
        </w:rPr>
        <w:t>ы</w:t>
      </w:r>
      <w:r>
        <w:rPr>
          <w:color w:val="000000"/>
          <w:spacing w:val="-1"/>
          <w:sz w:val="24"/>
        </w:rPr>
        <w:t xml:space="preserve"> начала страхования</w:t>
      </w:r>
      <w:r>
        <w:rPr>
          <w:color w:val="000000"/>
          <w:spacing w:val="-1"/>
          <w:sz w:val="24"/>
        </w:rPr>
        <w:t>.</w:t>
      </w:r>
      <w:bookmarkEnd w:id="9"/>
    </w:p>
    <w:p w14:paraId="3F000000">
      <w:pPr>
        <w:widowControl w:val="1"/>
        <w:spacing w:line="360" w:lineRule="auto"/>
        <w:ind w:firstLine="851" w:right="140"/>
        <w:jc w:val="center"/>
        <w:rPr>
          <w:rFonts w:ascii="Calibri" w:hAnsi="Calibri"/>
          <w:sz w:val="22"/>
        </w:rPr>
      </w:pPr>
      <w:r>
        <w:rPr>
          <w:b w:val="1"/>
          <w:color w:val="000000"/>
          <w:sz w:val="24"/>
        </w:rPr>
        <w:t>8</w:t>
      </w:r>
      <w:r>
        <w:rPr>
          <w:b w:val="1"/>
          <w:color w:val="000000"/>
          <w:sz w:val="24"/>
        </w:rPr>
        <w:t>. Перечень приложений</w:t>
      </w:r>
    </w:p>
    <w:p w14:paraId="40000000">
      <w:pPr>
        <w:widowControl w:val="1"/>
        <w:ind/>
        <w:jc w:val="both"/>
        <w:rPr>
          <w:rFonts w:ascii="Calibri" w:hAnsi="Calibri"/>
          <w:sz w:val="22"/>
        </w:rPr>
      </w:pPr>
      <w:r>
        <w:rPr>
          <w:color w:val="000000"/>
          <w:sz w:val="24"/>
        </w:rPr>
        <w:t xml:space="preserve">       8</w:t>
      </w:r>
      <w:r>
        <w:rPr>
          <w:color w:val="000000"/>
          <w:sz w:val="24"/>
        </w:rPr>
        <w:t>.1. Неотъемлемой частью настоящего Договора</w:t>
      </w:r>
      <w:r>
        <w:rPr>
          <w:sz w:val="24"/>
        </w:rPr>
        <w:t xml:space="preserve"> </w:t>
      </w:r>
      <w:r>
        <w:rPr>
          <w:color w:val="000000"/>
          <w:sz w:val="24"/>
        </w:rPr>
        <w:t>являются следующие приложения:</w:t>
      </w:r>
    </w:p>
    <w:p w14:paraId="41000000">
      <w:pPr>
        <w:widowControl w:val="1"/>
        <w:tabs>
          <w:tab w:leader="none" w:pos="1260" w:val="left"/>
        </w:tabs>
        <w:ind w:right="140"/>
        <w:jc w:val="both"/>
        <w:rPr>
          <w:color w:val="000000"/>
          <w:sz w:val="24"/>
        </w:rPr>
      </w:pPr>
      <w:r>
        <w:rPr>
          <w:color w:val="000000"/>
          <w:sz w:val="24"/>
        </w:rPr>
        <w:t>Прил</w:t>
      </w:r>
      <w:r>
        <w:rPr>
          <w:color w:val="000000"/>
          <w:sz w:val="24"/>
        </w:rPr>
        <w:t>ожение № 1 – Расчет стоимости страховой премии.</w:t>
      </w:r>
    </w:p>
    <w:p w14:paraId="42000000">
      <w:pPr>
        <w:rPr>
          <w:b w:val="1"/>
          <w:sz w:val="26"/>
        </w:rPr>
      </w:pPr>
    </w:p>
    <w:tbl>
      <w:tblPr>
        <w:tblStyle w:val="Style_3"/>
        <w:tblW w:type="auto" w:w="0"/>
        <w:tblInd w:type="dxa" w:w="709"/>
        <w:tblLayout w:type="fixed"/>
      </w:tblPr>
      <w:tblGrid>
        <w:gridCol w:w="4100"/>
        <w:gridCol w:w="4631"/>
      </w:tblGrid>
      <w:tr>
        <w:tc>
          <w:tcPr>
            <w:tcW w:type="dxa" w:w="4100"/>
          </w:tcPr>
          <w:p w14:paraId="43000000">
            <w:pPr>
              <w:widowControl w:val="1"/>
              <w:ind w:firstLine="0" w:left="0"/>
              <w:jc w:val="center"/>
              <w:rPr>
                <w:sz w:val="24"/>
              </w:rPr>
            </w:pPr>
            <w:bookmarkStart w:id="10" w:name="_Hlk342647834"/>
            <w:r>
              <w:rPr>
                <w:b w:val="1"/>
                <w:sz w:val="24"/>
              </w:rPr>
              <w:t>Страховщик:</w:t>
            </w:r>
          </w:p>
          <w:p w14:paraId="44000000">
            <w:pPr>
              <w:widowControl w:val="1"/>
              <w:ind w:firstLine="0" w:left="0"/>
              <w:rPr>
                <w:b w:val="1"/>
                <w:sz w:val="24"/>
              </w:rPr>
            </w:pPr>
          </w:p>
        </w:tc>
        <w:tc>
          <w:tcPr>
            <w:tcW w:type="dxa" w:w="4631"/>
          </w:tcPr>
          <w:p w14:paraId="45000000">
            <w:pPr>
              <w:widowControl w:val="1"/>
              <w:ind w:right="8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Страхователь:</w:t>
            </w:r>
          </w:p>
          <w:p w14:paraId="46000000">
            <w:pPr>
              <w:widowControl w:val="1"/>
              <w:ind w:left="-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Федеральное казенное учреждение «Главное бюро медико-социальной экспертизы по Республике Крым» Министерства труда и социальной защиты Российской Федерации </w:t>
            </w:r>
          </w:p>
          <w:p w14:paraId="47000000">
            <w:pPr>
              <w:widowControl w:val="1"/>
              <w:ind w:left="-15"/>
              <w:rPr>
                <w:sz w:val="24"/>
              </w:rPr>
            </w:pPr>
            <w:r>
              <w:rPr>
                <w:sz w:val="24"/>
              </w:rPr>
              <w:t xml:space="preserve">Юридический адрес: </w:t>
            </w:r>
          </w:p>
          <w:p w14:paraId="48000000">
            <w:pPr>
              <w:widowControl w:val="1"/>
              <w:ind w:firstLine="34" w:left="-15"/>
              <w:rPr>
                <w:sz w:val="24"/>
              </w:rPr>
            </w:pPr>
            <w:r>
              <w:rPr>
                <w:sz w:val="24"/>
              </w:rPr>
              <w:t>295024</w:t>
            </w:r>
            <w:r>
              <w:rPr>
                <w:sz w:val="24"/>
              </w:rPr>
              <w:t xml:space="preserve">, Республика Крым, </w:t>
            </w:r>
          </w:p>
          <w:p w14:paraId="49000000">
            <w:pPr>
              <w:widowControl w:val="1"/>
              <w:ind w:firstLine="34" w:left="-15"/>
              <w:rPr>
                <w:sz w:val="24"/>
              </w:rPr>
            </w:pPr>
            <w:r>
              <w:rPr>
                <w:sz w:val="24"/>
              </w:rPr>
              <w:t>г. Симферополь, ул. 1 Конной Армии, д. 17</w:t>
            </w:r>
            <w:r>
              <w:rPr>
                <w:sz w:val="24"/>
              </w:rPr>
              <w:t>Б</w:t>
            </w:r>
          </w:p>
          <w:p w14:paraId="4A000000">
            <w:pPr>
              <w:widowControl w:val="1"/>
              <w:ind w:firstLine="34" w:left="-15"/>
              <w:rPr>
                <w:sz w:val="24"/>
              </w:rPr>
            </w:pPr>
            <w:r>
              <w:rPr>
                <w:sz w:val="24"/>
              </w:rPr>
              <w:t>ИНН 9102009908, КПП 910201001</w:t>
            </w:r>
          </w:p>
          <w:p w14:paraId="4B000000">
            <w:pPr>
              <w:widowControl w:val="1"/>
              <w:ind w:firstLine="34" w:left="-15"/>
              <w:rPr>
                <w:sz w:val="24"/>
              </w:rPr>
            </w:pPr>
            <w:r>
              <w:rPr>
                <w:sz w:val="24"/>
              </w:rPr>
              <w:t>ОГРН 1149102013928</w:t>
            </w:r>
          </w:p>
          <w:p w14:paraId="4C000000">
            <w:pPr>
              <w:widowControl w:val="1"/>
              <w:ind w:firstLine="34" w:left="-15"/>
              <w:rPr>
                <w:sz w:val="24"/>
              </w:rPr>
            </w:pPr>
            <w:r>
              <w:rPr>
                <w:sz w:val="24"/>
              </w:rPr>
              <w:t>Банковские реквизиты:</w:t>
            </w:r>
          </w:p>
          <w:p w14:paraId="4D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Получатель: УФК по Республике Крым                    </w:t>
            </w:r>
            <w:r>
              <w:rPr>
                <w:color w:val="000000"/>
                <w:sz w:val="22"/>
              </w:rPr>
              <w:t xml:space="preserve">   (</w:t>
            </w:r>
            <w:r>
              <w:rPr>
                <w:color w:val="000000"/>
                <w:sz w:val="22"/>
              </w:rPr>
              <w:t xml:space="preserve">ФКУ «ГБ МСЭ ПО РЕСПУБЛИКЕ КРЫМ» МИНТРУДА РОССИИ, л/с 03751А92890) </w:t>
            </w:r>
          </w:p>
          <w:p w14:paraId="4E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Банк: ОТДЕЛЕНИЕ РЕСПУБЛИКА КРЫМ БАНКА РОССИИ//УФК</w:t>
            </w:r>
            <w:r>
              <w:rPr>
                <w:color w:val="000000"/>
                <w:sz w:val="22"/>
              </w:rPr>
              <w:t xml:space="preserve"> по Республике Крым                                         г. </w:t>
            </w:r>
            <w:r>
              <w:rPr>
                <w:color w:val="000000"/>
                <w:sz w:val="22"/>
              </w:rPr>
              <w:t>Симферополь</w:t>
            </w:r>
          </w:p>
          <w:p w14:paraId="4F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БИК 013510002 </w:t>
            </w:r>
          </w:p>
          <w:p w14:paraId="50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ЕКС 40102810645370000035</w:t>
            </w:r>
          </w:p>
          <w:p w14:paraId="51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Казначейский счет 03211643000000017500</w:t>
            </w:r>
          </w:p>
          <w:p w14:paraId="52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Еmail</w:t>
            </w:r>
            <w:r>
              <w:rPr>
                <w:color w:val="000000"/>
                <w:sz w:val="22"/>
              </w:rPr>
              <w:t>: msek2010@mail.ru</w:t>
            </w:r>
          </w:p>
          <w:p w14:paraId="53000000">
            <w:pPr>
              <w:widowControl w:val="1"/>
              <w:tabs>
                <w:tab w:leader="none" w:pos="1260" w:val="left"/>
              </w:tabs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тел. +7 (978) 1356047</w:t>
            </w:r>
          </w:p>
          <w:p w14:paraId="54000000">
            <w:pPr>
              <w:widowControl w:val="1"/>
              <w:ind w:left="-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Заместитель руководителя по </w:t>
            </w:r>
            <w:r>
              <w:rPr>
                <w:b w:val="1"/>
                <w:sz w:val="24"/>
              </w:rPr>
              <w:t>общим</w:t>
            </w:r>
            <w:r>
              <w:rPr>
                <w:b w:val="1"/>
                <w:sz w:val="24"/>
              </w:rPr>
              <w:t xml:space="preserve"> вопросам</w:t>
            </w:r>
            <w:r>
              <w:rPr>
                <w:b w:val="1"/>
                <w:sz w:val="24"/>
              </w:rPr>
              <w:t xml:space="preserve"> деятельности учреждения</w:t>
            </w:r>
          </w:p>
          <w:p w14:paraId="55000000">
            <w:pPr>
              <w:widowControl w:val="1"/>
              <w:ind w:left="-15"/>
              <w:rPr>
                <w:b w:val="1"/>
                <w:sz w:val="24"/>
              </w:rPr>
            </w:pPr>
          </w:p>
          <w:p w14:paraId="56000000">
            <w:pPr>
              <w:widowControl w:val="1"/>
              <w:ind w:left="-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__________________</w:t>
            </w:r>
            <w:r>
              <w:rPr>
                <w:b w:val="1"/>
                <w:sz w:val="24"/>
              </w:rPr>
              <w:t>И.П. Посторонко</w:t>
            </w:r>
          </w:p>
          <w:p w14:paraId="57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М.П.</w:t>
            </w:r>
          </w:p>
          <w:p w14:paraId="58000000">
            <w:pPr>
              <w:rPr>
                <w:b w:val="1"/>
                <w:sz w:val="24"/>
              </w:rPr>
            </w:pPr>
            <w:bookmarkEnd w:id="10"/>
          </w:p>
        </w:tc>
      </w:tr>
    </w:tbl>
    <w:p w14:paraId="59000000">
      <w:pPr>
        <w:sectPr>
          <w:type w:val="continuous"/>
          <w:pgSz w:h="16834" w:orient="portrait" w:w="11909"/>
          <w:pgMar w:bottom="1134" w:footer="720" w:gutter="0" w:header="720" w:left="1701" w:right="850" w:top="709"/>
        </w:sectPr>
      </w:pPr>
    </w:p>
    <w:p w14:paraId="5A000000">
      <w:pPr>
        <w:rPr>
          <w:b w:val="1"/>
          <w:sz w:val="26"/>
        </w:rPr>
      </w:pPr>
    </w:p>
    <w:p w14:paraId="5B000000">
      <w:pPr>
        <w:widowControl w:val="1"/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6"/>
        </w:rPr>
        <w:t>Приложение № 1</w:t>
      </w:r>
    </w:p>
    <w:p w14:paraId="5C000000">
      <w:pPr>
        <w:widowControl w:val="1"/>
        <w:ind w:left="11766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6"/>
        </w:rPr>
        <w:t xml:space="preserve">к договору № </w:t>
      </w:r>
      <w:r>
        <w:rPr>
          <w:sz w:val="26"/>
        </w:rPr>
        <w:t xml:space="preserve">                             </w:t>
      </w:r>
    </w:p>
    <w:p w14:paraId="5D000000">
      <w:pPr>
        <w:widowControl w:val="1"/>
        <w:ind/>
        <w:jc w:val="center"/>
        <w:rPr>
          <w:sz w:val="26"/>
        </w:rPr>
      </w:pPr>
    </w:p>
    <w:p w14:paraId="5E000000">
      <w:pPr>
        <w:widowControl w:val="1"/>
        <w:ind/>
        <w:jc w:val="right"/>
        <w:rPr>
          <w:sz w:val="26"/>
        </w:rPr>
      </w:pPr>
      <w:r>
        <w:rPr>
          <w:sz w:val="26"/>
        </w:rPr>
        <w:t xml:space="preserve">от </w:t>
      </w:r>
      <w:r>
        <w:rPr>
          <w:color w:val="000000"/>
          <w:spacing w:val="-2"/>
          <w:sz w:val="26"/>
        </w:rPr>
        <w:t>« _</w:t>
      </w:r>
      <w:r>
        <w:rPr>
          <w:color w:val="000000"/>
          <w:spacing w:val="-2"/>
          <w:sz w:val="26"/>
        </w:rPr>
        <w:t>_</w:t>
      </w:r>
      <w:r>
        <w:rPr>
          <w:color w:val="000000"/>
          <w:spacing w:val="-2"/>
          <w:sz w:val="26"/>
        </w:rPr>
        <w:t xml:space="preserve"> »  </w:t>
      </w:r>
      <w:r>
        <w:rPr>
          <w:color w:val="000000"/>
          <w:spacing w:val="-2"/>
          <w:sz w:val="26"/>
        </w:rPr>
        <w:t>__________</w:t>
      </w:r>
      <w:r>
        <w:rPr>
          <w:color w:val="000000"/>
          <w:spacing w:val="-2"/>
          <w:sz w:val="26"/>
        </w:rPr>
        <w:t xml:space="preserve"> </w:t>
      </w:r>
      <w:r>
        <w:rPr>
          <w:color w:val="000000"/>
          <w:spacing w:val="-2"/>
          <w:sz w:val="26"/>
        </w:rPr>
        <w:t>2026</w:t>
      </w:r>
      <w:r>
        <w:rPr>
          <w:color w:val="000000"/>
          <w:spacing w:val="-2"/>
          <w:sz w:val="26"/>
        </w:rPr>
        <w:t xml:space="preserve"> г.</w:t>
      </w:r>
    </w:p>
    <w:p w14:paraId="5F000000">
      <w:pPr>
        <w:widowControl w:val="1"/>
        <w:ind w:left="34"/>
        <w:jc w:val="center"/>
        <w:rPr>
          <w:b w:val="1"/>
        </w:rPr>
      </w:pPr>
      <w:r>
        <w:rPr>
          <w:b w:val="1"/>
          <w:sz w:val="26"/>
        </w:rPr>
        <w:t xml:space="preserve">    </w:t>
      </w:r>
      <w:r>
        <w:rPr>
          <w:b w:val="1"/>
        </w:rPr>
        <w:t>РАСЧЕТ  СТОИМОСТИ</w:t>
      </w:r>
      <w:r>
        <w:rPr>
          <w:b w:val="1"/>
        </w:rPr>
        <w:t xml:space="preserve"> СТРАХОВОЙ ПРЕМИИ</w:t>
      </w:r>
    </w:p>
    <w:p w14:paraId="60000000">
      <w:pPr>
        <w:widowControl w:val="1"/>
        <w:ind w:left="34"/>
        <w:jc w:val="center"/>
        <w:rPr>
          <w:b w:val="1"/>
        </w:rPr>
      </w:pPr>
    </w:p>
    <w:tbl>
      <w:tblPr>
        <w:tblStyle w:val="Style_3"/>
        <w:tblW w:type="auto" w:w="0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5"/>
        <w:gridCol w:w="3151"/>
        <w:gridCol w:w="708"/>
        <w:gridCol w:w="851"/>
        <w:gridCol w:w="709"/>
        <w:gridCol w:w="708"/>
        <w:gridCol w:w="709"/>
        <w:gridCol w:w="709"/>
        <w:gridCol w:w="1134"/>
        <w:gridCol w:w="2268"/>
        <w:gridCol w:w="1701"/>
        <w:gridCol w:w="1276"/>
      </w:tblGrid>
      <w:tr>
        <w:trPr>
          <w:trHeight w:hRule="atLeast" w:val="484"/>
        </w:trPr>
        <w:tc>
          <w:tcPr>
            <w:tcW w:type="dxa" w:w="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61000000">
            <w:pPr>
              <w:widowControl w:val="1"/>
              <w:spacing w:line="240" w:lineRule="atLeast"/>
              <w:ind/>
              <w:jc w:val="center"/>
            </w:pPr>
            <w:r>
              <w:t>№ п/п</w:t>
            </w:r>
          </w:p>
        </w:tc>
        <w:tc>
          <w:tcPr>
            <w:tcW w:type="dxa" w:w="31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62000000">
            <w:pPr>
              <w:widowControl w:val="1"/>
              <w:spacing w:line="240" w:lineRule="atLeast"/>
              <w:ind/>
              <w:jc w:val="center"/>
            </w:pPr>
            <w:r>
              <w:t>Марка; модель Т.С.;</w:t>
            </w:r>
          </w:p>
          <w:p w14:paraId="63000000">
            <w:pPr>
              <w:widowControl w:val="1"/>
              <w:spacing w:line="240" w:lineRule="atLeast"/>
              <w:ind/>
              <w:jc w:val="center"/>
            </w:pPr>
            <w:r>
              <w:t>гос. рег. знак;</w:t>
            </w:r>
          </w:p>
          <w:p w14:paraId="64000000">
            <w:pPr>
              <w:widowControl w:val="1"/>
              <w:spacing w:line="240" w:lineRule="atLeast"/>
              <w:ind/>
              <w:jc w:val="center"/>
            </w:pPr>
            <w:r>
              <w:t>категория Т.С.;</w:t>
            </w:r>
          </w:p>
          <w:p w14:paraId="65000000">
            <w:pPr>
              <w:widowControl w:val="1"/>
              <w:spacing w:line="240" w:lineRule="atLeast"/>
              <w:ind/>
              <w:jc w:val="center"/>
            </w:pPr>
            <w:r>
              <w:t xml:space="preserve">    год выпуска Т.С.;</w:t>
            </w:r>
          </w:p>
          <w:p w14:paraId="66000000">
            <w:pPr>
              <w:widowControl w:val="1"/>
              <w:spacing w:line="240" w:lineRule="atLeast"/>
              <w:ind/>
              <w:jc w:val="center"/>
            </w:pPr>
            <w:r>
              <w:t xml:space="preserve">мощность двигателя </w:t>
            </w:r>
            <w:r>
              <w:t>л.с</w:t>
            </w:r>
            <w:r>
              <w:t>.;</w:t>
            </w:r>
          </w:p>
          <w:p w14:paraId="67000000">
            <w:pPr>
              <w:widowControl w:val="1"/>
              <w:spacing w:line="240" w:lineRule="atLeast"/>
              <w:ind/>
              <w:jc w:val="center"/>
            </w:pPr>
            <w:r>
              <w:t xml:space="preserve">кол-во пассажирских мест </w:t>
            </w:r>
            <w:r>
              <w:t>Т.С.(</w:t>
            </w:r>
            <w:r>
              <w:t>для кат. D);</w:t>
            </w:r>
          </w:p>
          <w:p w14:paraId="68000000">
            <w:pPr>
              <w:widowControl w:val="1"/>
              <w:spacing w:line="240" w:lineRule="atLeast"/>
              <w:ind/>
              <w:jc w:val="center"/>
            </w:pPr>
            <w:r>
              <w:t>Макс. разрешенная масса (для кат. C)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 w14:paraId="69000000">
            <w:pPr>
              <w:widowControl w:val="1"/>
              <w:spacing w:line="228" w:lineRule="auto"/>
              <w:ind/>
              <w:jc w:val="center"/>
            </w:pPr>
            <w:r>
              <w:t>Класс бонус-</w:t>
            </w:r>
            <w:r>
              <w:t>малус</w:t>
            </w:r>
            <w:r>
              <w:t xml:space="preserve"> на начало срока страхования;</w:t>
            </w:r>
          </w:p>
          <w:p w14:paraId="6A000000">
            <w:pPr>
              <w:widowControl w:val="1"/>
              <w:spacing w:line="228" w:lineRule="auto"/>
              <w:ind/>
              <w:jc w:val="center"/>
            </w:pPr>
          </w:p>
        </w:tc>
        <w:tc>
          <w:tcPr>
            <w:tcW w:type="dxa" w:w="482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1"/>
              <w:spacing w:line="240" w:lineRule="atLeast"/>
              <w:ind/>
              <w:jc w:val="center"/>
            </w:pPr>
            <w:r>
              <w:t>Расчет страховой премии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line="240" w:lineRule="atLeast"/>
              <w:ind/>
              <w:jc w:val="center"/>
            </w:pPr>
            <w:r>
              <w:rPr>
                <w:color w:val="000000"/>
                <w:spacing w:val="-1"/>
              </w:rPr>
              <w:t xml:space="preserve">Идентификационный номер </w:t>
            </w:r>
            <w:r>
              <w:rPr>
                <w:color w:val="000000"/>
                <w:spacing w:val="-1"/>
              </w:rPr>
              <w:t>VIN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line="240" w:lineRule="atLeast"/>
              <w:ind/>
              <w:jc w:val="center"/>
            </w:pPr>
            <w:r>
              <w:rPr>
                <w:color w:val="000000"/>
                <w:spacing w:val="-1"/>
              </w:rPr>
              <w:t>Серия и номер Свидетельства о регистрации ТС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1"/>
              <w:spacing w:line="240" w:lineRule="atLeast"/>
              <w:ind/>
              <w:jc w:val="center"/>
            </w:pPr>
            <w:r>
              <w:t>Дата начала страхования</w:t>
            </w:r>
          </w:p>
        </w:tc>
      </w:tr>
      <w:tr>
        <w:trPr>
          <w:trHeight w:hRule="atLeast" w:val="1481"/>
        </w:trPr>
        <w:tc>
          <w:tcPr>
            <w:tcW w:type="dxa" w:w="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31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  <w:vAlign w:val="center"/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6F000000">
            <w:pPr>
              <w:widowControl w:val="1"/>
              <w:spacing w:line="240" w:lineRule="atLeast"/>
              <w:ind/>
              <w:jc w:val="center"/>
            </w:pPr>
            <w:r>
              <w:t>Тариф базовый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70000000">
            <w:pPr>
              <w:widowControl w:val="1"/>
              <w:spacing w:line="216" w:lineRule="auto"/>
              <w:ind/>
              <w:jc w:val="center"/>
            </w:pPr>
            <w:r>
              <w:t>кТ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71000000">
            <w:pPr>
              <w:widowControl w:val="1"/>
              <w:spacing w:line="240" w:lineRule="atLeast"/>
              <w:ind/>
              <w:jc w:val="center"/>
            </w:pPr>
            <w:r>
              <w:t>кБМ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72000000">
            <w:pPr>
              <w:widowControl w:val="1"/>
              <w:spacing w:line="240" w:lineRule="atLeast"/>
              <w:ind/>
              <w:jc w:val="center"/>
            </w:pPr>
            <w:r>
              <w:t>кО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73000000">
            <w:pPr>
              <w:widowControl w:val="1"/>
              <w:spacing w:line="240" w:lineRule="atLeast"/>
              <w:ind/>
              <w:jc w:val="center"/>
            </w:pPr>
            <w:r>
              <w:t>кМ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  <w:vAlign w:val="center"/>
          </w:tcPr>
          <w:p w14:paraId="74000000">
            <w:pPr>
              <w:widowControl w:val="1"/>
              <w:spacing w:line="240" w:lineRule="atLeast"/>
              <w:ind/>
              <w:jc w:val="center"/>
            </w:pPr>
            <w:r>
              <w:t>Итого</w:t>
            </w:r>
          </w:p>
          <w:p w14:paraId="75000000">
            <w:pPr>
              <w:widowControl w:val="1"/>
              <w:spacing w:line="240" w:lineRule="atLeast"/>
              <w:ind/>
              <w:jc w:val="center"/>
            </w:pPr>
            <w:r>
              <w:t>(</w:t>
            </w:r>
            <w:r>
              <w:t>руб</w:t>
            </w:r>
            <w:r>
              <w:t>)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61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ind/>
              <w:jc w:val="center"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ind w:right="-83"/>
              <w:jc w:val="center"/>
            </w:pPr>
            <w: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ind w:right="-83"/>
              <w:jc w:val="center"/>
            </w:pPr>
            <w:r>
              <w:t>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 w:right="-83"/>
              <w:jc w:val="center"/>
            </w:pPr>
            <w:r>
              <w:t>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ind w:right="-83"/>
              <w:jc w:val="center"/>
            </w:pPr>
            <w:r>
              <w:t>11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rPr>
                <w:color w:val="000000"/>
              </w:rPr>
            </w:pPr>
            <w:r>
              <w:rPr>
                <w:color w:val="000000"/>
              </w:rPr>
              <w:t>Lada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Largus</w:t>
            </w:r>
            <w:r>
              <w:rPr>
                <w:color w:val="000000"/>
              </w:rPr>
              <w:t xml:space="preserve">, К561ЕХ82, В, 2014 г., 104.7 </w:t>
            </w:r>
            <w:r>
              <w:rPr>
                <w:color w:val="000000"/>
              </w:rPr>
              <w:t>л.с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</w:pPr>
            <w: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ind/>
              <w:jc w:val="center"/>
            </w:pPr>
            <w: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ind/>
              <w:jc w:val="center"/>
            </w:pPr>
            <w: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</w:pPr>
            <w:r>
              <w:t>1,2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XTARS0Y5LE0841620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1"/>
              <w:ind w:right="-83"/>
              <w:jc w:val="center"/>
            </w:pPr>
            <w:r>
              <w:t>63НУ №362108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r>
              <w:t>01.11.2026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rPr>
                <w:color w:val="000000"/>
              </w:rPr>
            </w:pPr>
            <w:r>
              <w:rPr>
                <w:color w:val="000000"/>
              </w:rPr>
              <w:t>Lada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Largus</w:t>
            </w:r>
            <w:r>
              <w:rPr>
                <w:color w:val="000000"/>
              </w:rPr>
              <w:t xml:space="preserve">, К555ЕХ82, В, 2014 г., 104.7 </w:t>
            </w:r>
            <w:r>
              <w:rPr>
                <w:color w:val="000000"/>
              </w:rPr>
              <w:t>л.с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</w:pPr>
            <w: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</w:pPr>
            <w: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</w:pPr>
            <w: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ind/>
              <w:jc w:val="center"/>
            </w:pPr>
            <w:r>
              <w:t>1,2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ind/>
              <w:jc w:val="center"/>
              <w:rPr>
                <w:color w:val="000000"/>
              </w:rPr>
            </w:pPr>
            <w:r>
              <w:t>XTARS0Y5LE0847483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1"/>
              <w:ind w:right="-83"/>
              <w:jc w:val="center"/>
            </w:pPr>
            <w:r>
              <w:t>63НУ №384477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r>
              <w:t>01.11.2026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rPr>
                <w:color w:val="000000"/>
              </w:rPr>
            </w:pPr>
            <w:r>
              <w:rPr>
                <w:color w:val="000000"/>
              </w:rPr>
              <w:t>Lada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Largus</w:t>
            </w:r>
            <w:r>
              <w:rPr>
                <w:color w:val="000000"/>
              </w:rPr>
              <w:t xml:space="preserve">, К564ЕХ82, В, 2014 г., 104.7 </w:t>
            </w:r>
            <w:r>
              <w:rPr>
                <w:color w:val="000000"/>
              </w:rPr>
              <w:t>л.с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</w:pPr>
            <w: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ind/>
              <w:jc w:val="center"/>
            </w:pPr>
            <w: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ind/>
              <w:jc w:val="center"/>
            </w:pPr>
            <w: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ind/>
              <w:jc w:val="center"/>
            </w:pPr>
            <w:r>
              <w:t>1,2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ind/>
              <w:jc w:val="center"/>
              <w:rPr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ind/>
              <w:jc w:val="center"/>
              <w:rPr>
                <w:color w:val="000000"/>
              </w:rPr>
            </w:pPr>
            <w:r>
              <w:t>XTARS0Y5LF0853953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1"/>
              <w:ind w:right="-83"/>
              <w:jc w:val="center"/>
            </w:pPr>
            <w:r>
              <w:t>63НУ №396654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r>
              <w:t>01.11.2026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rPr>
                <w:color w:val="000000"/>
              </w:rPr>
            </w:pPr>
            <w:r>
              <w:rPr>
                <w:color w:val="000000"/>
              </w:rPr>
              <w:t>Lada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Largus</w:t>
            </w:r>
            <w:r>
              <w:rPr>
                <w:color w:val="000000"/>
              </w:rPr>
              <w:t xml:space="preserve">, К563ЕХ82, В, 2014 г., 104.7 </w:t>
            </w:r>
            <w:r>
              <w:rPr>
                <w:color w:val="000000"/>
              </w:rPr>
              <w:t>л.с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</w:pPr>
            <w: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</w:pPr>
            <w: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center"/>
            </w:pPr>
            <w: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ind/>
              <w:jc w:val="center"/>
            </w:pPr>
            <w:r>
              <w:t>1,2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ind/>
              <w:jc w:val="center"/>
              <w:rPr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ind/>
              <w:jc w:val="center"/>
              <w:rPr>
                <w:color w:val="000000"/>
              </w:rPr>
            </w:pPr>
            <w:r>
              <w:t>XTARS0Y5LE0849035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1"/>
              <w:ind w:right="-83"/>
              <w:jc w:val="center"/>
            </w:pPr>
            <w:r>
              <w:t>63НУ №384493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r>
              <w:t>01.11.2026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Volkswagen </w:t>
            </w:r>
            <w:r>
              <w:rPr>
                <w:color w:val="000000"/>
              </w:rPr>
              <w:t>Caravelle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556</w:t>
            </w:r>
            <w:r>
              <w:rPr>
                <w:color w:val="000000"/>
              </w:rPr>
              <w:t>ЕХ</w:t>
            </w:r>
            <w:r>
              <w:rPr>
                <w:color w:val="000000"/>
              </w:rPr>
              <w:t xml:space="preserve">82,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, 2014 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., 102 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>с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/>
              <w:jc w:val="center"/>
              <w:rPr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color w:val="000000"/>
              </w:rPr>
            </w:pPr>
            <w:r>
              <w:t>XW8ZZZ7HZFG001016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1"/>
              <w:ind w:right="-83"/>
              <w:jc w:val="center"/>
            </w:pPr>
            <w:r>
              <w:t>40НХ №770754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r>
              <w:t>01.11.2026</w:t>
            </w:r>
          </w:p>
        </w:tc>
      </w:tr>
      <w:tr>
        <w:trPr>
          <w:trHeight w:hRule="atLeast" w:val="360"/>
        </w:trPr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rPr>
                <w:color w:val="000000"/>
              </w:rPr>
            </w:pPr>
            <w:r>
              <w:rPr>
                <w:color w:val="000000"/>
              </w:rPr>
              <w:t>Nissan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Teana</w:t>
            </w:r>
            <w:r>
              <w:rPr>
                <w:color w:val="000000"/>
              </w:rPr>
              <w:t xml:space="preserve">, К565ЕХ82, В, 2014 г., 173 </w:t>
            </w:r>
            <w:r>
              <w:rPr>
                <w:color w:val="000000"/>
              </w:rPr>
              <w:t>л.с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ind/>
              <w:jc w:val="center"/>
            </w:pPr>
            <w:r>
              <w:t>6580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</w:pPr>
            <w:r>
              <w:t>0,76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ind/>
              <w:jc w:val="center"/>
            </w:pPr>
            <w:r>
              <w:t>0,48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ind/>
              <w:jc w:val="center"/>
            </w:pPr>
            <w:r>
              <w:t>1,97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ind/>
              <w:jc w:val="center"/>
              <w:rPr>
                <w:color w:val="000000"/>
                <w:shd w:fill="FF6350" w:val="clear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ind/>
              <w:jc w:val="center"/>
            </w:pPr>
            <w:r>
              <w:t>Z8NBCAL33ES007144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1"/>
              <w:ind w:right="-83"/>
              <w:jc w:val="center"/>
            </w:pPr>
            <w:r>
              <w:t>78ОВ №139657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r>
              <w:t>01.11.2026</w:t>
            </w:r>
          </w:p>
        </w:tc>
      </w:tr>
      <w:tr>
        <w:trPr>
          <w:trHeight w:hRule="atLeast" w:val="261"/>
        </w:trPr>
        <w:tc>
          <w:tcPr>
            <w:tcW w:type="dxa" w:w="808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Итого</w:t>
            </w:r>
          </w:p>
          <w:p w14:paraId="CB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b w:val="1"/>
                <w:color w:val="000000"/>
              </w:rPr>
              <w:t>НДС не облагается на основании пп.7 п.3 ст. 149 НК РФ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ind/>
              <w:jc w:val="center"/>
              <w:rPr>
                <w:b w:val="1"/>
                <w:color w:val="000000"/>
                <w:shd w:fill="FF6350" w:val="clear"/>
              </w:rPr>
            </w:pPr>
          </w:p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CE000000">
      <w:pPr>
        <w:widowControl w:val="1"/>
        <w:ind w:left="34"/>
        <w:jc w:val="center"/>
        <w:rPr>
          <w:b w:val="1"/>
        </w:rPr>
      </w:pPr>
    </w:p>
    <w:p w14:paraId="CF000000">
      <w:pPr>
        <w:widowControl w:val="1"/>
        <w:ind w:left="34"/>
        <w:jc w:val="center"/>
        <w:rPr>
          <w:b w:val="1"/>
        </w:rPr>
      </w:pPr>
    </w:p>
    <w:p w14:paraId="D0000000">
      <w:pPr>
        <w:widowControl w:val="1"/>
        <w:ind w:left="34"/>
        <w:jc w:val="center"/>
        <w:rPr>
          <w:b w:val="1"/>
        </w:rPr>
      </w:pPr>
    </w:p>
    <w:p w14:paraId="D1000000">
      <w:pPr>
        <w:widowControl w:val="1"/>
        <w:ind/>
        <w:jc w:val="both"/>
      </w:pPr>
    </w:p>
    <w:tbl>
      <w:tblPr>
        <w:tblStyle w:val="Style_3"/>
        <w:tblW w:type="auto" w:w="0"/>
        <w:tblInd w:type="dxa" w:w="675"/>
        <w:tblLayout w:type="fixed"/>
      </w:tblPr>
      <w:tblGrid>
        <w:gridCol w:w="7633"/>
        <w:gridCol w:w="6984"/>
      </w:tblGrid>
      <w:tr>
        <w:trPr>
          <w:trHeight w:hRule="atLeast" w:val="2190"/>
        </w:trPr>
        <w:tc>
          <w:tcPr>
            <w:tcW w:type="dxa" w:w="7633"/>
          </w:tcPr>
          <w:p w14:paraId="D2000000">
            <w:pPr>
              <w:rPr>
                <w:sz w:val="26"/>
              </w:rPr>
            </w:pPr>
            <w:bookmarkStart w:id="11" w:name="_GoBack"/>
            <w:bookmarkEnd w:id="11"/>
          </w:p>
        </w:tc>
        <w:tc>
          <w:tcPr>
            <w:tcW w:type="dxa" w:w="6984"/>
          </w:tcPr>
          <w:p w14:paraId="D3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Страхователь:</w:t>
            </w:r>
          </w:p>
          <w:p w14:paraId="D4000000">
            <w:pPr>
              <w:rPr>
                <w:sz w:val="26"/>
              </w:rPr>
            </w:pPr>
            <w:r>
              <w:rPr>
                <w:sz w:val="26"/>
              </w:rPr>
              <w:t xml:space="preserve">Заместитель руководителя по </w:t>
            </w:r>
            <w:r>
              <w:rPr>
                <w:sz w:val="26"/>
              </w:rPr>
              <w:t>общим</w:t>
            </w:r>
            <w:r>
              <w:rPr>
                <w:sz w:val="26"/>
              </w:rPr>
              <w:t xml:space="preserve"> вопросам</w:t>
            </w:r>
            <w:r>
              <w:rPr>
                <w:sz w:val="26"/>
              </w:rPr>
              <w:t xml:space="preserve"> деятельности учреждения</w:t>
            </w:r>
          </w:p>
          <w:p w14:paraId="D5000000">
            <w:pPr>
              <w:rPr>
                <w:b w:val="1"/>
                <w:sz w:val="26"/>
              </w:rPr>
            </w:pPr>
          </w:p>
          <w:p w14:paraId="D6000000">
            <w:pPr>
              <w:rPr>
                <w:sz w:val="26"/>
              </w:rPr>
            </w:pPr>
            <w:r>
              <w:rPr>
                <w:b w:val="1"/>
                <w:sz w:val="26"/>
              </w:rPr>
              <w:t>_____________________</w:t>
            </w:r>
            <w:r>
              <w:rPr>
                <w:b w:val="1"/>
                <w:sz w:val="26"/>
              </w:rPr>
              <w:t>И.П. Посторонко</w:t>
            </w:r>
          </w:p>
          <w:p w14:paraId="D7000000">
            <w:pPr>
              <w:rPr>
                <w:sz w:val="26"/>
              </w:rPr>
            </w:pPr>
            <w:r>
              <w:rPr>
                <w:sz w:val="26"/>
              </w:rPr>
              <w:t>М.П.</w:t>
            </w:r>
          </w:p>
          <w:p w14:paraId="D8000000">
            <w:pPr>
              <w:rPr>
                <w:sz w:val="26"/>
              </w:rPr>
            </w:pPr>
          </w:p>
        </w:tc>
      </w:tr>
    </w:tbl>
    <w:p w14:paraId="D9000000">
      <w:pPr>
        <w:rPr>
          <w:sz w:val="26"/>
        </w:rPr>
      </w:pPr>
    </w:p>
    <w:sectPr>
      <w:pgSz w:h="11909" w:orient="landscape" w:w="16834"/>
      <w:pgMar w:bottom="142" w:footer="720" w:gutter="0" w:header="720" w:left="1560" w:right="715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widowControl w:val="1"/>
      <w:spacing w:after="60" w:before="240"/>
      <w:ind/>
      <w:outlineLvl w:val="6"/>
    </w:pPr>
    <w:rPr>
      <w:sz w:val="24"/>
    </w:rPr>
  </w:style>
  <w:style w:styleId="Style_7_ch" w:type="character">
    <w:name w:val="heading 7"/>
    <w:basedOn w:val="Style_4_ch"/>
    <w:link w:val="Style_7"/>
    <w:rPr>
      <w:sz w:val="24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Char Знак Знак"/>
    <w:basedOn w:val="Style_4"/>
    <w:link w:val="Style_9_ch"/>
    <w:pPr>
      <w:widowControl w:val="1"/>
      <w:spacing w:after="160" w:line="240" w:lineRule="exact"/>
      <w:ind/>
      <w:jc w:val="right"/>
    </w:pPr>
    <w:rPr>
      <w:rFonts w:ascii="Arial" w:hAnsi="Arial"/>
    </w:rPr>
  </w:style>
  <w:style w:styleId="Style_9_ch" w:type="character">
    <w:name w:val="Char Знак Знак"/>
    <w:basedOn w:val="Style_4_ch"/>
    <w:link w:val="Style_9"/>
    <w:rPr>
      <w:rFonts w:ascii="Arial" w:hAnsi="Arial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ody Text Indent 2"/>
    <w:basedOn w:val="Style_4"/>
    <w:link w:val="Style_11_ch"/>
    <w:pPr>
      <w:widowControl w:val="1"/>
      <w:spacing w:after="120" w:line="480" w:lineRule="auto"/>
      <w:ind w:left="283"/>
    </w:pPr>
  </w:style>
  <w:style w:styleId="Style_11_ch" w:type="character">
    <w:name w:val="Body Text Indent 2"/>
    <w:basedOn w:val="Style_4_ch"/>
    <w:link w:val="Style_11"/>
  </w:style>
  <w:style w:styleId="Style_12" w:type="paragraph">
    <w:name w:val="caption"/>
    <w:basedOn w:val="Style_4"/>
    <w:next w:val="Style_4"/>
    <w:link w:val="Style_12_ch"/>
    <w:pPr>
      <w:widowControl w:val="1"/>
      <w:spacing w:after="20" w:before="20"/>
      <w:ind/>
      <w:jc w:val="center"/>
    </w:pPr>
    <w:rPr>
      <w:rFonts w:ascii="Arial" w:hAnsi="Arial"/>
      <w:b w:val="1"/>
      <w:sz w:val="22"/>
    </w:rPr>
  </w:style>
  <w:style w:styleId="Style_12_ch" w:type="character">
    <w:name w:val="caption"/>
    <w:basedOn w:val="Style_4_ch"/>
    <w:link w:val="Style_12"/>
    <w:rPr>
      <w:rFonts w:ascii="Arial" w:hAnsi="Arial"/>
      <w:b w:val="1"/>
      <w:sz w:val="22"/>
    </w:rPr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widowControl w:val="1"/>
      <w:spacing w:before="20"/>
      <w:ind/>
      <w:jc w:val="center"/>
      <w:outlineLvl w:val="2"/>
    </w:pPr>
    <w:rPr>
      <w:rFonts w:ascii="Cambria" w:hAnsi="Cambria"/>
      <w:b w:val="1"/>
      <w:sz w:val="26"/>
    </w:rPr>
  </w:style>
  <w:style w:styleId="Style_14_ch" w:type="character">
    <w:name w:val="heading 3"/>
    <w:basedOn w:val="Style_4_ch"/>
    <w:link w:val="Style_14"/>
    <w:rPr>
      <w:rFonts w:ascii="Cambria" w:hAnsi="Cambria"/>
      <w:b w:val="1"/>
      <w:sz w:val="26"/>
    </w:rPr>
  </w:style>
  <w:style w:styleId="Style_15" w:type="paragraph">
    <w:name w:val="ConsPlusNonformat"/>
    <w:link w:val="Style_15_ch"/>
    <w:pPr>
      <w:widowControl w:val="0"/>
      <w:ind/>
    </w:pPr>
    <w:rPr>
      <w:rFonts w:ascii="Courier New" w:hAnsi="Courier New"/>
    </w:rPr>
  </w:style>
  <w:style w:styleId="Style_15_ch" w:type="character">
    <w:name w:val="ConsPlusNonformat"/>
    <w:link w:val="Style_15"/>
    <w:rPr>
      <w:rFonts w:ascii="Courier New" w:hAnsi="Courier New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4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ConsPlusNormal"/>
    <w:link w:val="Style_18_ch"/>
    <w:pPr>
      <w:widowControl w:val="0"/>
      <w:ind/>
    </w:pPr>
    <w:rPr>
      <w:rFonts w:ascii="Arial" w:hAnsi="Arial"/>
    </w:rPr>
  </w:style>
  <w:style w:styleId="Style_18_ch" w:type="character">
    <w:name w:val="ConsPlusNormal"/>
    <w:link w:val="Style_18"/>
    <w:rPr>
      <w:rFonts w:ascii="Arial" w:hAnsi="Arial"/>
    </w:rPr>
  </w:style>
  <w:style w:styleId="Style_19" w:type="paragraph">
    <w:name w:val="Standard"/>
    <w:link w:val="Style_19_ch"/>
    <w:pPr>
      <w:widowControl w:val="0"/>
      <w:ind/>
    </w:pPr>
    <w:rPr>
      <w:sz w:val="24"/>
    </w:rPr>
  </w:style>
  <w:style w:styleId="Style_19_ch" w:type="character">
    <w:name w:val="Standard"/>
    <w:link w:val="Style_19"/>
    <w:rPr>
      <w:sz w:val="24"/>
    </w:rPr>
  </w:style>
  <w:style w:styleId="Style_20" w:type="paragraph">
    <w:name w:val="Normal (Web)"/>
    <w:basedOn w:val="Style_4"/>
    <w:link w:val="Style_20_ch"/>
    <w:pPr>
      <w:widowControl w:val="1"/>
      <w:spacing w:afterAutospacing="on" w:beforeAutospacing="on"/>
      <w:ind/>
    </w:pPr>
    <w:rPr>
      <w:rFonts w:ascii="Arial Unicode MS" w:hAnsi="Arial Unicode MS"/>
      <w:sz w:val="24"/>
    </w:rPr>
  </w:style>
  <w:style w:styleId="Style_20_ch" w:type="character">
    <w:name w:val="Normal (Web)"/>
    <w:basedOn w:val="Style_4_ch"/>
    <w:link w:val="Style_20"/>
    <w:rPr>
      <w:rFonts w:ascii="Arial Unicode MS" w:hAnsi="Arial Unicode MS"/>
      <w:sz w:val="24"/>
    </w:rPr>
  </w:style>
  <w:style w:styleId="Style_21" w:type="paragraph">
    <w:name w:val="heading 5"/>
    <w:next w:val="Style_4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er"/>
    <w:basedOn w:val="Style_4"/>
    <w:link w:val="Style_22_ch"/>
    <w:pPr>
      <w:widowControl w:val="1"/>
      <w:tabs>
        <w:tab w:leader="none" w:pos="4819" w:val="center"/>
        <w:tab w:leader="none" w:pos="9071" w:val="right"/>
      </w:tabs>
      <w:ind/>
    </w:pPr>
  </w:style>
  <w:style w:styleId="Style_22_ch" w:type="character">
    <w:name w:val="header"/>
    <w:basedOn w:val="Style_4_ch"/>
    <w:link w:val="Style_22"/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widowControl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23_ch" w:type="character">
    <w:name w:val="heading 1"/>
    <w:basedOn w:val="Style_4_ch"/>
    <w:link w:val="Style_23"/>
    <w:rPr>
      <w:rFonts w:asciiTheme="majorAscii" w:hAnsiTheme="majorHAnsi"/>
      <w:color w:themeColor="accent1" w:themeShade="BF" w:val="2E75B5"/>
      <w:sz w:val="32"/>
    </w:rPr>
  </w:style>
  <w:style w:styleId="Style_24" w:type="paragraph">
    <w:name w:val="Hyperlink"/>
    <w:basedOn w:val="Style_16"/>
    <w:link w:val="Style_24_ch"/>
    <w:rPr>
      <w:color w:themeColor="hyperlink" w:val="0563C1"/>
      <w:u w:val="single"/>
    </w:rPr>
  </w:style>
  <w:style w:styleId="Style_24_ch" w:type="character">
    <w:name w:val="Hyperlink"/>
    <w:basedOn w:val="Style_16_ch"/>
    <w:link w:val="Style_24"/>
    <w:rPr>
      <w:color w:themeColor="hyperlink" w:val="0563C1"/>
      <w:u w:val="single"/>
    </w:rPr>
  </w:style>
  <w:style w:styleId="Style_25" w:type="paragraph">
    <w:name w:val="Foot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4"/>
    <w:link w:val="Style_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Знак Знак Знак Знак Знак Знак Знак"/>
    <w:basedOn w:val="Style_4"/>
    <w:link w:val="Style_27_ch"/>
    <w:pPr>
      <w:widowControl w:val="1"/>
      <w:spacing w:afterAutospacing="on" w:beforeAutospacing="on"/>
      <w:ind/>
    </w:pPr>
    <w:rPr>
      <w:rFonts w:ascii="Tahoma" w:hAnsi="Tahoma"/>
    </w:rPr>
  </w:style>
  <w:style w:styleId="Style_27_ch" w:type="character">
    <w:name w:val="Знак Знак Знак Знак Знак Знак Знак"/>
    <w:basedOn w:val="Style_4_ch"/>
    <w:link w:val="Style_27"/>
    <w:rPr>
      <w:rFonts w:ascii="Tahoma" w:hAnsi="Tahoma"/>
    </w:rPr>
  </w:style>
  <w:style w:styleId="Style_28" w:type="paragraph">
    <w:name w:val="Header and Footer"/>
    <w:link w:val="Style_2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4"/>
    <w:link w:val="Style_2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2" w:type="paragraph">
    <w:name w:val="Plain Text"/>
    <w:basedOn w:val="Style_4"/>
    <w:link w:val="Style_2_ch"/>
    <w:pPr>
      <w:widowControl w:val="1"/>
      <w:ind/>
    </w:pPr>
    <w:rPr>
      <w:rFonts w:ascii="Consolas" w:hAnsi="Consolas"/>
      <w:sz w:val="21"/>
    </w:rPr>
  </w:style>
  <w:style w:styleId="Style_2_ch" w:type="character">
    <w:name w:val="Plain Text"/>
    <w:basedOn w:val="Style_4_ch"/>
    <w:link w:val="Style_2"/>
    <w:rPr>
      <w:rFonts w:ascii="Consolas" w:hAnsi="Consolas"/>
      <w:sz w:val="21"/>
    </w:rPr>
  </w:style>
  <w:style w:styleId="Style_32" w:type="paragraph">
    <w:name w:val="Знак"/>
    <w:basedOn w:val="Style_4"/>
    <w:link w:val="Style_32_ch"/>
    <w:pPr>
      <w:widowControl w:val="1"/>
      <w:spacing w:afterAutospacing="on" w:beforeAutospacing="on"/>
      <w:ind/>
    </w:pPr>
    <w:rPr>
      <w:rFonts w:ascii="Tahoma" w:hAnsi="Tahoma"/>
    </w:rPr>
  </w:style>
  <w:style w:styleId="Style_32_ch" w:type="character">
    <w:name w:val="Знак"/>
    <w:basedOn w:val="Style_4_ch"/>
    <w:link w:val="Style_32"/>
    <w:rPr>
      <w:rFonts w:ascii="Tahoma" w:hAnsi="Tahoma"/>
    </w:rPr>
  </w:style>
  <w:style w:styleId="Style_33" w:type="paragraph">
    <w:name w:val="Ii?iaeuiue"/>
    <w:link w:val="Style_33_ch"/>
    <w:pPr>
      <w:widowControl w:val="0"/>
      <w:ind/>
    </w:pPr>
  </w:style>
  <w:style w:styleId="Style_33_ch" w:type="character">
    <w:name w:val="Ii?iaeuiue"/>
    <w:link w:val="Style_33"/>
  </w:style>
  <w:style w:styleId="Style_34" w:type="paragraph">
    <w:name w:val="xl29"/>
    <w:basedOn w:val="Style_4"/>
    <w:link w:val="Style_34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24"/>
    </w:rPr>
  </w:style>
  <w:style w:styleId="Style_34_ch" w:type="character">
    <w:name w:val="xl29"/>
    <w:basedOn w:val="Style_4_ch"/>
    <w:link w:val="Style_34"/>
    <w:rPr>
      <w:sz w:val="24"/>
    </w:rPr>
  </w:style>
  <w:style w:styleId="Style_35" w:type="paragraph">
    <w:name w:val="Subtitle"/>
    <w:next w:val="Style_4"/>
    <w:link w:val="Style_3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1" w:type="paragraph">
    <w:name w:val="Body Text"/>
    <w:basedOn w:val="Style_4"/>
    <w:link w:val="Style_1_ch"/>
    <w:pPr>
      <w:widowControl w:val="1"/>
      <w:ind/>
      <w:jc w:val="both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36" w:type="paragraph">
    <w:name w:val="Emphasis"/>
    <w:link w:val="Style_36_ch"/>
    <w:rPr>
      <w:rFonts w:ascii="Times New Roman" w:hAnsi="Times New Roman"/>
      <w:i w:val="1"/>
    </w:rPr>
  </w:style>
  <w:style w:styleId="Style_36_ch" w:type="character">
    <w:name w:val="Emphasis"/>
    <w:link w:val="Style_36"/>
    <w:rPr>
      <w:rFonts w:ascii="Times New Roman" w:hAnsi="Times New Roman"/>
      <w:i w:val="1"/>
    </w:rPr>
  </w:style>
  <w:style w:styleId="Style_37" w:type="paragraph">
    <w:name w:val="List Paragraph"/>
    <w:basedOn w:val="Style_4"/>
    <w:link w:val="Style_37_ch"/>
    <w:pPr>
      <w:widowControl w:val="1"/>
      <w:ind w:left="708"/>
    </w:pPr>
  </w:style>
  <w:style w:styleId="Style_37_ch" w:type="character">
    <w:name w:val="List Paragraph"/>
    <w:basedOn w:val="Style_4_ch"/>
    <w:link w:val="Style_37"/>
  </w:style>
  <w:style w:styleId="Style_38" w:type="paragraph">
    <w:name w:val="Title"/>
    <w:next w:val="Style_4"/>
    <w:link w:val="Style_3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basedOn w:val="Style_4"/>
    <w:next w:val="Style_4"/>
    <w:link w:val="Style_39_ch"/>
    <w:uiPriority w:val="9"/>
    <w:qFormat/>
    <w:pPr>
      <w:keepNext w:val="1"/>
      <w:widowControl w:val="1"/>
      <w:spacing w:after="60" w:before="240"/>
      <w:ind/>
      <w:outlineLvl w:val="3"/>
    </w:pPr>
    <w:rPr>
      <w:rFonts w:ascii="Calibri" w:hAnsi="Calibri"/>
      <w:b w:val="1"/>
      <w:sz w:val="28"/>
    </w:rPr>
  </w:style>
  <w:style w:styleId="Style_39_ch" w:type="character">
    <w:name w:val="heading 4"/>
    <w:basedOn w:val="Style_4_ch"/>
    <w:link w:val="Style_39"/>
    <w:rPr>
      <w:rFonts w:ascii="Calibri" w:hAnsi="Calibri"/>
      <w:b w:val="1"/>
      <w:sz w:val="28"/>
    </w:rPr>
  </w:style>
  <w:style w:styleId="Style_40" w:type="paragraph">
    <w:name w:val="Body Text Indent"/>
    <w:basedOn w:val="Style_4"/>
    <w:link w:val="Style_40_ch"/>
    <w:pPr>
      <w:widowControl w:val="1"/>
      <w:spacing w:after="120"/>
      <w:ind w:left="283"/>
    </w:pPr>
  </w:style>
  <w:style w:styleId="Style_40_ch" w:type="character">
    <w:name w:val="Body Text Indent"/>
    <w:basedOn w:val="Style_4_ch"/>
    <w:link w:val="Style_40"/>
  </w:style>
  <w:style w:styleId="Style_41" w:type="paragraph">
    <w:name w:val="heading 2"/>
    <w:next w:val="Style_4"/>
    <w:link w:val="Style_4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styleId="Style_42" w:type="paragraph">
    <w:name w:val="Balloon Text"/>
    <w:basedOn w:val="Style_4"/>
    <w:link w:val="Style_42_ch"/>
    <w:rPr>
      <w:rFonts w:ascii="Tahoma" w:hAnsi="Tahoma"/>
      <w:sz w:val="16"/>
    </w:rPr>
  </w:style>
  <w:style w:styleId="Style_42_ch" w:type="character">
    <w:name w:val="Balloon Text"/>
    <w:basedOn w:val="Style_4_ch"/>
    <w:link w:val="Style_42"/>
    <w:rPr>
      <w:rFonts w:ascii="Tahoma" w:hAnsi="Tahoma"/>
      <w:sz w:val="16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2024-07-26T06:32:00Z</dcterms:created>
  <dcterms:modified xsi:type="dcterms:W3CDTF">2026-08-17T10:13:01Z</dcterms:modified>
</cp:coreProperties>
</file>