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text" w:tblpXSpec="left" w:vertAnchor="text" w:tblpY="1" w:leftFromText="180" w:topFromText="0" w:rightFromText="180" w:bottomFromText="0"/>
        <w:tblW w:w="126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6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683" w:type="dxa"/>
            <w:vAlign w:val="top"/>
            <w:textDirection w:val="lrTb"/>
            <w:noWrap w:val="false"/>
          </w:tcPr>
          <w:p>
            <w:pPr>
              <w:pStyle w:val="857"/>
              <w:ind w:right="5"/>
              <w:jc w:val="center"/>
              <w:tabs>
                <w:tab w:val="left" w:pos="3366" w:leader="none"/>
              </w:tabs>
              <w:rPr>
                <w:sz w:val="28"/>
                <w:szCs w:val="28"/>
                <w:lang w:val="en-US" w:eastAsia="ru-RU"/>
              </w:rPr>
              <w:framePr w:hSpace="180" w:wrap="around" w:vAnchor="text" w:hAnchor="text" w:y="1"/>
            </w:pPr>
            <w:r>
              <w:rPr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lang w:val="en-US" w:eastAsia="ru-RU"/>
              </w:rPr>
            </w:r>
            <w:r>
              <w:rPr>
                <w:sz w:val="28"/>
                <w:szCs w:val="28"/>
                <w:lang w:val="en-US" w:eastAsia="ru-RU"/>
              </w:rPr>
            </w:r>
          </w:p>
        </w:tc>
      </w:tr>
    </w:tbl>
    <w:p>
      <w:pPr>
        <w:pStyle w:val="857"/>
        <w:jc w:val="both"/>
        <w:widowControl w:val="o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57"/>
        <w:ind w:firstLine="540"/>
        <w:jc w:val="center"/>
        <w:widowControl w:val="off"/>
        <w:rPr>
          <w:b/>
        </w:rPr>
      </w:pPr>
      <w:r>
        <w:rPr>
          <w:b/>
        </w:rPr>
        <w:t xml:space="preserve">ОПИСАНИЕ ОБЪЕКТА ЗАКУПКИ</w:t>
      </w:r>
      <w:r>
        <w:rPr>
          <w:b/>
        </w:rPr>
      </w:r>
      <w:r>
        <w:rPr>
          <w:b/>
        </w:rPr>
      </w:r>
    </w:p>
    <w:p>
      <w:pPr>
        <w:pStyle w:val="857"/>
        <w:ind w:firstLine="540"/>
        <w:jc w:val="center"/>
        <w:widowControl w:val="off"/>
        <w:rPr>
          <w:b/>
        </w:rPr>
      </w:pPr>
      <w:r>
        <w:rPr>
          <w:b/>
        </w:rPr>
        <w:t xml:space="preserve">(</w:t>
      </w:r>
      <w:r>
        <w:rPr>
          <w:b/>
        </w:rPr>
        <w:t xml:space="preserve">ТЕХНИЧЕСКОЕ ЗАДАНИЕ</w:t>
      </w:r>
      <w:r>
        <w:rPr>
          <w:b/>
        </w:rPr>
        <w:t xml:space="preserve">)</w:t>
      </w:r>
      <w:r>
        <w:rPr>
          <w:b/>
        </w:rPr>
      </w:r>
      <w:r>
        <w:rPr>
          <w:b/>
        </w:rPr>
      </w:r>
    </w:p>
    <w:p>
      <w:pPr>
        <w:pStyle w:val="857"/>
        <w:ind w:firstLine="54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57"/>
        <w:ind w:firstLine="540"/>
        <w:jc w:val="center"/>
        <w:widowControl w:val="off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на приобретение хозяйственных товаров и принадлежностей.</w:t>
      </w:r>
      <w:r>
        <w:rPr>
          <w:sz w:val="26"/>
          <w:szCs w:val="26"/>
          <w:highlight w:val="none"/>
        </w:rPr>
      </w:r>
    </w:p>
    <w:p>
      <w:pPr>
        <w:ind w:left="0" w:firstLine="0"/>
        <w:jc w:val="left"/>
        <w:widowControl w:val="off"/>
        <w:rPr>
          <w:b/>
          <w:bCs/>
          <w:sz w:val="26"/>
          <w:szCs w:val="26"/>
        </w:rPr>
      </w:pPr>
      <w:r>
        <w:rPr>
          <w:sz w:val="26"/>
          <w:szCs w:val="26"/>
          <w:highlight w:val="none"/>
        </w:rPr>
        <w:tab/>
      </w:r>
      <w:r>
        <w:rPr>
          <w:b/>
          <w:bCs/>
          <w:sz w:val="26"/>
          <w:szCs w:val="26"/>
          <w:highlight w:val="none"/>
        </w:rPr>
        <w:t xml:space="preserve">1. </w:t>
      </w:r>
      <w:r>
        <w:rPr>
          <w:b/>
          <w:bCs/>
          <w:sz w:val="26"/>
          <w:szCs w:val="26"/>
          <w:highlight w:val="none"/>
        </w:rPr>
        <w:t xml:space="preserve">Описание закупки: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pPr w:horzAnchor="margin" w:tblpX="108" w:vertAnchor="text" w:tblpY="198" w:leftFromText="180" w:topFromText="0" w:rightFromText="180" w:bottomFromText="0"/>
        <w:tblW w:w="104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8"/>
        <w:gridCol w:w="2124"/>
        <w:gridCol w:w="1654"/>
        <w:gridCol w:w="2482"/>
        <w:gridCol w:w="2131"/>
        <w:gridCol w:w="729"/>
        <w:gridCol w:w="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№ п/п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Наименование продукции (товара)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ОКПД2/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КТРУ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2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Техническая характеристика, предъявляемая к продукции (товару)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Значение характеристики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9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Ед.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изм.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7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b/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Кол-во 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" w:type="dxa"/>
            <w:vAlign w:val="top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857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Туалетное мыло жидкое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4" w:type="dxa"/>
            <w:vAlign w:val="top"/>
            <w:textDirection w:val="lrTb"/>
            <w:noWrap w:val="false"/>
          </w:tcPr>
          <w:p>
            <w:pPr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57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20.41.31.130/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857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00000002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2" w:type="dxa"/>
            <w:vAlign w:val="top"/>
            <w:textDirection w:val="lrTb"/>
            <w:noWrap w:val="false"/>
          </w:tcPr>
          <w:p>
            <w:pPr>
              <w:pStyle w:val="857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Наличие антибактериального компонента: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  <w:t xml:space="preserve">Наличие ароматической отдушки: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b/>
                <w:sz w:val="26"/>
                <w:szCs w:val="26"/>
              </w:rPr>
              <w:t xml:space="preserve">* Дополнительные характеристики: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Поставка в пластиковой таре с дозатором, объемом не более 250 мл.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  <w:highlight w:val="none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да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  <w:highlight w:val="none"/>
              </w:rPr>
              <w:t xml:space="preserve">да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9" w:type="dxa"/>
            <w:vAlign w:val="top"/>
            <w:textDirection w:val="lrTb"/>
            <w:noWrap w:val="false"/>
          </w:tcPr>
          <w:p>
            <w:pPr>
              <w:pStyle w:val="857"/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литр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7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57"/>
              <w:jc w:val="center"/>
              <w:rPr>
                <w:sz w:val="26"/>
                <w:szCs w:val="26"/>
              </w:rPr>
              <w:framePr w:hSpace="180" w:wrap="around" w:vAnchor="text" w:hAnchor="margin" w:x="108" w:y="198"/>
            </w:pP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firstLine="708"/>
        <w:jc w:val="both"/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*</w:t>
      </w:r>
      <w:r>
        <w:rPr>
          <w:b/>
          <w:sz w:val="24"/>
          <w:szCs w:val="24"/>
        </w:rPr>
        <w:t xml:space="preserve">Обоснование необходимости использования дополнительных функциональных, технических, качественных характеристик товара </w:t>
      </w:r>
      <w:r>
        <w:rPr>
          <w:sz w:val="24"/>
          <w:szCs w:val="24"/>
        </w:rPr>
        <w:t xml:space="preserve">(в соответствии с п.6: Правил использования каталога товаров, работ, услуг для обеспечения государственных и муниципальных нужд утв. Постановлением Правительства РФ от 08.02.2017 № 145): Товар указанный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позиция</w:t>
      </w:r>
      <w:r>
        <w:rPr>
          <w:sz w:val="24"/>
          <w:szCs w:val="24"/>
        </w:rPr>
        <w:t xml:space="preserve">х № 1</w:t>
      </w:r>
      <w:r>
        <w:rPr>
          <w:sz w:val="24"/>
          <w:szCs w:val="24"/>
        </w:rPr>
        <w:t xml:space="preserve"> в целях улучшения удобства и качества работы указаны дополнительные характеристики </w:t>
      </w:r>
      <w:r>
        <w:rPr>
          <w:rFonts w:eastAsia="Calibri"/>
          <w:bCs/>
          <w:sz w:val="24"/>
          <w:szCs w:val="24"/>
          <w:lang w:eastAsia="en-US"/>
        </w:rPr>
        <w:t xml:space="preserve">в соответствии с положениями </w:t>
      </w:r>
      <w:hyperlink r:id="rId10" w:tooltip="consultantplus://offline/ref=90856A8F24D390A89D78FD03A5B981B76E05A02AFC09A5802B423D5CC2819C3885B6D342DC0BEF3E840F2BC1211A7FF7003B6BA317FA56AADC22C" w:history="1">
        <w:r>
          <w:rPr>
            <w:rFonts w:eastAsia="Calibri"/>
            <w:bCs/>
            <w:color w:val="0000ff"/>
            <w:sz w:val="24"/>
            <w:szCs w:val="24"/>
            <w:lang w:eastAsia="en-US"/>
          </w:rPr>
          <w:t xml:space="preserve">статьи 33</w:t>
        </w:r>
      </w:hyperlink>
      <w:r>
        <w:rPr>
          <w:rFonts w:eastAsia="Calibri"/>
          <w:bCs/>
          <w:sz w:val="24"/>
          <w:szCs w:val="24"/>
          <w:lang w:eastAsia="en-US"/>
        </w:rPr>
        <w:t xml:space="preserve"> Закона N 44-ФЗ, которые не предусмотрены в позиции Каталога.</w:t>
      </w:r>
      <w:r>
        <w:rPr>
          <w:rFonts w:eastAsia="Calibri"/>
          <w:b/>
          <w:bCs/>
          <w:sz w:val="24"/>
          <w:szCs w:val="24"/>
        </w:rPr>
      </w:r>
      <w:r>
        <w:rPr>
          <w:rFonts w:eastAsia="Calibri"/>
          <w:b/>
          <w:bCs/>
          <w:sz w:val="24"/>
          <w:szCs w:val="24"/>
        </w:rPr>
      </w:r>
    </w:p>
    <w:p>
      <w:pPr>
        <w:pStyle w:val="857"/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</w:rPr>
      </w:pPr>
      <w:r>
        <w:rPr>
          <w:b/>
          <w:sz w:val="28"/>
          <w:szCs w:val="28"/>
        </w:rPr>
        <w:tab/>
        <w:t xml:space="preserve">2. </w:t>
      </w:r>
      <w:r>
        <w:rPr>
          <w:b/>
          <w:sz w:val="26"/>
          <w:szCs w:val="26"/>
        </w:rPr>
        <w:t xml:space="preserve">Условия поставки товара: </w:t>
      </w:r>
      <w:r>
        <w:rPr>
          <w:b w:val="0"/>
          <w:bCs w:val="0"/>
          <w:sz w:val="26"/>
          <w:szCs w:val="26"/>
        </w:rPr>
        <w:t xml:space="preserve">Поставка</w:t>
      </w:r>
      <w:r>
        <w:rPr>
          <w:b w:val="0"/>
          <w:bCs w:val="0"/>
          <w:sz w:val="26"/>
          <w:szCs w:val="26"/>
        </w:rPr>
        <w:t xml:space="preserve"> товара осуществляется силами, средствами и транспортом Поставщика к месту поставки товара. Поставщик в день поставки Товара направляет в адрес Заказчика уведомление о времени и дате доставки Товара в место доставки.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ab/>
        <w:t xml:space="preserve">Поставка товара осуществляется с выполнением погрузо-разгрузочных работ, поставщиком собственными силами и средствами или силами и средствами третьих лиц за свой счёт.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ab/>
        <w:t xml:space="preserve">Поставляемый товар должен быть пригодным для целей, для которых товары такого рода обычно используются. Не допускается поставка выставочных и/или опытных образцов товара.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</w:rPr>
        <w:tab/>
        <w:t xml:space="preserve">Товар должен быть поставлен в упаковке, обеспечивающей защиту товара от повреждения или порчи во время транспортировки и хранения. Упаковка товара и грузо</w:t>
      </w:r>
      <w:r>
        <w:rPr>
          <w:b w:val="0"/>
          <w:bCs w:val="0"/>
          <w:sz w:val="26"/>
          <w:szCs w:val="26"/>
        </w:rPr>
        <w:t xml:space="preserve">вая тара обеспечивают сохранность товара при транспортировке и погрузо-разгрузочных работах. Упаковка товара и комплектующих должна отвечать требованиям безопасности жизни, здоровья и охраны окружающей среды, иметь необходимые маркировки, наклейки, пломбы,</w:t>
      </w:r>
      <w:r>
        <w:rPr>
          <w:b w:val="0"/>
          <w:bCs w:val="0"/>
          <w:sz w:val="26"/>
          <w:szCs w:val="26"/>
        </w:rPr>
        <w:t xml:space="preserve"> а также давать возможность определить количество содержащегося в ней товара (опись, упаковочные ярлыки, или листы). Товар должен иметь информацию о производителе с указанием юридического лица, его юридического и фактического адресов, номеров телефонов, да</w:t>
      </w:r>
      <w:r>
        <w:rPr>
          <w:b w:val="0"/>
          <w:bCs w:val="0"/>
          <w:sz w:val="26"/>
          <w:szCs w:val="26"/>
        </w:rPr>
        <w:t xml:space="preserve">ты (времени) выработки или производства товара, сроков хранения, условий хранения и предельного срока годности. Маркировка упаковки должна строго соответствовать маркировке товара и обеспечивать полную и однозначную идентификацию каждой единицы товара при </w:t>
      </w:r>
      <w:r>
        <w:rPr>
          <w:b w:val="0"/>
          <w:bCs w:val="0"/>
          <w:sz w:val="26"/>
          <w:szCs w:val="26"/>
        </w:rPr>
        <w:t xml:space="preserve">его приёмке. Товар должен быть новым, не бывшим в обращении, свободным от прав третьих лиц. Поставляемы товар должен быть новым товаром, который не был в употреблении, ремонте, в том числе не б</w:t>
      </w:r>
      <w:r>
        <w:rPr>
          <w:b w:val="0"/>
          <w:bCs w:val="0"/>
          <w:sz w:val="26"/>
          <w:szCs w:val="26"/>
        </w:rPr>
        <w:t xml:space="preserve">ыл восстановлен, не были восстановлены потребительские свойства, у которого не меняли составные части, не иметь дефектов, связанных с работой по его изготовлению либо проявляющихся в результате действия или упущения производителя и/или упущения поставщика.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  <w:highlight w:val="none"/>
        </w:rPr>
        <w:tab/>
      </w:r>
      <w:r>
        <w:rPr>
          <w:b/>
          <w:bCs/>
          <w:sz w:val="26"/>
          <w:szCs w:val="26"/>
          <w:highlight w:val="none"/>
        </w:rPr>
        <w:t xml:space="preserve">3. Требования к гарантийному сроку товара: </w:t>
      </w:r>
      <w:r>
        <w:rPr>
          <w:b w:val="0"/>
          <w:bCs w:val="0"/>
          <w:sz w:val="26"/>
          <w:szCs w:val="26"/>
          <w:highlight w:val="none"/>
        </w:rPr>
        <w:t xml:space="preserve">фактический (остаточный) срок годности (хранения, службы, эксплуатации) товара на момент поставки должен составлять не менее 12 месяцев, но не более срока, указанного производителем товара. При обнаружени</w:t>
      </w:r>
      <w:r>
        <w:rPr>
          <w:b w:val="0"/>
          <w:bCs w:val="0"/>
          <w:sz w:val="26"/>
          <w:szCs w:val="26"/>
          <w:highlight w:val="none"/>
        </w:rPr>
        <w:t xml:space="preserve">и в пределах гарантийного срока в поставленном товаре производственных дефектов. Поставщик обязан заменить такой товар в течение 5 (пяти) дней со дня обнаружения дефектов. Расходы по возврату товара, замене производятся силами и за счет средств Поставщика.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  <w:highlight w:val="none"/>
        </w:rPr>
        <w:tab/>
      </w:r>
      <w:r>
        <w:rPr>
          <w:b/>
          <w:bCs/>
          <w:sz w:val="26"/>
          <w:szCs w:val="26"/>
          <w:highlight w:val="none"/>
        </w:rPr>
        <w:t xml:space="preserve">4. </w:t>
      </w:r>
      <w:r>
        <w:rPr>
          <w:b/>
          <w:bCs/>
          <w:sz w:val="26"/>
          <w:szCs w:val="26"/>
          <w:highlight w:val="none"/>
        </w:rPr>
        <w:t xml:space="preserve">Требования к объему предоставляемых гарантий качества товаров, к гарантийному обслуживанию товаров: </w:t>
      </w:r>
      <w:r>
        <w:rPr>
          <w:b w:val="0"/>
          <w:bCs w:val="0"/>
          <w:sz w:val="26"/>
          <w:szCs w:val="26"/>
          <w:highlight w:val="none"/>
        </w:rPr>
        <w:t xml:space="preserve">Поставщик г</w:t>
      </w:r>
      <w:r>
        <w:rPr>
          <w:b w:val="0"/>
          <w:bCs w:val="0"/>
          <w:sz w:val="26"/>
          <w:szCs w:val="26"/>
          <w:highlight w:val="none"/>
        </w:rPr>
        <w:t xml:space="preserve">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российским законодательством.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  <w:highlight w:val="none"/>
        </w:rPr>
        <w:tab/>
      </w:r>
      <w:r>
        <w:rPr>
          <w:b/>
          <w:bCs/>
          <w:sz w:val="26"/>
          <w:szCs w:val="26"/>
          <w:highlight w:val="none"/>
        </w:rPr>
        <w:t xml:space="preserve">5. Требование к безопасности товара: </w:t>
      </w:r>
      <w:r>
        <w:rPr>
          <w:b w:val="0"/>
          <w:bCs w:val="0"/>
          <w:sz w:val="26"/>
          <w:szCs w:val="26"/>
          <w:highlight w:val="none"/>
        </w:rPr>
        <w:t xml:space="preserve">Качество товара должно соответствовать стандартам, техническим условиям и требованиям, указанных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0"/>
        <w:jc w:val="both"/>
        <w:tabs>
          <w:tab w:val="left" w:pos="709" w:leader="none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6"/>
          <w:szCs w:val="26"/>
          <w:highlight w:val="none"/>
        </w:rPr>
        <w:tab/>
        <w:t xml:space="preserve">Подтверждением качества поставляемого товара со стороны Поставщика являются документы установленного образца, декларация о соответствии (действующий сертификат соответствия). Поставщик гарантирует качество и надежно</w:t>
      </w:r>
      <w:r>
        <w:rPr>
          <w:b w:val="0"/>
          <w:bCs w:val="0"/>
          <w:sz w:val="26"/>
          <w:szCs w:val="26"/>
          <w:highlight w:val="none"/>
        </w:rPr>
        <w:t xml:space="preserve">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т.д.). Товар должен отвечать требования качества, безопасности жизни и здоровья, а такж</w:t>
      </w:r>
      <w:r>
        <w:rPr>
          <w:b w:val="0"/>
          <w:bCs w:val="0"/>
          <w:sz w:val="26"/>
          <w:szCs w:val="26"/>
          <w:highlight w:val="none"/>
        </w:rPr>
        <w:t xml:space="preserve">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 Российской Федерации (сертификаты соответствия, паспорта на русском языке).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tabs>
          <w:tab w:val="left" w:pos="709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5. </w:t>
      </w:r>
      <w:r>
        <w:rPr>
          <w:b/>
          <w:sz w:val="26"/>
          <w:szCs w:val="26"/>
        </w:rPr>
        <w:t xml:space="preserve">Срок поставки товара: </w:t>
      </w:r>
      <w:r>
        <w:rPr>
          <w:sz w:val="26"/>
          <w:szCs w:val="26"/>
        </w:rPr>
        <w:t xml:space="preserve">в течение 5 (пяти) </w:t>
      </w:r>
      <w:r>
        <w:rPr>
          <w:sz w:val="26"/>
          <w:szCs w:val="26"/>
        </w:rPr>
        <w:t xml:space="preserve">рабочих </w:t>
      </w:r>
      <w:r>
        <w:rPr>
          <w:sz w:val="26"/>
          <w:szCs w:val="26"/>
        </w:rPr>
        <w:t xml:space="preserve">дней с момента заключения государственного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7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Место доставки: 660021, г. Красноярск, ул. Дубровинского, 114 склад (2 этаж).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57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 Порядок оплаты: </w:t>
      </w:r>
      <w:r>
        <w:rPr>
          <w:sz w:val="26"/>
          <w:szCs w:val="26"/>
        </w:rPr>
        <w:t xml:space="preserve">оплата о</w:t>
      </w:r>
      <w:r>
        <w:rPr>
          <w:sz w:val="26"/>
          <w:szCs w:val="26"/>
        </w:rPr>
        <w:t xml:space="preserve">существляется по безналичному расчету путем перечисления денежных средств на расчетный счет Поставщика по факту поставки заявленного количества товара на основании товарной накладной и счет-фактуры в течение 10 (десяти) рабочих дней с момента их получения.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7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Датой оплаты считается день списания денежных средств со счета Заказчика.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ind w:firstLine="709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7"/>
        <w:ind w:firstLine="708"/>
        <w:jc w:val="both"/>
        <w:widowControl w:val="off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ачальник отдела МТО                                        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М.В. Лазовская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5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>
        <w:rPr>
          <w:sz w:val="20"/>
          <w:szCs w:val="20"/>
        </w:rPr>
        <w:t xml:space="preserve">Шерина Светлана Игоревна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Тел.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265-</w:t>
      </w:r>
      <w:r>
        <w:rPr>
          <w:sz w:val="20"/>
          <w:szCs w:val="20"/>
        </w:rPr>
        <w:t xml:space="preserve">683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</w:pPr>
      <w:r>
        <w:t xml:space="preserve"> </w:t>
      </w:r>
      <w:r/>
    </w:p>
    <w:p>
      <w:pPr>
        <w:pStyle w:val="857"/>
      </w:pPr>
      <w:r/>
      <w:r/>
    </w:p>
    <w:p>
      <w:pPr>
        <w:pStyle w:val="857"/>
        <w:jc w:val="both"/>
      </w:pPr>
      <w:r>
        <w:t xml:space="preserve"> </w:t>
      </w:r>
      <w:r/>
    </w:p>
    <w:sectPr>
      <w:headerReference w:type="default" r:id="rId9"/>
      <w:footnotePr/>
      <w:endnotePr/>
      <w:type w:val="nextPage"/>
      <w:pgSz w:w="11906" w:h="16838" w:orient="portrait"/>
      <w:pgMar w:top="238" w:right="1191" w:bottom="284" w:left="96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3</w:t>
    </w:r>
    <w:r>
      <w:fldChar w:fldCharType="end"/>
    </w:r>
    <w:r/>
  </w:p>
  <w:p>
    <w:pPr>
      <w:pStyle w:val="86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rPr>
      <w:rFonts w:eastAsia="Times New Roman"/>
      <w:sz w:val="24"/>
      <w:szCs w:val="24"/>
      <w:lang w:val="ru-RU" w:eastAsia="ar-SA" w:bidi="ar-SA"/>
    </w:rPr>
  </w:style>
  <w:style w:type="character" w:styleId="858">
    <w:name w:val="Основной шрифт абзаца"/>
    <w:next w:val="858"/>
    <w:link w:val="857"/>
    <w:uiPriority w:val="1"/>
    <w:semiHidden/>
    <w:unhideWhenUsed/>
  </w:style>
  <w:style w:type="table" w:styleId="859">
    <w:name w:val="Обычная таблица"/>
    <w:next w:val="859"/>
    <w:link w:val="857"/>
    <w:uiPriority w:val="99"/>
    <w:semiHidden/>
    <w:unhideWhenUsed/>
    <w:qFormat/>
    <w:tblPr/>
  </w:style>
  <w:style w:type="numbering" w:styleId="860">
    <w:name w:val="Нет списка"/>
    <w:next w:val="860"/>
    <w:link w:val="857"/>
    <w:uiPriority w:val="99"/>
    <w:semiHidden/>
    <w:unhideWhenUsed/>
  </w:style>
  <w:style w:type="paragraph" w:styleId="861">
    <w:name w:val="Текст выноски"/>
    <w:basedOn w:val="857"/>
    <w:next w:val="861"/>
    <w:link w:val="862"/>
    <w:uiPriority w:val="99"/>
    <w:semiHidden/>
    <w:unhideWhenUsed/>
    <w:rPr>
      <w:rFonts w:ascii="Tahoma" w:hAnsi="Tahoma" w:cs="Tahoma"/>
      <w:sz w:val="16"/>
      <w:szCs w:val="16"/>
    </w:rPr>
  </w:style>
  <w:style w:type="character" w:styleId="862">
    <w:name w:val="Текст выноски Знак"/>
    <w:next w:val="862"/>
    <w:link w:val="861"/>
    <w:uiPriority w:val="99"/>
    <w:semiHidden/>
    <w:rPr>
      <w:rFonts w:ascii="Tahoma" w:hAnsi="Tahoma" w:eastAsia="Times New Roman" w:cs="Tahoma"/>
      <w:sz w:val="16"/>
      <w:szCs w:val="16"/>
      <w:lang w:eastAsia="ar-SA"/>
    </w:rPr>
  </w:style>
  <w:style w:type="character" w:styleId="863">
    <w:name w:val="Гиперссылка"/>
    <w:next w:val="863"/>
    <w:link w:val="857"/>
    <w:rPr>
      <w:color w:val="0000ff"/>
      <w:u w:val="single"/>
    </w:rPr>
  </w:style>
  <w:style w:type="table" w:styleId="864">
    <w:name w:val="Сетка таблицы"/>
    <w:basedOn w:val="859"/>
    <w:next w:val="864"/>
    <w:link w:val="857"/>
    <w:uiPriority w:val="59"/>
    <w:tblPr/>
  </w:style>
  <w:style w:type="paragraph" w:styleId="865">
    <w:name w:val="Верхний колонтитул"/>
    <w:basedOn w:val="857"/>
    <w:next w:val="865"/>
    <w:link w:val="86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6">
    <w:name w:val="Верхний колонтитул Знак"/>
    <w:next w:val="866"/>
    <w:link w:val="865"/>
    <w:uiPriority w:val="99"/>
    <w:rPr>
      <w:rFonts w:eastAsia="Times New Roman"/>
      <w:sz w:val="24"/>
      <w:lang w:eastAsia="ar-SA"/>
    </w:rPr>
  </w:style>
  <w:style w:type="paragraph" w:styleId="867">
    <w:name w:val="Нижний колонтитул"/>
    <w:basedOn w:val="857"/>
    <w:next w:val="867"/>
    <w:link w:val="86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8">
    <w:name w:val="Нижний колонтитул Знак"/>
    <w:next w:val="868"/>
    <w:link w:val="867"/>
    <w:uiPriority w:val="99"/>
    <w:semiHidden/>
    <w:rPr>
      <w:rFonts w:eastAsia="Times New Roman"/>
      <w:sz w:val="24"/>
      <w:lang w:eastAsia="ar-SA"/>
    </w:rPr>
  </w:style>
  <w:style w:type="paragraph" w:styleId="869">
    <w:name w:val="ConsPlusNormal"/>
    <w:next w:val="869"/>
    <w:link w:val="857"/>
    <w:rPr>
      <w:rFonts w:ascii="Arial" w:hAnsi="Arial" w:cs="Arial"/>
      <w:lang w:val="ru-RU" w:eastAsia="ru-RU" w:bidi="ar-SA"/>
    </w:rPr>
  </w:style>
  <w:style w:type="paragraph" w:styleId="870">
    <w:name w:val="Абзац списка"/>
    <w:basedOn w:val="857"/>
    <w:next w:val="870"/>
    <w:link w:val="857"/>
    <w:uiPriority w:val="34"/>
    <w:qFormat/>
    <w:pPr>
      <w:contextualSpacing/>
      <w:ind w:left="720"/>
    </w:pPr>
  </w:style>
  <w:style w:type="paragraph" w:styleId="871">
    <w:name w:val="Обычный (веб)"/>
    <w:basedOn w:val="857"/>
    <w:next w:val="871"/>
    <w:link w:val="857"/>
    <w:uiPriority w:val="99"/>
    <w:pPr>
      <w:jc w:val="both"/>
      <w:spacing w:before="100" w:beforeAutospacing="1" w:after="100" w:afterAutospacing="1" w:line="360" w:lineRule="atLeast"/>
      <w:widowControl w:val="off"/>
    </w:pPr>
    <w:rPr>
      <w:color w:val="000000"/>
      <w:lang w:eastAsia="ru-RU"/>
    </w:rPr>
  </w:style>
  <w:style w:type="paragraph" w:styleId="872">
    <w:name w:val="Основной текст"/>
    <w:basedOn w:val="857"/>
    <w:next w:val="872"/>
    <w:link w:val="873"/>
    <w:pPr>
      <w:jc w:val="both"/>
      <w:shd w:val="clear" w:color="auto" w:fill="ffffff"/>
    </w:pPr>
    <w:rPr>
      <w:lang w:eastAsia="ru-RU"/>
    </w:rPr>
  </w:style>
  <w:style w:type="character" w:styleId="873">
    <w:name w:val="Основной текст Знак"/>
    <w:next w:val="873"/>
    <w:link w:val="872"/>
    <w:rPr>
      <w:rFonts w:eastAsia="Times New Roman"/>
      <w:sz w:val="24"/>
      <w:szCs w:val="24"/>
      <w:shd w:val="clear" w:color="auto" w:fill="ffffff"/>
    </w:r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90856A8F24D390A89D78FD03A5B981B76E05A02AFC09A5802B423D5CC2819C3885B6D342DC0BEF3E840F2BC1211A7FF7003B6BA317FA56AADC22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SVRADM</Company>
  <DocSecurity>0</DocSecurity>
  <HyperlinksChanged>false</HyperlinksChanged>
  <ScaleCrop>false</ScaleCrop>
  <SharedDoc>false</SharedDoc>
  <Template>бланк угловой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_____________№______________</dc:title>
  <dc:creator>*</dc:creator>
  <cp:lastModifiedBy>user</cp:lastModifiedBy>
  <cp:revision>26</cp:revision>
  <dcterms:created xsi:type="dcterms:W3CDTF">2020-01-20T08:26:00Z</dcterms:created>
  <dcterms:modified xsi:type="dcterms:W3CDTF">2026-07-09T04:02:32Z</dcterms:modified>
  <cp:version>983040</cp:version>
</cp:coreProperties>
</file>