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ОПИСАНИЕ ОБЪЕКТА ЗАКУПКИ (ТЕХНИЧЕСКОЕ ЗАДАНИЕ)</w:t>
        <w:br/>
        <w:t xml:space="preserve">на оказание услуг по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продление прав использования Saby (рег. № в РРПО: 332)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1. Общая информация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5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Предмет закупки: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Продление прав использования программного обеспечения Saby (включая базовую техническую поддержку).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5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Код ОКПД2 (в соответствии со сметой расходов Управления):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58.29.50.000 — Услуги по предоставлению лицензий на право использовать компьютерное программное обеспечение.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5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Связь с объектом учета (МПИ):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321.001А3780.20.Э.30132.26 Эксплуатация объекта учета Системы УФ ТО.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5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Тип закупки: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Закупка до 600 тыс. рублей (пункт 4 части 1 статьи 93 Федерального закона от 05.04.2013 № 44-ФЗ).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5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Срок действия прав использования: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с 07.10.2026 по 06.10.2027 (1 год / 365 календарных дней).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180" w:after="24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2. Требования к составу и характеристикам программного обеспечения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</w:rPr>
      </w:r>
    </w:p>
    <w:p>
      <w:pPr>
        <w:ind w:left="0" w:right="0" w:firstLine="0"/>
        <w:jc w:val="both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Продление прав использования Saby приобретается в объеме 1 (одной) единицы и включает в себя: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8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1. Права использования «Saby Report, Базовый Бюджет» (включено в Единый реестр российского ПО, регистрационный номер записи: 332). Базовая лицензия на программный комплекс Saby включает в себя: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Абонентское обслуживание в системе электронного документооборота и сдачи отчетности;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Персональный календарь бухгалтера, передача отчетности в 1 ФНС, 1 СФР, 1 Росстат в соответствии со сроками сдачи отчетности;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Своевременное обновление форм отчетности, форматов контрольных соотношений на сервере Системы при изменениях в правилах формирования и предоставлении налоговой, бухгалтерской и иной отчетности;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Сверка расчетов с бюджетом;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Электронные больничные и проактивные выплаты;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50 исходящих документов в год контрагентам Saby;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7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Полное соответствие программного комплекса всем требованиям действующего законодательства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2.  Базовая техническая поддержка (обеспечение дистанционного консультирования Заказчика, обновление программных модулей при изменении законодательства РФ, регламентов и форматов передачи данных).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67"/>
        <w:jc w:val="center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3. Требования к совместимости и правомерности программного обеспечения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9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Обоснование товарного знака: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Указание конкретного наименования программного комплекса «Saby» («СБиС++») без возможности предоставления эквивалента обусловлено необходимостью продления ранее приобретенных лицензий для обеспечения непрерывности эксплуатации объекта учета Системы УФ ТО,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технологической совместимости с текущими базами данных Заказчика и сохранения архива ранее сданной отчетности.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9"/>
        </w:numPr>
        <w:ind w:left="0" w:right="0" w:firstLine="567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Соблюдение национального режима: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Программное обеспечение должно быть включено в Единый реестр российских программ для электронных вычислительных машин и баз данных (Запись в реестре № 332 от 11.03.2016 «Программный комплекс СБИС»).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center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4. Сроки и условия поставки прав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0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Срок поставки неисключительных прав: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В течение 5 (пяти) рабочих дней с даты заключения договора.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0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Порядок передачи прав: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Передача (активация) неисключительных прав и технической поддержки осуществляется Исполнителем дистанционно в электронном виде через защищенный личный кабинет Заказчика на сервере оператора связи. Физический носитель не требуется.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0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Адрес поставки неисключительных прав: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Республика Алтай, г. Горно-Алтайск, ул. Строителей, д. 8.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180" w:after="24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5. Порядок и условия оплаты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1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Вид оплаты: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Оплата производится по счету и Акту приема-передачи неисключительных прав.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1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Условия оплаты: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Оплата производится после полного предоставления неисключительных прав на программное обеспечение и активации базовой технической поддержки.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97"/>
        <w:numPr>
          <w:ilvl w:val="0"/>
          <w:numId w:val="11"/>
        </w:numPr>
        <w:ind w:right="0"/>
        <w:jc w:val="both"/>
        <w:spacing w:before="0" w:after="18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u w:val="none"/>
        </w:rPr>
        <w:t xml:space="preserve">Срок оплаты: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В течение 10 (десяти) рабочих дней с момента выставления Исполнителем счета и подписания сторонами Акта приема-передачи неисключительных прав.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9"/>
    <w:link w:val="858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9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9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9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9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9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9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9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9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9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9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9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9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9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9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Heading 1"/>
    <w:basedOn w:val="857"/>
    <w:next w:val="857"/>
    <w:link w:val="862"/>
    <w:qFormat/>
    <w:pPr>
      <w:keepNext/>
      <w:outlineLvl w:val="0"/>
    </w:pPr>
    <w:rPr>
      <w:sz w:val="28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Заголовок 1 Знак"/>
    <w:basedOn w:val="859"/>
    <w:link w:val="858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sobchak</cp:lastModifiedBy>
  <cp:revision>8</cp:revision>
  <dcterms:created xsi:type="dcterms:W3CDTF">2024-04-24T06:51:00Z</dcterms:created>
  <dcterms:modified xsi:type="dcterms:W3CDTF">2026-06-26T03:37:45Z</dcterms:modified>
</cp:coreProperties>
</file>