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spacing w:lineRule="auto" w:line="240" w:before="0" w:after="0"/>
        <w:ind w:left="-426" w:hanging="0"/>
        <w:jc w:val="right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</w:r>
    </w:p>
    <w:p>
      <w:pPr>
        <w:pStyle w:val="Normal"/>
        <w:spacing w:lineRule="auto" w:line="240" w:before="0" w:after="0"/>
        <w:ind w:left="-426" w:hanging="0"/>
        <w:jc w:val="right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>Приложение № 1</w:t>
      </w:r>
    </w:p>
    <w:p>
      <w:pPr>
        <w:pStyle w:val="Normal"/>
        <w:spacing w:lineRule="auto" w:line="240" w:before="0" w:after="0"/>
        <w:ind w:left="-426" w:hanging="0"/>
        <w:jc w:val="center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</w:r>
    </w:p>
    <w:p>
      <w:pPr>
        <w:pStyle w:val="Normal"/>
        <w:spacing w:lineRule="auto" w:line="240" w:before="0" w:after="0"/>
        <w:ind w:left="-426" w:hanging="0"/>
        <w:jc w:val="center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</w:r>
    </w:p>
    <w:p>
      <w:pPr>
        <w:pStyle w:val="Normal"/>
        <w:spacing w:lineRule="auto" w:line="240" w:before="0" w:after="0"/>
        <w:ind w:left="-426" w:hanging="0"/>
        <w:jc w:val="center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>Обоснование начальной (максимальной) цены контракта</w:t>
      </w:r>
    </w:p>
    <w:p>
      <w:pPr>
        <w:pStyle w:val="Normal"/>
        <w:spacing w:lineRule="auto" w:line="240" w:before="0" w:after="0"/>
        <w:jc w:val="center"/>
        <w:rPr/>
      </w:pPr>
      <w:r>
        <w:rPr>
          <w:rFonts w:cs="Times New Roman" w:ascii="Times New Roman" w:hAnsi="Times New Roman"/>
          <w:b/>
          <w:sz w:val="24"/>
          <w:szCs w:val="24"/>
        </w:rPr>
        <w:t xml:space="preserve">на </w:t>
      </w:r>
      <w:r>
        <w:rPr>
          <w:rFonts w:eastAsia="Times New Roman CYR" w:cs="Times New Roman" w:ascii="Times New Roman" w:hAnsi="Times New Roman"/>
          <w:b/>
          <w:color w:val="000000"/>
          <w:sz w:val="24"/>
          <w:szCs w:val="24"/>
        </w:rPr>
        <w:t xml:space="preserve">выполнение работ </w:t>
      </w:r>
      <w:r>
        <w:rPr>
          <w:rFonts w:cs="Times New Roman" w:ascii="Times New Roman" w:hAnsi="Times New Roman"/>
          <w:b/>
          <w:sz w:val="24"/>
          <w:szCs w:val="24"/>
        </w:rPr>
        <w:t xml:space="preserve">по монтажу системы видеонаблюдения </w:t>
      </w:r>
    </w:p>
    <w:p>
      <w:pPr>
        <w:pStyle w:val="Normal"/>
        <w:spacing w:lineRule="auto" w:line="240" w:before="0" w:after="0"/>
        <w:jc w:val="center"/>
        <w:rPr/>
      </w:pPr>
      <w:r>
        <w:rPr>
          <w:rFonts w:cs="Times New Roman" w:ascii="Times New Roman" w:hAnsi="Times New Roman"/>
          <w:b/>
          <w:sz w:val="24"/>
          <w:szCs w:val="24"/>
        </w:rPr>
        <w:t>для нужд</w:t>
      </w:r>
      <w:r>
        <w:rPr>
          <w:rFonts w:cs="Times New Roman" w:ascii="Times New Roman" w:hAnsi="Times New Roman"/>
          <w:b/>
          <w:i w:val="false"/>
          <w:iCs w:val="false"/>
          <w:sz w:val="24"/>
          <w:szCs w:val="24"/>
        </w:rPr>
        <w:t xml:space="preserve"> </w:t>
      </w:r>
      <w:r>
        <w:rPr>
          <w:rFonts w:cs="Times New Roman" w:ascii="Times New Roman" w:hAnsi="Times New Roman"/>
          <w:b/>
          <w:bCs/>
          <w:i w:val="false"/>
          <w:iCs w:val="false"/>
          <w:sz w:val="24"/>
          <w:szCs w:val="24"/>
        </w:rPr>
        <w:t xml:space="preserve">УФССП России по Забайкальскому краю </w:t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cs="Times New Roman"/>
          <w:b/>
          <w:b/>
          <w:bCs/>
          <w:i w:val="false"/>
          <w:i w:val="false"/>
          <w:iCs w:val="false"/>
          <w:strike w:val="false"/>
          <w:dstrike w:val="false"/>
          <w:outline w:val="false"/>
          <w:shadow w:val="false"/>
          <w:sz w:val="24"/>
          <w:szCs w:val="24"/>
          <w:u w:val="none"/>
          <w:em w:val="none"/>
        </w:rPr>
      </w:pPr>
      <w:r>
        <w:rPr>
          <w:rFonts w:cs="Times New Roman" w:ascii="Times New Roman" w:hAnsi="Times New Roman"/>
          <w:b/>
          <w:bCs/>
          <w:i w:val="false"/>
          <w:iCs w:val="false"/>
          <w:strike w:val="false"/>
          <w:dstrike w:val="false"/>
          <w:outline w:val="false"/>
          <w:shadow w:val="false"/>
          <w:sz w:val="24"/>
          <w:szCs w:val="24"/>
          <w:u w:val="none"/>
          <w:em w:val="none"/>
        </w:rPr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cs="Times New Roman"/>
          <w:b/>
          <w:b/>
          <w:bCs/>
          <w:i w:val="false"/>
          <w:i w:val="false"/>
          <w:iCs w:val="false"/>
          <w:strike w:val="false"/>
          <w:dstrike w:val="false"/>
          <w:outline w:val="false"/>
          <w:shadow w:val="false"/>
          <w:sz w:val="24"/>
          <w:szCs w:val="24"/>
          <w:u w:val="none"/>
          <w:em w:val="none"/>
        </w:rPr>
      </w:pPr>
      <w:r>
        <w:rPr>
          <w:rFonts w:cs="Times New Roman" w:ascii="Times New Roman" w:hAnsi="Times New Roman"/>
          <w:b/>
          <w:bCs/>
          <w:i w:val="false"/>
          <w:iCs w:val="false"/>
          <w:strike w:val="false"/>
          <w:dstrike w:val="false"/>
          <w:outline w:val="false"/>
          <w:shadow w:val="false"/>
          <w:sz w:val="24"/>
          <w:szCs w:val="24"/>
          <w:u w:val="none"/>
          <w:em w:val="none"/>
        </w:rPr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cs="Times New Roman"/>
          <w:b/>
          <w:b/>
          <w:bCs/>
          <w:i w:val="false"/>
          <w:i w:val="false"/>
          <w:iCs w:val="false"/>
          <w:strike w:val="false"/>
          <w:dstrike w:val="false"/>
          <w:outline w:val="false"/>
          <w:shadow w:val="false"/>
          <w:sz w:val="24"/>
          <w:szCs w:val="24"/>
          <w:u w:val="none"/>
          <w:em w:val="none"/>
        </w:rPr>
      </w:pPr>
      <w:r>
        <w:rPr>
          <w:rFonts w:cs="Times New Roman" w:ascii="Times New Roman" w:hAnsi="Times New Roman"/>
          <w:b/>
          <w:bCs/>
          <w:i w:val="false"/>
          <w:iCs w:val="false"/>
          <w:strike w:val="false"/>
          <w:dstrike w:val="false"/>
          <w:outline w:val="false"/>
          <w:shadow w:val="false"/>
          <w:sz w:val="24"/>
          <w:szCs w:val="24"/>
          <w:u w:val="none"/>
          <w:em w:val="none"/>
        </w:rPr>
      </w:r>
    </w:p>
    <w:p>
      <w:pPr>
        <w:pStyle w:val="Normal"/>
        <w:tabs>
          <w:tab w:val="clear" w:pos="708"/>
          <w:tab w:val="left" w:pos="5955" w:leader="none"/>
        </w:tabs>
        <w:spacing w:before="0" w:after="0"/>
        <w:ind w:left="0" w:right="0" w:firstLine="709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Валютой, используемой для формирования цены контракта и расчетов с поставщиком (подрядчиком, исполнителем) является Российский Рубль (RUB). </w:t>
      </w:r>
    </w:p>
    <w:p>
      <w:pPr>
        <w:pStyle w:val="Normal"/>
        <w:tabs>
          <w:tab w:val="clear" w:pos="708"/>
          <w:tab w:val="left" w:pos="5955" w:leader="none"/>
        </w:tabs>
        <w:spacing w:before="0" w:after="0"/>
        <w:ind w:left="0" w:right="0" w:firstLine="709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Обоснование начальной (максимальной) цены контракта приведено в Локальном сметном расчете (смете), являющемся неотъемлемой частью описания объекта закупки, и приложено отдельным документом.</w:t>
      </w:r>
    </w:p>
    <w:p>
      <w:pPr>
        <w:pStyle w:val="Normal"/>
        <w:numPr>
          <w:ilvl w:val="0"/>
          <w:numId w:val="0"/>
        </w:numPr>
        <w:tabs>
          <w:tab w:val="clear" w:pos="708"/>
          <w:tab w:val="left" w:pos="5955" w:leader="none"/>
        </w:tabs>
        <w:spacing w:lineRule="auto" w:line="240" w:before="0" w:after="0"/>
        <w:ind w:left="0" w:right="0" w:firstLine="709"/>
        <w:jc w:val="both"/>
        <w:outlineLvl w:val="0"/>
        <w:rPr>
          <w:rFonts w:ascii="Times New Roman" w:hAnsi="Times New Roman" w:eastAsia="Times New Roman" w:cs="Times New Roman"/>
          <w:color w:val="000000"/>
          <w:lang w:eastAsia="ru-RU"/>
        </w:rPr>
      </w:pPr>
      <w:r>
        <w:rPr>
          <w:rFonts w:eastAsia="Times New Roman" w:cs="Times New Roman" w:ascii="Times New Roman" w:hAnsi="Times New Roman"/>
          <w:b/>
          <w:color w:val="000000"/>
          <w:sz w:val="24"/>
          <w:szCs w:val="24"/>
          <w:shd w:fill="auto" w:val="clear"/>
          <w:lang w:eastAsia="ru-RU"/>
        </w:rPr>
        <w:t xml:space="preserve">Начальная (максимальная) цена контракта составляет: </w:t>
      </w:r>
      <w:r>
        <w:rPr>
          <w:rFonts w:eastAsia="Times New Roman" w:cs="Times New Roman" w:ascii="Times New Roman" w:hAnsi="Times New Roman"/>
          <w:b/>
          <w:i w:val="false"/>
          <w:strike w:val="false"/>
          <w:dstrike w:val="false"/>
          <w:outline w:val="false"/>
          <w:shadow w:val="false"/>
          <w:color w:val="000000"/>
          <w:sz w:val="24"/>
          <w:szCs w:val="24"/>
          <w:u w:val="none"/>
          <w:shd w:fill="auto" w:val="clear"/>
          <w:em w:val="none"/>
          <w:lang w:eastAsia="ru-RU"/>
        </w:rPr>
        <w:t>599 012,68</w:t>
      </w:r>
      <w:r>
        <w:rPr>
          <w:rFonts w:eastAsia="Times New Roman" w:cs="Times New Roman" w:ascii="Times New Roman" w:hAnsi="Times New Roman"/>
          <w:b/>
          <w:color w:val="000000"/>
          <w:sz w:val="24"/>
          <w:szCs w:val="24"/>
          <w:shd w:fill="auto" w:val="clear"/>
          <w:lang w:eastAsia="ru-RU"/>
        </w:rPr>
        <w:t xml:space="preserve"> руб. (</w:t>
      </w:r>
      <w:r>
        <w:rPr>
          <w:rFonts w:eastAsia="Times New Roman" w:cs="Times New Roman" w:ascii="Times New Roman" w:hAnsi="Times New Roman"/>
          <w:b/>
          <w:color w:val="000000"/>
          <w:sz w:val="24"/>
          <w:szCs w:val="24"/>
          <w:shd w:fill="auto" w:val="clear"/>
          <w:lang w:eastAsia="ru-RU"/>
        </w:rPr>
        <w:t>пятьсот девяносто девять тысяч двенадцать</w:t>
      </w:r>
      <w:r>
        <w:rPr>
          <w:rFonts w:eastAsia="Times New Roman" w:cs="Times New Roman" w:ascii="Times New Roman" w:hAnsi="Times New Roman"/>
          <w:b/>
          <w:color w:val="000000"/>
          <w:sz w:val="24"/>
          <w:szCs w:val="24"/>
          <w:shd w:fill="auto" w:val="clear"/>
          <w:lang w:eastAsia="ru-RU"/>
        </w:rPr>
        <w:t xml:space="preserve"> рублей </w:t>
      </w:r>
      <w:r>
        <w:rPr>
          <w:rFonts w:eastAsia="Times New Roman" w:cs="Times New Roman" w:ascii="Times New Roman" w:hAnsi="Times New Roman"/>
          <w:b/>
          <w:color w:val="000000"/>
          <w:sz w:val="24"/>
          <w:szCs w:val="24"/>
          <w:shd w:fill="auto" w:val="clear"/>
          <w:lang w:eastAsia="ru-RU"/>
        </w:rPr>
        <w:t>68</w:t>
      </w:r>
      <w:r>
        <w:rPr>
          <w:rFonts w:eastAsia="Times New Roman" w:cs="Times New Roman" w:ascii="Times New Roman" w:hAnsi="Times New Roman"/>
          <w:b/>
          <w:color w:val="000000"/>
          <w:sz w:val="24"/>
          <w:szCs w:val="24"/>
          <w:shd w:fill="auto" w:val="clear"/>
          <w:lang w:eastAsia="ru-RU"/>
        </w:rPr>
        <w:t xml:space="preserve"> коп.).</w:t>
      </w:r>
    </w:p>
    <w:p>
      <w:pPr>
        <w:pStyle w:val="Normal"/>
        <w:spacing w:lineRule="auto" w:line="240"/>
        <w:jc w:val="both"/>
        <w:rPr>
          <w:rFonts w:ascii="Times New Roman" w:hAnsi="Times New Roman" w:eastAsia="Times New Roman" w:cs="Times New Roman"/>
          <w:lang w:eastAsia="ru-RU"/>
        </w:rPr>
      </w:pPr>
      <w:r>
        <w:rPr>
          <w:rFonts w:eastAsia="Times New Roman" w:cs="Times New Roman" w:ascii="Times New Roman" w:hAnsi="Times New Roman"/>
          <w:color w:val="000000"/>
          <w:lang w:eastAsia="ru-RU"/>
        </w:rPr>
        <w:t xml:space="preserve">В соответствии с ч. 9, 9.2 ст. 22 Федерального закона от 05.04.2013 № 44-ФЗ </w:t>
      </w:r>
      <w:r>
        <w:rPr>
          <w:rFonts w:eastAsia="Times New Roman" w:cs="Times New Roman" w:ascii="Times New Roman" w:hAnsi="Times New Roman"/>
          <w:lang w:eastAsia="ru-RU"/>
        </w:rPr>
        <w:t>применяется проектно-сметный метод.</w:t>
      </w:r>
    </w:p>
    <w:p>
      <w:pPr>
        <w:pStyle w:val="Normal"/>
        <w:numPr>
          <w:ilvl w:val="0"/>
          <w:numId w:val="0"/>
        </w:numPr>
        <w:spacing w:lineRule="auto" w:line="240" w:before="0" w:after="200"/>
        <w:ind w:left="0" w:hanging="0"/>
        <w:jc w:val="both"/>
        <w:outlineLvl w:val="0"/>
        <w:rPr>
          <w:rFonts w:ascii="Times New Roman" w:hAnsi="Times New Roman" w:eastAsia="Times New Roman" w:cs="Times New Roman"/>
          <w:b/>
          <w:b/>
          <w:bCs/>
          <w:sz w:val="24"/>
          <w:szCs w:val="24"/>
        </w:rPr>
      </w:pPr>
      <w:r>
        <w:rPr/>
      </w:r>
    </w:p>
    <w:sectPr>
      <w:type w:val="nextPage"/>
      <w:pgSz w:w="11906" w:h="16838"/>
      <w:pgMar w:left="1134" w:right="567" w:gutter="0" w:header="0" w:top="709" w:footer="0" w:bottom="851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Calibri">
    <w:charset w:val="cc"/>
    <w:family w:val="roman"/>
    <w:pitch w:val="variable"/>
  </w:font>
  <w:font w:name="Liberation Sans">
    <w:altName w:val="Arial"/>
    <w:charset w:val="cc"/>
    <w:family w:val="roman"/>
    <w:pitch w:val="variable"/>
  </w:font>
  <w:font w:name="Times New Roman">
    <w:charset w:val="cc"/>
    <w:family w:val="roman"/>
    <w:pitch w:val="variable"/>
  </w:font>
</w:fonts>
</file>

<file path=word/settings.xml><?xml version="1.0" encoding="utf-8"?>
<w:settings xmlns:w="http://schemas.openxmlformats.org/wordprocessingml/2006/main">
  <w:zoom w:percent="110"/>
  <w:defaultTabStop w:val="708"/>
  <w:autoHyphenation w:val="true"/>
  <w:compat>
    <w:compatSetting w:name="compatibilityMode" w:uri="http://schemas.microsoft.com/office/word" w:val="12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Cs w:val="22"/>
        <w:lang w:val="ru-RU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rsid w:val="001e4eb3"/>
    <w:pPr>
      <w:widowControl/>
      <w:suppressAutoHyphens w:val="true"/>
      <w:bidi w:val="0"/>
      <w:spacing w:lineRule="auto" w:line="276" w:before="0" w:after="20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ru-RU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paragraph" w:styleId="Style14">
    <w:name w:val="Заголовок"/>
    <w:basedOn w:val="Normal"/>
    <w:next w:val="Style15"/>
    <w:qFormat/>
    <w:pPr>
      <w:keepNext w:val="true"/>
      <w:spacing w:before="240" w:after="120"/>
    </w:pPr>
    <w:rPr>
      <w:rFonts w:ascii="Liberation Sans" w:hAnsi="Liberation Sans" w:eastAsia="Lucida Sans Unicode" w:cs="Lohit Devanagari"/>
      <w:sz w:val="28"/>
      <w:szCs w:val="28"/>
    </w:rPr>
  </w:style>
  <w:style w:type="paragraph" w:styleId="Style15">
    <w:name w:val="Body Text"/>
    <w:basedOn w:val="Normal"/>
    <w:pPr>
      <w:spacing w:lineRule="auto" w:line="276" w:before="0" w:after="140"/>
    </w:pPr>
    <w:rPr/>
  </w:style>
  <w:style w:type="paragraph" w:styleId="Style16">
    <w:name w:val="List"/>
    <w:basedOn w:val="Style15"/>
    <w:pPr/>
    <w:rPr>
      <w:rFonts w:cs="Lohit Devanagari"/>
    </w:rPr>
  </w:style>
  <w:style w:type="paragraph" w:styleId="Style17">
    <w:name w:val="Caption"/>
    <w:basedOn w:val="Normal"/>
    <w:qFormat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styleId="Style18">
    <w:name w:val="Указатель"/>
    <w:basedOn w:val="Normal"/>
    <w:qFormat/>
    <w:pPr>
      <w:suppressLineNumbers/>
    </w:pPr>
    <w:rPr>
      <w:rFonts w:cs="Lohit Devanagari"/>
    </w:rPr>
  </w:style>
  <w:style w:type="paragraph" w:styleId="1" w:customStyle="1">
    <w:name w:val="Стиль1"/>
    <w:basedOn w:val="Normal"/>
    <w:qFormat/>
    <w:rsid w:val="001e4eb3"/>
    <w:pPr>
      <w:spacing w:lineRule="auto" w:line="240"/>
      <w:jc w:val="both"/>
    </w:pPr>
    <w:rPr>
      <w:rFonts w:ascii="Times New Roman" w:hAnsi="Times New Roman"/>
      <w:sz w:val="24"/>
    </w:rPr>
  </w:style>
  <w:style w:type="paragraph" w:styleId="ConsPlusNormal" w:customStyle="1">
    <w:name w:val="ConsPlusNormal"/>
    <w:qFormat/>
    <w:rsid w:val="00b301e2"/>
    <w:pPr>
      <w:widowControl w:val="false"/>
      <w:suppressAutoHyphens w:val="true"/>
      <w:bidi w:val="0"/>
      <w:spacing w:lineRule="auto" w:line="240" w:before="0" w:after="0"/>
      <w:jc w:val="left"/>
    </w:pPr>
    <w:rPr>
      <w:rFonts w:ascii="Calibri" w:hAnsi="Calibri" w:eastAsia="Times New Roman" w:cs="Calibri" w:asciiTheme="minorHAnsi" w:hAnsiTheme="minorHAnsi"/>
      <w:color w:val="auto"/>
      <w:kern w:val="0"/>
      <w:sz w:val="22"/>
      <w:szCs w:val="20"/>
      <w:lang w:val="ru-RU" w:eastAsia="ru-RU" w:bidi="ar-SA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204</TotalTime>
  <Application>LibreOffice/7.3.1.3$Windows_x86 LibreOffice_project/a69ca51ded25f3eefd52d7bf9a5fad8c90b87951</Application>
  <AppVersion>15.0000</AppVersion>
  <Pages>1</Pages>
  <Words>92</Words>
  <Characters>645</Characters>
  <CharactersWithSpaces>732</CharactersWithSpaces>
  <Paragraphs>8</Paragraphs>
  <Company>Департамент имущественных отношений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2023-01-19T10:39:00Z</dcterms:created>
  <dc:creator>Куприянов Артём Геннадьевич</dc:creator>
  <dc:description/>
  <dc:language>ru-RU</dc:language>
  <cp:lastModifiedBy/>
  <cp:lastPrinted>2024-02-28T11:55:00Z</cp:lastPrinted>
  <dcterms:modified xsi:type="dcterms:W3CDTF">2026-03-25T17:37:36Z</dcterms:modified>
  <cp:revision>42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HyperlinksChanged">
    <vt:bool>0</vt:bool>
  </property>
  <property fmtid="{D5CDD505-2E9C-101B-9397-08002B2CF9AE}" pid="3" name="LinksUpToDate">
    <vt:bool>0</vt:bool>
  </property>
  <property fmtid="{D5CDD505-2E9C-101B-9397-08002B2CF9AE}" pid="4" name="ScaleCrop">
    <vt:bool>0</vt:bool>
  </property>
  <property fmtid="{D5CDD505-2E9C-101B-9397-08002B2CF9AE}" pid="5" name="ShareDoc">
    <vt:bool>0</vt:bool>
  </property>
</Properties>
</file>