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/>
      </w:pPr>
      <w:r>
        <w:rPr>
          <w:b/>
          <w:caps/>
        </w:rPr>
        <w:t xml:space="preserve">Приложение № _ 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>
          <w:b/>
          <w:caps/>
          <w:sz w:val="26"/>
          <w:szCs w:val="26"/>
        </w:rPr>
        <w:t>ОПИСАНИЕ ОБЪЕКТА ЗАКУПКИ</w:t>
      </w:r>
    </w:p>
    <w:p>
      <w:pPr>
        <w:pStyle w:val="Normal"/>
        <w:jc w:val="center"/>
        <w:rPr>
          <w:b/>
          <w:b/>
          <w:caps/>
        </w:rPr>
      </w:pPr>
      <w:r>
        <w:rPr>
          <w:b/>
          <w:caps/>
        </w:rPr>
      </w:r>
    </w:p>
    <w:p>
      <w:pPr>
        <w:pStyle w:val="Normal"/>
        <w:jc w:val="center"/>
        <w:rPr/>
      </w:pPr>
      <w:r>
        <w:rPr>
          <w:b w:val="false"/>
          <w:bCs w:val="false"/>
          <w:caps/>
        </w:rPr>
        <w:t xml:space="preserve"> </w:t>
      </w:r>
      <w:r>
        <w:rPr>
          <w:b w:val="false"/>
          <w:bCs w:val="false"/>
          <w:caps/>
        </w:rPr>
        <w:t xml:space="preserve">Выполнение работ по монтажу системы видеонаблюдения для </w:t>
      </w:r>
      <w:r>
        <w:rPr>
          <w:caps/>
        </w:rPr>
        <w:t>нужд УФССП России по забайкальскому краю</w:t>
      </w:r>
    </w:p>
    <w:p>
      <w:pPr>
        <w:pStyle w:val="Normal"/>
        <w:jc w:val="center"/>
        <w:rPr>
          <w:b/>
          <w:b/>
          <w:caps/>
        </w:rPr>
      </w:pPr>
      <w:r>
        <w:rPr>
          <w:b/>
          <w:caps/>
        </w:rPr>
      </w:r>
    </w:p>
    <w:p>
      <w:pPr>
        <w:pStyle w:val="ConsNormal1"/>
        <w:ind w:hanging="0"/>
        <w:rPr/>
      </w:pPr>
      <w:r>
        <w:rPr>
          <w:rFonts w:ascii="Times New Roman" w:hAnsi="Times New Roman"/>
          <w:b/>
          <w:bCs/>
        </w:rPr>
        <w:tab/>
        <w:t>1. ОБЩИЕ СВЕДЕНИЯ</w:t>
      </w:r>
    </w:p>
    <w:p>
      <w:pPr>
        <w:pStyle w:val="ConsNormal1"/>
        <w:ind w:hanging="0"/>
        <w:rPr/>
      </w:pPr>
      <w:r>
        <w:rPr>
          <w:rFonts w:ascii="Times New Roman" w:hAnsi="Times New Roman"/>
          <w:b/>
          <w:bCs/>
        </w:rPr>
        <w:tab/>
        <w:t>1.1 НАИМЕНОВАНИЕ УСЛУГИ</w:t>
      </w:r>
    </w:p>
    <w:p>
      <w:pPr>
        <w:pStyle w:val="ConsNormal1"/>
        <w:ind w:hanging="0"/>
        <w:jc w:val="both"/>
        <w:rPr/>
      </w:pPr>
      <w:r>
        <w:rPr>
          <w:rFonts w:ascii="Times New Roman" w:hAnsi="Times New Roman"/>
          <w:bCs/>
        </w:rPr>
        <w:tab/>
        <w:t>выполнение работ по монтажу системы видеонаблюдения в административном  помещениях УФССП</w:t>
        <w:br/>
        <w:t xml:space="preserve">по Забайкальскому краю (далее «СВН»); </w:t>
      </w:r>
    </w:p>
    <w:p>
      <w:pPr>
        <w:pStyle w:val="ConsNormal1"/>
        <w:ind w:hanging="0"/>
        <w:rPr/>
      </w:pPr>
      <w:r>
        <w:rPr>
          <w:rFonts w:ascii="Times New Roman" w:hAnsi="Times New Roman"/>
          <w:b/>
          <w:bCs/>
        </w:rPr>
        <w:tab/>
        <w:t>1.2 МЕСТО ОКАЗАНИЯ УСЛУГИ</w:t>
      </w:r>
    </w:p>
    <w:p>
      <w:pPr>
        <w:pStyle w:val="ConsNormal1"/>
        <w:ind w:hanging="0"/>
        <w:jc w:val="both"/>
        <w:rPr/>
      </w:pPr>
      <w:r>
        <w:rPr>
          <w:rFonts w:ascii="Times New Roman" w:hAnsi="Times New Roman"/>
          <w:b w:val="false"/>
          <w:bCs/>
          <w:i w:val="false"/>
          <w:strike w:val="false"/>
          <w:dstrike w:val="false"/>
          <w:outline w:val="false"/>
          <w:shadow w:val="false"/>
          <w:color w:val="000000"/>
          <w:sz w:val="21"/>
          <w:u w:val="none"/>
          <w:em w:val="none"/>
        </w:rPr>
        <w:tab/>
        <w:t xml:space="preserve">Административное здание Управления, расположенное на территории Забайкальского края по адресу: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1"/>
          <w:szCs w:val="20"/>
          <w:u w:val="none"/>
          <w:em w:val="none"/>
        </w:rPr>
        <w:t>З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1"/>
          <w:u w:val="none"/>
          <w:em w:val="none"/>
        </w:rPr>
        <w:t>абайкальский край, г.Чита</w:t>
      </w:r>
      <w:bookmarkStart w:id="0" w:name="__DdeLink__512_389169600120"/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1"/>
          <w:u w:val="none"/>
          <w:em w:val="none"/>
        </w:rPr>
        <w:t>, ул.Бабушкина, д. 127</w:t>
      </w:r>
      <w:bookmarkEnd w:id="0"/>
    </w:p>
    <w:p>
      <w:pPr>
        <w:pStyle w:val="ConsNormal1"/>
        <w:ind w:hanging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1"/>
          <w:u w:val="none"/>
          <w:em w:val="none"/>
        </w:rPr>
        <w:tab/>
      </w:r>
      <w:r>
        <w:rPr>
          <w:rFonts w:ascii="Times New Roman" w:hAnsi="Times New Roman"/>
          <w:bCs/>
        </w:rPr>
        <w:tab/>
        <w:t>Место установки оборудования на объекте предварительно согласовать с Заказчиком.</w:t>
      </w:r>
    </w:p>
    <w:p>
      <w:pPr>
        <w:pStyle w:val="ConsNormal1"/>
        <w:ind w:hanging="0"/>
        <w:rPr/>
      </w:pPr>
      <w:r>
        <w:rPr>
          <w:rFonts w:ascii="Times New Roman" w:hAnsi="Times New Roman"/>
          <w:b/>
          <w:bCs/>
        </w:rPr>
        <w:tab/>
        <w:t>1.3 ОПИСАНИЕ РАБОТ, НАЗНАЧЕНИЕ СИСТЕМЫ</w:t>
      </w:r>
    </w:p>
    <w:p>
      <w:pPr>
        <w:pStyle w:val="ConsNormal1"/>
        <w:ind w:hanging="0"/>
        <w:jc w:val="both"/>
        <w:rPr/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  <w:shd w:fill="FFFF00" w:val="clear"/>
        </w:rPr>
        <w:t>Необходимо осуществить поставку, монтаж и пусконаладочные работы камер видеонаблюдения</w:t>
        <w:br/>
        <w:t>и интегрировать их в общую локально-вычислительную сеть на объекте (для целей администрирования и сохранения архива видеозаписей)</w:t>
      </w:r>
      <w:r>
        <w:rPr>
          <w:shd w:fill="FFFF00" w:val="clear"/>
        </w:rPr>
        <w:t xml:space="preserve"> </w:t>
      </w:r>
      <w:r>
        <w:rPr>
          <w:rFonts w:ascii="Times New Roman" w:hAnsi="Times New Roman"/>
          <w:bCs/>
          <w:shd w:fill="FFFF00" w:val="clear"/>
        </w:rPr>
        <w:t>с возможностью удаленного администрирования и просмотра видео записей</w:t>
        <w:br/>
        <w:t>посредствам сети Enternet;</w:t>
      </w:r>
    </w:p>
    <w:p>
      <w:pPr>
        <w:pStyle w:val="Normal"/>
        <w:snapToGrid w:val="false"/>
        <w:jc w:val="both"/>
        <w:rPr/>
      </w:pPr>
      <w:r>
        <w:rPr>
          <w:b/>
          <w:bCs/>
          <w:sz w:val="20"/>
          <w:szCs w:val="20"/>
        </w:rPr>
        <w:tab/>
        <w:t>1.4 ЦЕЛИ ПРОВЕДЕНИЯ РАБОТ, СОЗДАНИЯ СИСТЕМЫ ВИДЕОНАБЛЮДЕНИЯ</w:t>
      </w:r>
    </w:p>
    <w:p>
      <w:pPr>
        <w:pStyle w:val="ConsNormal1"/>
        <w:ind w:hanging="0"/>
        <w:jc w:val="both"/>
        <w:rPr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ab/>
        <w:t>Камеры СВН должны обеспечивать выполнение следующих функций:</w:t>
      </w:r>
    </w:p>
    <w:p>
      <w:pPr>
        <w:pStyle w:val="ConsNormal1"/>
        <w:ind w:hanging="0"/>
        <w:jc w:val="both"/>
        <w:rPr/>
      </w:pPr>
      <w:r>
        <w:rPr>
          <w:rFonts w:ascii="Times New Roman" w:hAnsi="Times New Roman"/>
          <w:b w:val="false"/>
          <w:bCs w:val="false"/>
        </w:rPr>
        <w:tab/>
        <w:t>-О</w:t>
      </w:r>
      <w:r>
        <w:rPr>
          <w:rFonts w:ascii="Times New Roman" w:hAnsi="Times New Roman"/>
          <w:b w:val="false"/>
          <w:bCs w:val="false"/>
          <w:spacing w:val="-2"/>
          <w:sz w:val="20"/>
          <w:szCs w:val="20"/>
          <w:u w:val="none"/>
        </w:rPr>
        <w:t>хват периметра 360 градусов;</w:t>
      </w:r>
    </w:p>
    <w:p>
      <w:pPr>
        <w:pStyle w:val="ConsNormal1"/>
        <w:ind w:hanging="0"/>
        <w:jc w:val="both"/>
        <w:rPr/>
      </w:pPr>
      <w:r>
        <w:rPr>
          <w:rFonts w:ascii="Times New Roman" w:hAnsi="Times New Roman"/>
          <w:b w:val="false"/>
          <w:bCs w:val="false"/>
          <w:spacing w:val="-2"/>
          <w:sz w:val="20"/>
          <w:szCs w:val="20"/>
          <w:u w:val="none"/>
        </w:rPr>
        <w:tab/>
        <w:t>-Возможностью идентификации личности нарушителя;</w:t>
      </w:r>
    </w:p>
    <w:p>
      <w:pPr>
        <w:pStyle w:val="Normal"/>
        <w:snapToGrid w:val="false"/>
        <w:jc w:val="both"/>
        <w:rPr>
          <w:rFonts w:ascii="Times New Roman" w:hAnsi="Times New Roman"/>
          <w:b/>
          <w:b/>
          <w:bCs/>
          <w:sz w:val="20"/>
          <w:szCs w:val="20"/>
        </w:rPr>
      </w:pPr>
      <w:r>
        <w:rPr>
          <w:b w:val="false"/>
          <w:bCs w:val="false"/>
          <w:sz w:val="20"/>
          <w:szCs w:val="20"/>
        </w:rPr>
        <w:tab/>
        <w:t>-Интеграция в единую СВН на объекте с возможностью удаленного администрирования и просмотра видео</w:t>
        <w:br/>
        <w:t xml:space="preserve">записей посредствам сети </w:t>
      </w:r>
      <w:r>
        <w:rPr>
          <w:b w:val="false"/>
          <w:bCs w:val="false"/>
          <w:sz w:val="20"/>
          <w:szCs w:val="20"/>
          <w:lang w:val="en-US"/>
        </w:rPr>
        <w:t>Enternet</w:t>
      </w:r>
      <w:r>
        <w:rPr>
          <w:b w:val="false"/>
          <w:bCs w:val="false"/>
          <w:sz w:val="20"/>
          <w:szCs w:val="20"/>
        </w:rPr>
        <w:t>;</w:t>
      </w:r>
    </w:p>
    <w:p>
      <w:pPr>
        <w:pStyle w:val="Normal"/>
        <w:snapToGrid w:val="false"/>
        <w:rPr/>
      </w:pPr>
      <w:r>
        <w:rPr>
          <w:b/>
          <w:sz w:val="20"/>
          <w:szCs w:val="20"/>
        </w:rPr>
        <w:tab/>
        <w:t>1.5 СРОКИ ПОСТАВКИ и ПРОВЕДЕНИЯ РАБОТ</w:t>
      </w:r>
    </w:p>
    <w:p>
      <w:pPr>
        <w:pStyle w:val="Normal"/>
        <w:snapToGrid w:val="false"/>
        <w:rPr/>
      </w:pPr>
      <w:r>
        <w:rPr>
          <w:b/>
          <w:sz w:val="20"/>
          <w:szCs w:val="20"/>
        </w:rPr>
        <w:tab/>
      </w:r>
      <w:r>
        <w:rPr>
          <w:b/>
          <w:i/>
          <w:iCs/>
          <w:sz w:val="20"/>
          <w:szCs w:val="20"/>
        </w:rPr>
        <w:t>С</w:t>
      </w:r>
      <w:r>
        <w:rPr>
          <w:b/>
          <w:bCs/>
          <w:i/>
          <w:iCs/>
          <w:sz w:val="20"/>
          <w:szCs w:val="20"/>
        </w:rPr>
        <w:t xml:space="preserve"> момента заключения государственного контракта до 30.04.2026 года</w:t>
      </w:r>
    </w:p>
    <w:p>
      <w:pPr>
        <w:pStyle w:val="Normal"/>
        <w:snapToGrid w:val="false"/>
        <w:jc w:val="both"/>
        <w:rPr/>
      </w:pPr>
      <w:r>
        <w:rPr>
          <w:sz w:val="20"/>
          <w:szCs w:val="20"/>
        </w:rPr>
        <w:tab/>
        <w:t>Поставщик обязан поставить оборудование и материалы на объект Заказчика, а также завершить выполнение монтажных и пусконаладочных работ на объекте Заказчика, в соответствии со строительными нормами</w:t>
        <w:br/>
        <w:t>и требованиями.</w:t>
      </w:r>
    </w:p>
    <w:p>
      <w:pPr>
        <w:pStyle w:val="Normal"/>
        <w:snapToGrid w:val="false"/>
        <w:rPr/>
      </w:pPr>
      <w:r>
        <w:rPr>
          <w:b/>
          <w:sz w:val="20"/>
          <w:szCs w:val="20"/>
        </w:rPr>
        <w:tab/>
        <w:t xml:space="preserve">2. ПЕРЕЧЕНЬ ОБОРУДОВАНИЯ И МАТЕРИАЛОВ И ИХ ХАРАКТЕРИСТИКИ </w:t>
      </w:r>
    </w:p>
    <w:p>
      <w:pPr>
        <w:pStyle w:val="Normal"/>
        <w:snapToGrid w:val="false"/>
        <w:rPr/>
      </w:pPr>
      <w:r>
        <w:rPr>
          <w:b/>
          <w:sz w:val="20"/>
          <w:szCs w:val="20"/>
        </w:rPr>
        <w:tab/>
        <w:t>2.1 ПЕРЕЧЕНЬ ОБОРУДОВАНИЯ И МАТЕРИАЛОВ:</w:t>
      </w:r>
    </w:p>
    <w:p>
      <w:pPr>
        <w:pStyle w:val="Normal"/>
        <w:jc w:val="center"/>
        <w:rPr>
          <w:rFonts w:eastAsia="Calibri"/>
          <w:b/>
          <w:b/>
          <w:bCs/>
        </w:rPr>
      </w:pPr>
      <w:r>
        <w:rPr>
          <w:rFonts w:eastAsia="Calibri"/>
          <w:b/>
          <w:bCs/>
        </w:rPr>
      </w:r>
    </w:p>
    <w:p>
      <w:pPr>
        <w:pStyle w:val="Normal"/>
        <w:jc w:val="center"/>
        <w:rPr/>
      </w:pPr>
      <w:r>
        <w:rPr>
          <w:rFonts w:eastAsia="Calibri"/>
          <w:b/>
          <w:bCs/>
          <w:sz w:val="20"/>
          <w:szCs w:val="20"/>
        </w:rPr>
        <w:t>Технические характеристики</w:t>
      </w:r>
    </w:p>
    <w:p>
      <w:pPr>
        <w:pStyle w:val="Normal"/>
        <w:jc w:val="center"/>
        <w:rPr>
          <w:rFonts w:eastAsia="Calibri"/>
          <w:b/>
          <w:b/>
          <w:bCs/>
          <w:sz w:val="20"/>
          <w:szCs w:val="20"/>
        </w:rPr>
      </w:pPr>
      <w:r>
        <w:rPr>
          <w:rFonts w:eastAsia="Calibri"/>
          <w:b/>
          <w:bCs/>
          <w:sz w:val="20"/>
          <w:szCs w:val="20"/>
        </w:rPr>
      </w:r>
    </w:p>
    <w:p>
      <w:pPr>
        <w:pStyle w:val="Normal"/>
        <w:jc w:val="both"/>
        <w:rPr/>
      </w:pPr>
      <w:r>
        <w:rPr>
          <w:b/>
          <w:bCs/>
          <w:sz w:val="20"/>
          <w:szCs w:val="20"/>
        </w:rPr>
        <w:t>Адрес объекта: г. Чита, ул. Бабушкина, д. 127</w:t>
      </w:r>
    </w:p>
    <w:tbl>
      <w:tblPr>
        <w:tblStyle w:val="af1"/>
        <w:tblW w:w="991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5"/>
        <w:gridCol w:w="2487"/>
        <w:gridCol w:w="5450"/>
        <w:gridCol w:w="788"/>
        <w:gridCol w:w="625"/>
      </w:tblGrid>
      <w:tr>
        <w:trPr>
          <w:tblHeader w:val="true"/>
          <w:trHeight w:val="630" w:hRule="atLeast"/>
        </w:trPr>
        <w:tc>
          <w:tcPr>
            <w:tcW w:w="565" w:type="dxa"/>
            <w:tcBorders/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jc w:val="center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487" w:type="dxa"/>
            <w:tcBorders/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jc w:val="center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Наименование оборудования/материалов</w:t>
            </w:r>
          </w:p>
        </w:tc>
        <w:tc>
          <w:tcPr>
            <w:tcW w:w="5450" w:type="dxa"/>
            <w:tcBorders/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jc w:val="center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Технические характеристики оборудования/ материалов</w:t>
            </w:r>
          </w:p>
        </w:tc>
        <w:tc>
          <w:tcPr>
            <w:tcW w:w="788" w:type="dxa"/>
            <w:tcBorders/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jc w:val="center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Ед. изм.</w:t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jc w:val="center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Кол-во</w:t>
            </w:r>
          </w:p>
        </w:tc>
      </w:tr>
      <w:tr>
        <w:trPr>
          <w:trHeight w:val="194" w:hRule="atLeast"/>
        </w:trPr>
        <w:tc>
          <w:tcPr>
            <w:tcW w:w="565" w:type="dxa"/>
            <w:tcBorders>
              <w:left w:val="single" w:sz="8" w:space="0" w:color="000000"/>
            </w:tcBorders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jc w:val="center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87" w:type="dxa"/>
            <w:tcBorders>
              <w:left w:val="nil"/>
              <w:right w:val="nil"/>
            </w:tcBorders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Видеокамера IP (I3/E/Y/2.8mm/v5.0)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bookmarkStart w:id="1" w:name="__DdeLink__1743_436043871"/>
            <w:r>
              <w:rPr>
                <w:rFonts w:eastAsia="Times New Roman" w:ascii="Times New Roman" w:hAnsi="Times New Roman"/>
                <w:sz w:val="20"/>
                <w:szCs w:val="20"/>
              </w:rPr>
              <w:t>купольная PoE /внутренняя IP20</w:t>
            </w:r>
            <w:bookmarkEnd w:id="1"/>
            <w:r>
              <w:rPr>
                <w:rFonts w:eastAsia="Times New Roman" w:ascii="Times New Roman" w:hAnsi="Times New Roman"/>
                <w:sz w:val="20"/>
                <w:szCs w:val="20"/>
              </w:rPr>
              <w:t xml:space="preserve"> или аналог</w:t>
            </w:r>
          </w:p>
        </w:tc>
        <w:tc>
          <w:tcPr>
            <w:tcW w:w="5450" w:type="dxa"/>
            <w:tcBorders/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Разрешение 4Мп (2560</w:t>
            </w: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>x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>1440)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Объектив 2,8мм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Матрица 1/2.7"CMOS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Светочуствительность:0.02Lux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Кодек сжатия H.265/H.265+/H.264/H.264+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Класс защиты IP66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ИК-подсветка: дистанция 30m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Встроенный микрофон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Температурный режим -40℃ до 60℃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Напряжение питания, В PoE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Потребляемая мощность, Вт 5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788" w:type="dxa"/>
            <w:tcBorders/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jc w:val="center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21</w:t>
            </w:r>
          </w:p>
        </w:tc>
      </w:tr>
      <w:tr>
        <w:trPr>
          <w:trHeight w:val="194" w:hRule="atLeast"/>
        </w:trPr>
        <w:tc>
          <w:tcPr>
            <w:tcW w:w="565" w:type="dxa"/>
            <w:tcBorders>
              <w:left w:val="single" w:sz="8" w:space="0" w:color="000000"/>
            </w:tcBorders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jc w:val="center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87" w:type="dxa"/>
            <w:tcBorders>
              <w:left w:val="nil"/>
              <w:right w:val="nil"/>
            </w:tcBorders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Видеокамера IP (I3/E/Y/2.8mm-V5.0)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цилиндр/уличная или аналог</w:t>
            </w:r>
          </w:p>
        </w:tc>
        <w:tc>
          <w:tcPr>
            <w:tcW w:w="5450" w:type="dxa"/>
            <w:tcBorders/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Разрешение 4МП (2560х1440)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Объектив, мм 2.8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Матрица 1/3'' CMOS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Кодек сжатия видео H.265/H.265+/H.264/H.264+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Класс защиты IP67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Подсветка ИК 30м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Поддержка/Питание PoE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Потребляемая мощность, Вт 5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Чувствительный элемент 1/3" Progressive Scan CMOS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Чувствительность, лк 0.02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Аудиовход/выход Микрофон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Тип подсветки ИК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Скорость передачи макс. к/сек 20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Диапазон рабочих температур, °С -30…+60</w:t>
            </w:r>
          </w:p>
        </w:tc>
        <w:tc>
          <w:tcPr>
            <w:tcW w:w="788" w:type="dxa"/>
            <w:tcBorders/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jc w:val="center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13</w:t>
            </w:r>
          </w:p>
        </w:tc>
      </w:tr>
      <w:tr>
        <w:trPr>
          <w:trHeight w:val="194" w:hRule="atLeast"/>
        </w:trPr>
        <w:tc>
          <w:tcPr>
            <w:tcW w:w="565" w:type="dxa"/>
            <w:tcBorders>
              <w:top w:val="nil"/>
              <w:left w:val="single" w:sz="8" w:space="0" w:color="000000"/>
            </w:tcBorders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jc w:val="center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87" w:type="dxa"/>
            <w:tcBorders>
              <w:top w:val="nil"/>
              <w:left w:val="nil"/>
              <w:right w:val="nil"/>
            </w:tcBorders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Монтажная коробка предназначена для установки и подключения уличных видеокамер</w:t>
            </w:r>
          </w:p>
        </w:tc>
        <w:tc>
          <w:tcPr>
            <w:tcW w:w="5450" w:type="dxa"/>
            <w:tcBorders>
              <w:top w:val="nil"/>
            </w:tcBorders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Назначение: для установки и подключения уличных видеокамер,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Корпус: пластик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Максимальная нагрузка 1кг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Вес 0.15кг,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Температурный режим-50 +60°С,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Степень защиты: IP 65,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Габаритные размеры:  121х41.5мм.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</w:tc>
        <w:tc>
          <w:tcPr>
            <w:tcW w:w="788" w:type="dxa"/>
            <w:tcBorders>
              <w:top w:val="nil"/>
            </w:tcBorders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jc w:val="center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625" w:type="dxa"/>
            <w:tcBorders>
              <w:top w:val="nil"/>
            </w:tcBorders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13</w:t>
            </w:r>
          </w:p>
        </w:tc>
      </w:tr>
      <w:tr>
        <w:trPr>
          <w:trHeight w:val="194" w:hRule="atLeast"/>
        </w:trPr>
        <w:tc>
          <w:tcPr>
            <w:tcW w:w="565" w:type="dxa"/>
            <w:tcBorders>
              <w:left w:val="single" w:sz="8" w:space="0" w:color="000000"/>
            </w:tcBorders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jc w:val="center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487" w:type="dxa"/>
            <w:tcBorders>
              <w:left w:val="nil"/>
              <w:right w:val="nil"/>
            </w:tcBorders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Коробка распаячная 100х100х50 IP55,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6 гермовводов</w:t>
            </w:r>
          </w:p>
        </w:tc>
        <w:tc>
          <w:tcPr>
            <w:tcW w:w="5450" w:type="dxa"/>
            <w:tcBorders/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Габаритные размеры, мм: 100 х 100 x 50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Количество гермовводов: 6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Степень влагозащищенности: IP 55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Материал: негорючая пластмасса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788" w:type="dxa"/>
            <w:tcBorders/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jc w:val="center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shd w:fill="auto" w:val="clear"/>
              </w:rPr>
              <w:t>21</w:t>
            </w:r>
          </w:p>
        </w:tc>
      </w:tr>
      <w:tr>
        <w:trPr>
          <w:trHeight w:val="194" w:hRule="atLeast"/>
        </w:trPr>
        <w:tc>
          <w:tcPr>
            <w:tcW w:w="565" w:type="dxa"/>
            <w:tcBorders>
              <w:left w:val="single" w:sz="8" w:space="0" w:color="000000"/>
            </w:tcBorders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jc w:val="center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87" w:type="dxa"/>
            <w:tcBorders>
              <w:left w:val="nil"/>
              <w:right w:val="nil"/>
            </w:tcBorders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Кронштейн металл. для установки в.к. КУ-2С исп.03 Кронштейн двойной (универсальный)</w:t>
            </w:r>
          </w:p>
        </w:tc>
        <w:tc>
          <w:tcPr>
            <w:tcW w:w="5450" w:type="dxa"/>
            <w:tcBorders/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Вид крепления на столб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Материал оцинкованная сталь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Диаметр мачты, мм от 76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Масса, кг 1,02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Нагрузка, кг до 10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Габаритные размеры, мм 119х263х58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Толщина металла, мм 2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Диапазон рабочих температур, ºС -50…+60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788" w:type="dxa"/>
            <w:tcBorders/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jc w:val="center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jc w:val="center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5</w:t>
            </w:r>
          </w:p>
        </w:tc>
      </w:tr>
      <w:tr>
        <w:trPr>
          <w:trHeight w:val="194" w:hRule="atLeast"/>
        </w:trPr>
        <w:tc>
          <w:tcPr>
            <w:tcW w:w="565" w:type="dxa"/>
            <w:tcBorders>
              <w:left w:val="single" w:sz="8" w:space="0" w:color="000000"/>
            </w:tcBorders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jc w:val="center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487" w:type="dxa"/>
            <w:tcBorders>
              <w:left w:val="nil"/>
              <w:right w:val="nil"/>
            </w:tcBorders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40 канальный IP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видеорегистратор,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поддержка до 12МП, 16канал. воспроизведения; Пропускная способность I/O: 400мbps/200мbps, Support Camera Smart VCA Dual RJ45 port, 4SATA(up to 10TB), 1 HDMI&amp;VGA, 2USB, Alarm I/O 16/4Видеорегистратор или аналог</w:t>
            </w:r>
          </w:p>
        </w:tc>
        <w:tc>
          <w:tcPr>
            <w:tcW w:w="5450" w:type="dxa"/>
            <w:tcBorders/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Tiandy TC-R3440 IP-видеорегистратор 40 канальный с поддержкой протокола ONVIF (Rfofile S);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>H.264/H.265/H.264 Smart/H.265 Smart;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Металл + пластик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Поддержка до 40 видеокамер с разрешением до 12МП;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Битрейт вх. до 400мбит/с; исх. до 200 Мбит;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Отображение 2×12M, 4×4K, 5×5M, 8×4M, 16×1080P, 32×720P, 40×4CIF;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Выходы - 1xHDMI(4K), 1xVGA; аудио 1x3,5мм;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HDD - 4 SATA (до 10ТБ), трев.вх./вых. - 16/4;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Сеть - 2x1 Гб (RJ45);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1xRS-485, 1xRS-232;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DC 12В, 5А (до 40Вт, без учета HDD)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788" w:type="dxa"/>
            <w:tcBorders/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jc w:val="center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jc w:val="center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194" w:hRule="atLeast"/>
        </w:trPr>
        <w:tc>
          <w:tcPr>
            <w:tcW w:w="565" w:type="dxa"/>
            <w:tcBorders>
              <w:left w:val="single" w:sz="8" w:space="0" w:color="000000"/>
            </w:tcBorders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jc w:val="center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487" w:type="dxa"/>
            <w:tcBorders>
              <w:left w:val="nil"/>
              <w:right w:val="nil"/>
            </w:tcBorders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Жесткий диск SATA-III 6TB или аналог</w:t>
            </w:r>
          </w:p>
        </w:tc>
        <w:tc>
          <w:tcPr>
            <w:tcW w:w="5450" w:type="dxa"/>
            <w:tcBorders/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Функционал Жесткий диск (HDD)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Емкость 6 Тб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Интерфейс SATA III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Назначение для систем видеонаблюдения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Форм-фактор 3,5"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788" w:type="dxa"/>
            <w:tcBorders/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jc w:val="center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jc w:val="center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194" w:hRule="atLeast"/>
        </w:trPr>
        <w:tc>
          <w:tcPr>
            <w:tcW w:w="565" w:type="dxa"/>
            <w:tcBorders>
              <w:left w:val="single" w:sz="8" w:space="0" w:color="000000"/>
            </w:tcBorders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jc w:val="center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487" w:type="dxa"/>
            <w:tcBorders>
              <w:left w:val="nil"/>
              <w:right w:val="nil"/>
            </w:tcBorders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 xml:space="preserve">Жесткий диск </w:t>
            </w: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>SATA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>-</w:t>
            </w: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>III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 xml:space="preserve"> 12</w:t>
            </w: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>TB или аналог</w:t>
            </w:r>
          </w:p>
        </w:tc>
        <w:tc>
          <w:tcPr>
            <w:tcW w:w="5450" w:type="dxa"/>
            <w:tcBorders/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Назначение д/видеосистемы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Объем HDD 12 ТБ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Интерфейс SATA III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Максимальная рабочая температура 65 °C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788" w:type="dxa"/>
            <w:tcBorders/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jc w:val="center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jc w:val="center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194" w:hRule="atLeast"/>
        </w:trPr>
        <w:tc>
          <w:tcPr>
            <w:tcW w:w="565" w:type="dxa"/>
            <w:tcBorders>
              <w:left w:val="single" w:sz="8" w:space="0" w:color="000000"/>
            </w:tcBorders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jc w:val="center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487" w:type="dxa"/>
            <w:tcBorders>
              <w:left w:val="nil"/>
              <w:right w:val="nil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К</w:t>
            </w:r>
            <w:r>
              <w:rPr>
                <w:rFonts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оммутатор EL S-24/24PA v.2 - 24 порта PoE</w:t>
            </w:r>
          </w:p>
          <w:p>
            <w:pPr>
              <w:pStyle w:val="Normal"/>
              <w:widowControl w:val="false"/>
              <w:spacing w:before="0" w:after="0"/>
              <w:ind w:hanging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5450" w:type="dxa"/>
            <w:tcBorders/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Совместимость</w:t>
              <w:tab/>
              <w:t>Совместим с удлинителем PoE сигнала Optimus EM1260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Номинальный ток</w:t>
              <w:tab/>
              <w:t>До 30Вт 1/2(+), 3/6(-)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Дальность передачи</w:t>
              <w:tab/>
              <w:t>До 250 метров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Режимы работы</w:t>
              <w:tab/>
              <w:t>100м/250м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Размер</w:t>
              <w:tab/>
              <w:t>310x190x45 мм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Питание</w:t>
              <w:tab/>
              <w:t>100~240В AC, 50-60 Гц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Коммутационная способность</w:t>
              <w:tab/>
              <w:t>9.2 Гбит/с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 xml:space="preserve">PoE 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>Бюджет</w:t>
            </w: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ab/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>До</w:t>
            </w: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 xml:space="preserve"> 200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>Вт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 xml:space="preserve">PoE 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>Стандарты</w:t>
            </w: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ab/>
              <w:t>IEEE802.3af/at Power over Ethernet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Система охлаждения</w:t>
              <w:tab/>
              <w:t>Пассивная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Требования к окружающей среде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Рабочая температура: -30° +65°C Температура хранения: -40° +70°C Влажность 10~90% (без образования конденсата)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Светодиоды состояния</w:t>
              <w:tab/>
              <w:t xml:space="preserve">PWR: 1 информирует о наличии питания на устройстве; SFP: информирует о подключении в SFP порт PoE: 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>24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 xml:space="preserve"> красный, информирует о наличии подключенных устройств; Uplink: 2 информирует о подключении в uplink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Метод коммутации</w:t>
              <w:tab/>
              <w:t>Store-and-Forward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PoE Power Output</w:t>
              <w:tab/>
              <w:t xml:space="preserve">На порт 52В DC, 570мА. </w:t>
            </w: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 xml:space="preserve">Max. 30 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>Вт</w:t>
            </w: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 xml:space="preserve"> (IEEE802.3af/at)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>Сетевые протоколы</w:t>
              <w:tab/>
              <w:t>IEEE 802.3, IEEE 802.3i 10Base-T, IEEE 802.3u 100Base-TX, IEEE 802.3ab 1</w:t>
            </w:r>
          </w:p>
        </w:tc>
        <w:tc>
          <w:tcPr>
            <w:tcW w:w="788" w:type="dxa"/>
            <w:tcBorders/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jc w:val="center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jc w:val="center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4</w:t>
            </w:r>
          </w:p>
        </w:tc>
      </w:tr>
      <w:tr>
        <w:trPr>
          <w:trHeight w:val="194" w:hRule="atLeast"/>
        </w:trPr>
        <w:tc>
          <w:tcPr>
            <w:tcW w:w="565" w:type="dxa"/>
            <w:tcBorders>
              <w:left w:val="single" w:sz="8" w:space="0" w:color="000000"/>
            </w:tcBorders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jc w:val="center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487" w:type="dxa"/>
            <w:tcBorders>
              <w:left w:val="nil"/>
              <w:right w:val="nil"/>
            </w:tcBorders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Коммутатор EL S-19/16PA v.1 - 16 портов PoE или аналог</w:t>
            </w:r>
          </w:p>
        </w:tc>
        <w:tc>
          <w:tcPr>
            <w:tcW w:w="5450" w:type="dxa"/>
            <w:tcBorders/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Совместимость</w:t>
              <w:tab/>
              <w:t>Совместим с удлинителем PoE сигнала Optimus EM1260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Номинальный ток</w:t>
              <w:tab/>
              <w:t>До 30Вт 1/2(+), 3/6(-)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Дальность передачи</w:t>
              <w:tab/>
              <w:t>До 250 метров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Режимы работы</w:t>
              <w:tab/>
              <w:t>100м/250м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Размер</w:t>
              <w:tab/>
              <w:t>310x190x45 мм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Питание</w:t>
              <w:tab/>
              <w:t>100~240В AC, 50-60 Гц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Коммутационная способность</w:t>
              <w:tab/>
              <w:t>9.2 Гбит/с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 xml:space="preserve">PoE 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>Бюджет</w:t>
            </w: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ab/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>До</w:t>
            </w: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 xml:space="preserve"> 200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>Вт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 xml:space="preserve">PoE 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>Стандарты</w:t>
            </w: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ab/>
              <w:t>IEEE802.3af/at Power over Ethernet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Система охлаждения</w:t>
              <w:tab/>
              <w:t>Пассивная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Требования к окружающей среде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Рабочая температура: -30° +65°C Температура хранения: -40° +70°C Влажность 10~90% (без образования конденсата)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Светодиоды состояния</w:t>
              <w:tab/>
              <w:t>PWR: 1 информирует о наличии питания на устройстве; SFP: информирует о подключении в SFP порт PoE: 16 красный, информирует о наличии подключенных устройств; Uplink: 2 информирует о подключении в uplink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Метод коммутации</w:t>
              <w:tab/>
              <w:t>Store-and-Forward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PoE Power Output</w:t>
              <w:tab/>
              <w:t xml:space="preserve">На порт 52В DC, 570мА. </w:t>
            </w: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 xml:space="preserve">Max. 30 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>Вт</w:t>
            </w: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 xml:space="preserve"> (IEEE802.3af/at)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Сетевые</w:t>
            </w: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>протоколы</w:t>
            </w: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ab/>
              <w:t>IEEE 802.3, IEEE 802.3i 10Base-T, IEEE 802.3u 100Base-TX, IEEE 802.3ab 1</w:t>
            </w:r>
          </w:p>
        </w:tc>
        <w:tc>
          <w:tcPr>
            <w:tcW w:w="788" w:type="dxa"/>
            <w:tcBorders/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jc w:val="center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jc w:val="center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194" w:hRule="atLeast"/>
        </w:trPr>
        <w:tc>
          <w:tcPr>
            <w:tcW w:w="565" w:type="dxa"/>
            <w:tcBorders>
              <w:left w:val="single" w:sz="8" w:space="0" w:color="000000"/>
            </w:tcBorders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jc w:val="center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487" w:type="dxa"/>
            <w:tcBorders>
              <w:left w:val="nil"/>
              <w:right w:val="nil"/>
            </w:tcBorders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rPr/>
            </w:pPr>
            <w:bookmarkStart w:id="2" w:name="__DdeLink__2044_436043871"/>
            <w:r>
              <w:rPr>
                <w:rFonts w:eastAsia="Times New Roman" w:ascii="Times New Roman" w:hAnsi="Times New Roman"/>
                <w:sz w:val="20"/>
                <w:szCs w:val="20"/>
              </w:rPr>
              <w:t>Дисплей/монитор 24,5”</w:t>
            </w:r>
            <w:bookmarkEnd w:id="2"/>
          </w:p>
        </w:tc>
        <w:tc>
          <w:tcPr>
            <w:tcW w:w="5450" w:type="dxa"/>
            <w:tcBorders/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Диагональ: 24.5"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Разрешение экрана: 1920x1080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Количество цветов: 16.7М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Максимальная частота обновления, Гц: 75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Тип подсветки: LED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Покрытие экрана: Матовое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Flicker Free: Есть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 xml:space="preserve">FreeSync: 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>Есть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 xml:space="preserve">Low Blue Light: 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>Есть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Интерфейсы HDMI: Есть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Версия HDMI: 1.4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 xml:space="preserve">D-Sub: 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>Есть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  <w:lang w:val="en-US"/>
              </w:rPr>
              <w:t xml:space="preserve">Display Port: 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>Есть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Аудио выход: Есть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Питание Блок питания монитора: Внешний, AC 100—240V, 50/60Hz, DC12V 3A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Энергопотребление (типичное значение): 24Вт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Энергопотребление (макс.): 36 Вт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Класс энергоэффективности: A+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Дополнительные характеристики Крепление VESA (мм): 75x75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Комплект поставки: Монитор, инструкция, кабель HDMI, адаптер питания, подставка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Размеры в упаковке (ШxГxВ), мм: 620x102x390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Вес с подставкой: 2,7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Вес без подставки: 2,5</w:t>
            </w:r>
          </w:p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Вес брутто, кг: 3,7</w:t>
            </w:r>
          </w:p>
        </w:tc>
        <w:tc>
          <w:tcPr>
            <w:tcW w:w="788" w:type="dxa"/>
            <w:tcBorders/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jc w:val="center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jc w:val="center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2</w:t>
            </w:r>
          </w:p>
        </w:tc>
      </w:tr>
      <w:tr>
        <w:trPr>
          <w:trHeight w:val="194" w:hRule="atLeast"/>
        </w:trPr>
        <w:tc>
          <w:tcPr>
            <w:tcW w:w="565" w:type="dxa"/>
            <w:tcBorders>
              <w:left w:val="single" w:sz="8" w:space="0" w:color="000000"/>
            </w:tcBorders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jc w:val="center"/>
              <w:rPr/>
            </w:pPr>
            <w:bookmarkStart w:id="3" w:name="_GoBack"/>
            <w:bookmarkEnd w:id="3"/>
            <w:r>
              <w:rPr>
                <w:rFonts w:eastAsia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487" w:type="dxa"/>
            <w:tcBorders>
              <w:left w:val="nil"/>
              <w:right w:val="nil"/>
            </w:tcBorders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 xml:space="preserve">ИБП для </w:t>
            </w:r>
            <w:r>
              <w:rPr>
                <w:rFonts w:eastAsia="Times New Roman" w:ascii="Times New Roman" w:hAnsi="Times New Roman"/>
                <w:bCs/>
                <w:sz w:val="20"/>
                <w:szCs w:val="20"/>
              </w:rPr>
              <w:t>СВН</w:t>
            </w:r>
          </w:p>
        </w:tc>
        <w:tc>
          <w:tcPr>
            <w:tcW w:w="5450" w:type="dxa"/>
            <w:tcBorders/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 xml:space="preserve">Соответствующей мощностью под технические характеристики </w:t>
            </w:r>
            <w:r>
              <w:rPr>
                <w:rFonts w:eastAsia="Times New Roman" w:ascii="Times New Roman" w:hAnsi="Times New Roman"/>
                <w:bCs/>
                <w:sz w:val="20"/>
                <w:szCs w:val="20"/>
              </w:rPr>
              <w:t>СВН</w:t>
            </w:r>
          </w:p>
        </w:tc>
        <w:tc>
          <w:tcPr>
            <w:tcW w:w="788" w:type="dxa"/>
            <w:tcBorders/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jc w:val="center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ConsNormal1"/>
              <w:widowControl w:val="false"/>
              <w:spacing w:before="0" w:after="0"/>
              <w:ind w:hanging="0"/>
              <w:jc w:val="center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</w:t>
            </w:r>
          </w:p>
        </w:tc>
      </w:tr>
    </w:tbl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/>
      </w:pPr>
      <w:r>
        <w:rPr>
          <w:b/>
          <w:sz w:val="20"/>
          <w:szCs w:val="20"/>
        </w:rPr>
        <w:tab/>
        <w:t>3. Требования к поставляемому товару:</w:t>
      </w:r>
    </w:p>
    <w:p>
      <w:pPr>
        <w:pStyle w:val="Normal"/>
        <w:jc w:val="both"/>
        <w:rPr/>
      </w:pPr>
      <w:r>
        <w:rPr>
          <w:sz w:val="20"/>
          <w:szCs w:val="20"/>
        </w:rPr>
        <w:tab/>
        <w:t>Соответствует установленным Заказчиком характеристикам и требованиям;</w:t>
      </w:r>
    </w:p>
    <w:p>
      <w:pPr>
        <w:pStyle w:val="Normal"/>
        <w:jc w:val="both"/>
        <w:rPr/>
      </w:pPr>
      <w:r>
        <w:rPr>
          <w:sz w:val="20"/>
          <w:szCs w:val="20"/>
        </w:rPr>
        <w:tab/>
        <w:t>Не имеет производственных (в том числе связанных с конструкцией, материалами, изготовлением, функционированием при его использовании) и/или иных дефектов (в том числе загрязнений, механических повреждений и других дефектов, контролируемых визуально);</w:t>
      </w:r>
    </w:p>
    <w:p>
      <w:pPr>
        <w:pStyle w:val="Normal"/>
        <w:jc w:val="both"/>
        <w:rPr/>
      </w:pPr>
      <w:r>
        <w:rPr>
          <w:sz w:val="20"/>
          <w:szCs w:val="20"/>
        </w:rPr>
        <w:tab/>
        <w:t>При использовании Товара по назначению не должно создаваться угрозы для жизни и здоровья Заказчика, окружающей среде, а также использование Товара не должно причинять вред имуществу Заказчика.</w:t>
      </w:r>
    </w:p>
    <w:p>
      <w:pPr>
        <w:pStyle w:val="Normal"/>
        <w:jc w:val="both"/>
        <w:rPr/>
      </w:pPr>
      <w:r>
        <w:rPr>
          <w:sz w:val="20"/>
          <w:szCs w:val="20"/>
        </w:rPr>
        <w:tab/>
        <w:t>При монтаже Товара необходимо обеспечить подключение в соответствии со строительными нормами</w:t>
        <w:br/>
        <w:t xml:space="preserve">и требованиями, с соблюдением техники безопасности, охраны труда, правил пожарной безопасности. </w:t>
      </w:r>
    </w:p>
    <w:p>
      <w:pPr>
        <w:pStyle w:val="Normal"/>
        <w:jc w:val="both"/>
        <w:rPr/>
      </w:pPr>
      <w:r>
        <w:rPr>
          <w:sz w:val="20"/>
          <w:szCs w:val="20"/>
        </w:rPr>
        <w:tab/>
        <w:t>Работы по монтажу должны производиться в рабочее время (с 9:00 до 18:00 ч., в пятницу с 09.00 до 16.45 ч)</w:t>
        <w:br/>
        <w:t xml:space="preserve">по согласованию с Заказчиком. </w:t>
      </w:r>
    </w:p>
    <w:p>
      <w:pPr>
        <w:pStyle w:val="Normal"/>
        <w:jc w:val="both"/>
        <w:rPr/>
      </w:pPr>
      <w:r>
        <w:rPr>
          <w:sz w:val="20"/>
          <w:szCs w:val="20"/>
        </w:rPr>
        <w:tab/>
        <w:t>Поставщик должен согласовать место, схему монтажа и список рабочих осуществляющих монтаж</w:t>
        <w:br/>
        <w:t>с ответственным за исполнение Контракта лицом.</w:t>
      </w:r>
    </w:p>
    <w:p>
      <w:pPr>
        <w:pStyle w:val="Normal"/>
        <w:ind w:right="0" w:hanging="0"/>
        <w:jc w:val="both"/>
        <w:rPr/>
      </w:pPr>
      <w:r>
        <w:rPr>
          <w:sz w:val="20"/>
          <w:szCs w:val="20"/>
        </w:rPr>
        <w:tab/>
        <w:t>Поставщик осуществляет доставку и монтаж собственными силами и собственным транспортом. Стоимость доставки, погрузо-разгрузочные работы, монтаж входят в стоимость Товара и возмещению не подлежат.</w:t>
      </w:r>
    </w:p>
    <w:p>
      <w:pPr>
        <w:pStyle w:val="Normal"/>
        <w:shd w:val="clear" w:color="auto" w:fill="FFFFFF"/>
        <w:tabs>
          <w:tab w:val="clear" w:pos="306"/>
          <w:tab w:val="left" w:pos="1075" w:leader="none"/>
        </w:tabs>
        <w:ind w:left="680" w:right="6" w:hanging="0"/>
        <w:rPr/>
      </w:pPr>
      <w:r>
        <w:rPr>
          <w:rFonts w:eastAsia="Calibri"/>
          <w:b/>
          <w:sz w:val="20"/>
          <w:szCs w:val="20"/>
        </w:rPr>
        <w:t>4. Приемосдаточные испытания</w:t>
      </w:r>
    </w:p>
    <w:p>
      <w:pPr>
        <w:pStyle w:val="Normal"/>
        <w:shd w:val="clear" w:color="auto" w:fill="FFFFFF"/>
        <w:tabs>
          <w:tab w:val="clear" w:pos="306"/>
          <w:tab w:val="left" w:pos="1075" w:leader="none"/>
        </w:tabs>
        <w:ind w:left="0" w:right="0" w:firstLine="680"/>
        <w:jc w:val="both"/>
        <w:rPr/>
      </w:pPr>
      <w:r>
        <w:rPr>
          <w:rFonts w:eastAsia="Calibri"/>
          <w:sz w:val="20"/>
          <w:szCs w:val="20"/>
        </w:rPr>
        <w:t>После поставки товара и завершения выполнения работ по установке проводятся приемосдаточные испытания, в ходе которых представитель Заказчика подтверждает или не подтверждает работоспособность системы в рамках, оговоренных в настоящем Техническом задании функциональных особенностей.</w:t>
      </w:r>
    </w:p>
    <w:p>
      <w:pPr>
        <w:pStyle w:val="Normal"/>
        <w:shd w:val="clear" w:color="auto" w:fill="FFFFFF"/>
        <w:ind w:right="5" w:hanging="0"/>
        <w:jc w:val="both"/>
        <w:rPr/>
      </w:pPr>
      <w:r>
        <w:rPr>
          <w:rFonts w:eastAsia="Calibri"/>
          <w:sz w:val="20"/>
          <w:szCs w:val="20"/>
        </w:rPr>
        <w:tab/>
        <w:t>В случае невыполнения указанных ниже условий параметры системы должны быть приведены в соответствии</w:t>
        <w:br/>
        <w:t>с данными пунктами Технического задания.</w:t>
      </w:r>
    </w:p>
    <w:p>
      <w:pPr>
        <w:pStyle w:val="Normal"/>
        <w:shd w:val="clear" w:color="auto" w:fill="FFFFFF"/>
        <w:ind w:right="5" w:hanging="0"/>
        <w:jc w:val="both"/>
        <w:rPr/>
      </w:pPr>
      <w:r>
        <w:rPr>
          <w:rFonts w:eastAsia="Calibri"/>
          <w:sz w:val="20"/>
          <w:szCs w:val="20"/>
        </w:rPr>
        <w:tab/>
        <w:t>По окончании приемосдаточных испытаний предоставить Заказчику:</w:t>
      </w:r>
    </w:p>
    <w:p>
      <w:pPr>
        <w:pStyle w:val="Normal"/>
        <w:widowControl/>
        <w:spacing w:beforeAutospacing="0" w:before="0" w:afterAutospacing="0" w:after="0"/>
        <w:contextualSpacing/>
        <w:jc w:val="both"/>
        <w:rPr/>
      </w:pPr>
      <w:r>
        <w:rPr>
          <w:rFonts w:eastAsia="Calibri"/>
          <w:sz w:val="20"/>
          <w:szCs w:val="20"/>
        </w:rPr>
        <w:tab/>
        <w:t>- Акт об окончании монтажных работ</w:t>
      </w:r>
    </w:p>
    <w:p>
      <w:pPr>
        <w:pStyle w:val="Normal"/>
        <w:widowControl/>
        <w:spacing w:before="0" w:after="0"/>
        <w:contextualSpacing/>
        <w:jc w:val="both"/>
        <w:rPr/>
      </w:pPr>
      <w:r>
        <w:rPr>
          <w:rFonts w:eastAsia="Calibri"/>
          <w:sz w:val="20"/>
          <w:szCs w:val="20"/>
        </w:rPr>
        <w:tab/>
        <w:t>- Ведомость смонтированного оборудования</w:t>
      </w:r>
    </w:p>
    <w:p>
      <w:pPr>
        <w:pStyle w:val="Normal"/>
        <w:widowControl/>
        <w:spacing w:before="0" w:after="0"/>
        <w:contextualSpacing/>
        <w:jc w:val="both"/>
        <w:rPr/>
      </w:pPr>
      <w:r>
        <w:rPr>
          <w:rFonts w:eastAsia="Calibri"/>
          <w:sz w:val="20"/>
          <w:szCs w:val="20"/>
        </w:rPr>
        <w:tab/>
        <w:t>- Акт пуско-наладки</w:t>
      </w:r>
    </w:p>
    <w:p>
      <w:pPr>
        <w:pStyle w:val="Normal"/>
        <w:widowControl/>
        <w:spacing w:before="0" w:after="0"/>
        <w:contextualSpacing/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ab/>
        <w:t xml:space="preserve"> - Схемы установки оборудования, кабельных трасс и т. д.</w:t>
      </w:r>
    </w:p>
    <w:p>
      <w:pPr>
        <w:pStyle w:val="Normal"/>
        <w:widowControl/>
        <w:spacing w:before="0" w:after="0"/>
        <w:contextualSpacing/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ab/>
        <w:t>- Документы, с которыми поставляется оборудование (инструкция, гарантийный талон и т. д.)</w:t>
      </w:r>
    </w:p>
    <w:p>
      <w:pPr>
        <w:pStyle w:val="Normal"/>
        <w:widowControl/>
        <w:spacing w:before="0" w:after="0"/>
        <w:contextualSpacing/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ab/>
        <w:t>- Сертификаты на оборудование</w:t>
      </w:r>
    </w:p>
    <w:p>
      <w:pPr>
        <w:pStyle w:val="Normal"/>
        <w:widowControl/>
        <w:spacing w:before="0" w:after="0"/>
        <w:contextualSpacing/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ab/>
        <w:t>- Учетные данные камер видеонаблюдения и серверного оборудования (логины и пароли)</w:t>
      </w:r>
    </w:p>
    <w:p>
      <w:pPr>
        <w:pStyle w:val="Style16"/>
        <w:widowControl/>
        <w:rPr/>
      </w:pPr>
      <w:r>
        <w:rPr>
          <w:rFonts w:eastAsia="Calibri" w:cs="Times New Roman" w:ascii="Times New Roman" w:hAnsi="Times New Roman"/>
          <w:b/>
          <w:bCs/>
          <w:sz w:val="20"/>
          <w:szCs w:val="20"/>
        </w:rPr>
        <w:tab/>
        <w:t>5. Требования к гарантии:</w:t>
      </w:r>
    </w:p>
    <w:p>
      <w:pPr>
        <w:pStyle w:val="Normal"/>
        <w:widowControl/>
        <w:spacing w:before="0" w:after="0"/>
        <w:contextualSpacing/>
        <w:jc w:val="both"/>
        <w:rPr/>
      </w:pPr>
      <w:r>
        <w:rPr>
          <w:rFonts w:eastAsia="Calibri"/>
          <w:color w:val="000000"/>
          <w:sz w:val="20"/>
          <w:szCs w:val="20"/>
        </w:rPr>
        <w:tab/>
        <w:t>Гарантийный срок использования Товара составляет не менее 2 (двух) лет 24 месяцев с момента подписания Заказчиком товарной накладной, счета-фактуры, акта приема-передачи.</w:t>
      </w:r>
    </w:p>
    <w:p>
      <w:pPr>
        <w:pStyle w:val="Normal"/>
        <w:widowControl/>
        <w:spacing w:before="0" w:after="0"/>
        <w:contextualSpacing/>
        <w:jc w:val="both"/>
        <w:rPr/>
      </w:pPr>
      <w:r>
        <w:rPr>
          <w:rFonts w:eastAsia="Calibri"/>
          <w:color w:val="000000"/>
          <w:sz w:val="20"/>
          <w:szCs w:val="20"/>
        </w:rPr>
        <w:tab/>
        <w:t>Поставщик гарантирует, что поставляемые Товары изготовлены в соответствии со стандартами, показателями</w:t>
        <w:br/>
        <w:t xml:space="preserve">и параметрами, утвержденными на данный вид товара, являются новыми и ранее не использованными, не имеют дефектов, связанных с конструкцией, материалами или функционированием при штатном их использовании. </w:t>
      </w:r>
    </w:p>
    <w:p>
      <w:pPr>
        <w:pStyle w:val="Normal"/>
        <w:widowControl/>
        <w:spacing w:before="0" w:after="0"/>
        <w:contextualSpacing/>
        <w:jc w:val="both"/>
        <w:rPr>
          <w:rFonts w:eastAsia="Calibri"/>
          <w:b/>
          <w:b/>
          <w:bCs/>
          <w:color w:val="000000"/>
          <w:sz w:val="20"/>
          <w:szCs w:val="20"/>
        </w:rPr>
      </w:pPr>
      <w:r>
        <w:rPr>
          <w:rFonts w:eastAsia="Calibri"/>
          <w:b/>
          <w:bCs/>
          <w:color w:val="000000"/>
          <w:sz w:val="20"/>
          <w:szCs w:val="20"/>
        </w:rPr>
        <w:tab/>
        <w:t xml:space="preserve">6. Требования к качеству и безопасности производства работ: </w:t>
      </w:r>
    </w:p>
    <w:p>
      <w:pPr>
        <w:pStyle w:val="Normal"/>
        <w:widowControl/>
        <w:spacing w:before="0" w:after="0"/>
        <w:contextualSpacing/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ab/>
        <w:t>1. Подрядчик обязан соблюдать при выполнении работ требования нормативных правовых актов, как в отношении работ, так и в отношении материалов, комплектующих и оборудования, используемых при выполнении работ:</w:t>
      </w:r>
    </w:p>
    <w:p>
      <w:pPr>
        <w:pStyle w:val="Normal"/>
        <w:widowControl/>
        <w:spacing w:before="0" w:after="0"/>
        <w:contextualSpacing/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>- Правила по охране труда при эксплуатации электроустановок, утвержденные Приказом Минтруда и социальной защиты РФ от 15.12.2020 № 9032н;</w:t>
      </w:r>
    </w:p>
    <w:p>
      <w:pPr>
        <w:pStyle w:val="Normal"/>
        <w:widowControl/>
        <w:spacing w:before="0" w:after="0"/>
        <w:contextualSpacing/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>- СП 49.13330.2010 Безопасность труда в строительстве. Часть 1;</w:t>
      </w:r>
    </w:p>
    <w:p>
      <w:pPr>
        <w:pStyle w:val="Normal"/>
        <w:widowControl/>
        <w:spacing w:before="0" w:after="0"/>
        <w:contextualSpacing/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>- СНиП 12-04-2002 Безопасность труда в строительстве. Часть 2;</w:t>
      </w:r>
    </w:p>
    <w:p>
      <w:pPr>
        <w:pStyle w:val="Normal"/>
        <w:widowControl/>
        <w:spacing w:before="0" w:after="0"/>
        <w:contextualSpacing/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>- Правила Устройства Электроустановок, утвержденные Приказом Минэнерго России от 08.07.2002 N 204;</w:t>
      </w:r>
    </w:p>
    <w:p>
      <w:pPr>
        <w:pStyle w:val="Normal"/>
        <w:widowControl/>
        <w:spacing w:before="0" w:after="0"/>
        <w:contextualSpacing/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>- ГОСТ 12.1.030-81 Система стандартов безопасности труда (ССБТ). Электробезопасность. Защитное заземление. Зануление. (с Изменением N 1);</w:t>
      </w:r>
    </w:p>
    <w:p>
      <w:pPr>
        <w:pStyle w:val="Normal"/>
        <w:widowControl/>
        <w:spacing w:before="0" w:after="0"/>
        <w:contextualSpacing/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</w:t>
      </w:r>
      <w:r>
        <w:rPr>
          <w:rFonts w:eastAsia="Calibri"/>
          <w:color w:val="000000"/>
          <w:sz w:val="20"/>
          <w:szCs w:val="20"/>
        </w:rPr>
        <w:t>- СП 76.13330.2016 Свод правил. Электротехнические устройства;</w:t>
      </w:r>
    </w:p>
    <w:p>
      <w:pPr>
        <w:pStyle w:val="Normal"/>
        <w:widowControl/>
        <w:spacing w:before="0" w:after="0"/>
        <w:contextualSpacing/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>- И иным государственным стандартам, действующими строительными нормы и правилами, техническими регламентами, санитарными нормами и правилами, предназначенными для данных видов работ.</w:t>
      </w:r>
    </w:p>
    <w:p>
      <w:pPr>
        <w:pStyle w:val="Normal"/>
        <w:widowControl/>
        <w:spacing w:before="0" w:after="0"/>
        <w:contextualSpacing/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ab/>
        <w:t>2. При монтаже оборудования следует руководствоваться требованиями СНиП 12-04-2002 и СП 49.13330.2010, в том числе необходимо соблюдать требования, изложенные в разделах:</w:t>
      </w:r>
    </w:p>
    <w:p>
      <w:pPr>
        <w:pStyle w:val="Normal"/>
        <w:widowControl/>
        <w:spacing w:before="0" w:after="0"/>
        <w:contextualSpacing/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>- электромонтажные работы;</w:t>
      </w:r>
    </w:p>
    <w:p>
      <w:pPr>
        <w:pStyle w:val="Normal"/>
        <w:widowControl/>
        <w:spacing w:before="0" w:after="0"/>
        <w:contextualSpacing/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>- погрузочно-разгрузочные работы;</w:t>
      </w:r>
    </w:p>
    <w:p>
      <w:pPr>
        <w:pStyle w:val="Normal"/>
        <w:widowControl/>
        <w:spacing w:before="0" w:after="0"/>
        <w:contextualSpacing/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>- эксплуатация технологической оснастки и инструмента;</w:t>
      </w:r>
    </w:p>
    <w:p>
      <w:pPr>
        <w:pStyle w:val="Normal"/>
        <w:widowControl/>
        <w:spacing w:before="0" w:after="0"/>
        <w:contextualSpacing/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>- монтажные работы;</w:t>
      </w:r>
    </w:p>
    <w:p>
      <w:pPr>
        <w:pStyle w:val="Normal"/>
        <w:widowControl/>
        <w:spacing w:before="0" w:after="0"/>
        <w:contextualSpacing/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>- испытание оборудования;</w:t>
        <w:tab/>
      </w:r>
    </w:p>
    <w:p>
      <w:pPr>
        <w:pStyle w:val="Normal"/>
        <w:widowControl/>
        <w:spacing w:before="0" w:after="0"/>
        <w:contextualSpacing/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>- обеспечение электробезопасности;</w:t>
      </w:r>
    </w:p>
    <w:p>
      <w:pPr>
        <w:pStyle w:val="Normal"/>
        <w:widowControl/>
        <w:spacing w:before="0" w:after="0"/>
        <w:contextualSpacing/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>- организация работы по обеспечению охраны труда;</w:t>
      </w:r>
    </w:p>
    <w:p>
      <w:pPr>
        <w:pStyle w:val="Normal"/>
        <w:widowControl/>
        <w:spacing w:before="0" w:after="0"/>
        <w:contextualSpacing/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>- обеспечение защиты работников от воздействия вредных производственных факторов</w:t>
      </w:r>
    </w:p>
    <w:p>
      <w:pPr>
        <w:pStyle w:val="Normal"/>
        <w:widowControl/>
        <w:spacing w:before="0" w:after="0"/>
        <w:contextualSpacing/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ab/>
        <w:t>Монтажные и ремонтные работы в электрических сетях и устройствах (или вблизи них), а также работы по присоединению и отсоединению проводов должны производиться при снятом напряжении.</w:t>
      </w:r>
    </w:p>
    <w:p>
      <w:pPr>
        <w:pStyle w:val="Normal"/>
        <w:widowControl/>
        <w:spacing w:before="0" w:after="0"/>
        <w:contextualSpacing/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</w:r>
    </w:p>
    <w:p>
      <w:pPr>
        <w:pStyle w:val="Normal"/>
        <w:widowControl/>
        <w:spacing w:before="0" w:after="0"/>
        <w:contextualSpacing/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</w:r>
    </w:p>
    <w:p>
      <w:pPr>
        <w:pStyle w:val="Normal"/>
        <w:rPr/>
      </w:pPr>
      <w:r>
        <w:rPr>
          <w:sz w:val="26"/>
          <w:szCs w:val="26"/>
        </w:rPr>
        <w:t>Разработчик технического задания:</w:t>
      </w:r>
    </w:p>
    <w:p>
      <w:pPr>
        <w:pStyle w:val="Normal"/>
        <w:rPr/>
      </w:pPr>
      <w:r>
        <w:rPr>
          <w:sz w:val="26"/>
          <w:szCs w:val="26"/>
        </w:rPr>
        <w:t>Главный инспектор отдела ООУПДС</w:t>
      </w:r>
    </w:p>
    <w:p>
      <w:pPr>
        <w:pStyle w:val="Normal"/>
        <w:rPr/>
      </w:pPr>
      <w:r>
        <w:rPr>
          <w:sz w:val="26"/>
          <w:szCs w:val="26"/>
        </w:rPr>
        <w:t>УФССП России по Забайкальскому краю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/>
      </w:pPr>
      <w:r>
        <w:rPr>
          <w:sz w:val="26"/>
          <w:szCs w:val="26"/>
        </w:rPr>
        <w:t>старший лейтенант</w:t>
      </w:r>
    </w:p>
    <w:p>
      <w:pPr>
        <w:pStyle w:val="Normal"/>
        <w:rPr/>
      </w:pPr>
      <w:r>
        <w:rPr>
          <w:sz w:val="26"/>
          <w:szCs w:val="26"/>
        </w:rPr>
        <w:t>внутренней службы                                           __________________________Д.Н. Зайцев</w:t>
      </w:r>
    </w:p>
    <w:p>
      <w:pPr>
        <w:pStyle w:val="Normal"/>
        <w:rPr/>
      </w:pPr>
      <w:r>
        <w:rPr>
          <w:sz w:val="26"/>
          <w:szCs w:val="26"/>
        </w:rPr>
        <w:t xml:space="preserve">                                                                                                                    </w:t>
      </w:r>
      <w:r>
        <w:rPr>
          <w:sz w:val="26"/>
          <w:szCs w:val="26"/>
        </w:rPr>
        <w:t>тел. 8(3022)34-40-26</w:t>
      </w:r>
    </w:p>
    <w:sectPr>
      <w:type w:val="nextPage"/>
      <w:pgSz w:w="11906" w:h="16838"/>
      <w:pgMar w:left="1134" w:right="850" w:gutter="0" w:header="0" w:top="850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Century Gothic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8"/>
  <w:defaultTabStop w:val="306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46946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qFormat/>
    <w:rsid w:val="007b2fc9"/>
    <w:pPr>
      <w:keepNext w:val="true"/>
      <w:widowControl/>
      <w:jc w:val="both"/>
      <w:outlineLvl w:val="0"/>
    </w:pPr>
    <w:rPr>
      <w:sz w:val="28"/>
      <w:szCs w:val="20"/>
    </w:rPr>
  </w:style>
  <w:style w:type="paragraph" w:styleId="2">
    <w:name w:val="Heading 2"/>
    <w:basedOn w:val="Normal"/>
    <w:qFormat/>
    <w:rsid w:val="007b2fc9"/>
    <w:pPr>
      <w:keepNext w:val="true"/>
      <w:widowControl/>
      <w:jc w:val="both"/>
      <w:outlineLvl w:val="1"/>
    </w:pPr>
    <w:rPr>
      <w:szCs w:val="20"/>
    </w:rPr>
  </w:style>
  <w:style w:type="paragraph" w:styleId="3">
    <w:name w:val="Heading 3"/>
    <w:basedOn w:val="Normal"/>
    <w:qFormat/>
    <w:rsid w:val="007b2fc9"/>
    <w:pPr>
      <w:keepNext w:val="true"/>
      <w:widowControl/>
      <w:jc w:val="both"/>
      <w:outlineLvl w:val="2"/>
    </w:pPr>
    <w:rPr>
      <w:szCs w:val="20"/>
    </w:rPr>
  </w:style>
  <w:style w:type="paragraph" w:styleId="4">
    <w:name w:val="Heading 4"/>
    <w:basedOn w:val="Normal"/>
    <w:qFormat/>
    <w:rsid w:val="007b2fc9"/>
    <w:pPr>
      <w:keepNext w:val="true"/>
      <w:widowControl/>
      <w:ind w:firstLine="142"/>
      <w:jc w:val="both"/>
      <w:outlineLvl w:val="3"/>
    </w:pPr>
    <w:rPr>
      <w:sz w:val="22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qFormat/>
    <w:rsid w:val="007b2fc9"/>
    <w:rPr>
      <w:sz w:val="28"/>
    </w:rPr>
  </w:style>
  <w:style w:type="character" w:styleId="21" w:customStyle="1">
    <w:name w:val="Заголовок 2 Знак"/>
    <w:basedOn w:val="DefaultParagraphFont"/>
    <w:qFormat/>
    <w:rsid w:val="007b2fc9"/>
    <w:rPr>
      <w:sz w:val="24"/>
    </w:rPr>
  </w:style>
  <w:style w:type="character" w:styleId="31" w:customStyle="1">
    <w:name w:val="Заголовок 3 Знак"/>
    <w:basedOn w:val="DefaultParagraphFont"/>
    <w:qFormat/>
    <w:rsid w:val="007b2fc9"/>
    <w:rPr>
      <w:sz w:val="24"/>
    </w:rPr>
  </w:style>
  <w:style w:type="character" w:styleId="41" w:customStyle="1">
    <w:name w:val="Заголовок 4 Знак"/>
    <w:basedOn w:val="DefaultParagraphFont"/>
    <w:qFormat/>
    <w:rsid w:val="007b2fc9"/>
    <w:rPr>
      <w:sz w:val="22"/>
    </w:rPr>
  </w:style>
  <w:style w:type="character" w:styleId="Style10">
    <w:name w:val="Выделение"/>
    <w:basedOn w:val="DefaultParagraphFont"/>
    <w:qFormat/>
    <w:rsid w:val="007b2fc9"/>
    <w:rPr>
      <w:i/>
    </w:rPr>
  </w:style>
  <w:style w:type="character" w:styleId="FontStyle43" w:customStyle="1">
    <w:name w:val="Font Style43"/>
    <w:qFormat/>
    <w:rsid w:val="00046946"/>
    <w:rPr>
      <w:rFonts w:ascii="Times New Roman" w:hAnsi="Times New Roman" w:cs="Times New Roman"/>
      <w:b/>
      <w:bCs/>
      <w:sz w:val="22"/>
      <w:szCs w:val="22"/>
    </w:rPr>
  </w:style>
  <w:style w:type="character" w:styleId="Style11" w:customStyle="1">
    <w:name w:val="Обычный (веб) Знак"/>
    <w:qFormat/>
    <w:rsid w:val="00046946"/>
    <w:rPr>
      <w:sz w:val="24"/>
      <w:szCs w:val="24"/>
    </w:rPr>
  </w:style>
  <w:style w:type="character" w:styleId="Style12" w:customStyle="1">
    <w:name w:val="Текст выноски Знак"/>
    <w:basedOn w:val="DefaultParagraphFont"/>
    <w:uiPriority w:val="99"/>
    <w:semiHidden/>
    <w:qFormat/>
    <w:rsid w:val="00632d15"/>
    <w:rPr>
      <w:rFonts w:ascii="Tahoma" w:hAnsi="Tahoma" w:cs="Tahoma"/>
      <w:sz w:val="16"/>
      <w:szCs w:val="16"/>
    </w:rPr>
  </w:style>
  <w:style w:type="character" w:styleId="Style13" w:customStyle="1">
    <w:name w:val="Основной текст Знак"/>
    <w:basedOn w:val="DefaultParagraphFont"/>
    <w:uiPriority w:val="1"/>
    <w:qFormat/>
    <w:rsid w:val="005d25da"/>
    <w:rPr>
      <w:rFonts w:ascii="Century Gothic" w:hAnsi="Century Gothic" w:eastAsia="Century Gothic" w:cs="Century Gothic"/>
      <w:sz w:val="22"/>
      <w:szCs w:val="22"/>
      <w:lang w:eastAsia="en-US"/>
    </w:rPr>
  </w:style>
  <w:style w:type="character" w:styleId="Style14" w:customStyle="1">
    <w:name w:val="Интернет-ссылка"/>
    <w:rPr>
      <w:color w:val="000080"/>
      <w:u w:val="single"/>
    </w:rPr>
  </w:style>
  <w:style w:type="character" w:styleId="ConsNormal" w:customStyle="1">
    <w:name w:val="ConsNormal Знак"/>
    <w:qFormat/>
    <w:locked/>
    <w:rsid w:val="002877a7"/>
    <w:rPr>
      <w:rFonts w:ascii="Arial" w:hAnsi="Arial"/>
    </w:rPr>
  </w:style>
  <w:style w:type="character" w:styleId="12">
    <w:name w:val="Основной шрифт абзаца1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Style16">
    <w:name w:val="Body Text"/>
    <w:basedOn w:val="Normal"/>
    <w:uiPriority w:val="1"/>
    <w:qFormat/>
    <w:rsid w:val="005d25da"/>
    <w:pPr/>
    <w:rPr>
      <w:rFonts w:ascii="Century Gothic" w:hAnsi="Century Gothic" w:eastAsia="Century Gothic" w:cs="Century Gothic"/>
      <w:sz w:val="22"/>
      <w:szCs w:val="22"/>
      <w:lang w:eastAsia="en-US"/>
    </w:rPr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Style20">
    <w:name w:val="Title"/>
    <w:basedOn w:val="Normal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NormalWeb">
    <w:name w:val="Normal (Web)"/>
    <w:basedOn w:val="Normal"/>
    <w:qFormat/>
    <w:rsid w:val="00046946"/>
    <w:pPr>
      <w:widowControl/>
      <w:spacing w:beforeAutospacing="1" w:afterAutospacing="1"/>
    </w:pPr>
    <w:rPr/>
  </w:style>
  <w:style w:type="paragraph" w:styleId="BalloonText">
    <w:name w:val="Balloon Text"/>
    <w:basedOn w:val="Normal"/>
    <w:uiPriority w:val="99"/>
    <w:semiHidden/>
    <w:unhideWhenUsed/>
    <w:qFormat/>
    <w:rsid w:val="00632d15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25da"/>
    <w:pPr>
      <w:spacing w:lineRule="exact" w:line="267"/>
      <w:ind w:left="538" w:hanging="289"/>
    </w:pPr>
    <w:rPr>
      <w:rFonts w:ascii="Century Gothic" w:hAnsi="Century Gothic" w:eastAsia="Century Gothic" w:cs="Century Gothic"/>
      <w:sz w:val="22"/>
      <w:szCs w:val="22"/>
      <w:lang w:eastAsia="en-US"/>
    </w:rPr>
  </w:style>
  <w:style w:type="paragraph" w:styleId="Style21" w:customStyle="1">
    <w:name w:val="Содержимое таблицы"/>
    <w:basedOn w:val="Normal"/>
    <w:qFormat/>
    <w:pPr>
      <w:suppressLineNumbers/>
    </w:pPr>
    <w:rPr/>
  </w:style>
  <w:style w:type="paragraph" w:styleId="Style22" w:customStyle="1">
    <w:name w:val="Заголовок таблицы"/>
    <w:basedOn w:val="Style21"/>
    <w:qFormat/>
    <w:pPr>
      <w:jc w:val="center"/>
    </w:pPr>
    <w:rPr>
      <w:b/>
      <w:bCs/>
    </w:rPr>
  </w:style>
  <w:style w:type="paragraph" w:styleId="ConsNormal1" w:customStyle="1">
    <w:name w:val="ConsNormal"/>
    <w:basedOn w:val="Normal"/>
    <w:qFormat/>
    <w:rsid w:val="002877a7"/>
    <w:pPr>
      <w:widowControl/>
      <w:suppressAutoHyphens w:val="false"/>
      <w:snapToGrid w:val="false"/>
      <w:ind w:firstLine="720"/>
    </w:pPr>
    <w:rPr>
      <w:rFonts w:ascii="Arial" w:hAnsi="Arial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39"/>
    <w:rsid w:val="006e6f3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17550E-86AC-48EE-BA62-C91685BC9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1220</TotalTime>
  <Application>LibreOffice/7.3.1.3$Windows_x86 LibreOffice_project/a69ca51ded25f3eefd52d7bf9a5fad8c90b87951</Application>
  <AppVersion>15.0000</AppVersion>
  <Pages>5</Pages>
  <Words>1526</Words>
  <Characters>10178</Characters>
  <CharactersWithSpaces>11668</CharactersWithSpaces>
  <Paragraphs>249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2022-01-26T12:30:00Z</dcterms:created>
  <dc:creator>ФССП</dc:creator>
  <dc:description/>
  <dc:language>ru-RU</dc:language>
  <cp:lastModifiedBy/>
  <cp:lastPrinted>2025-03-14T14:15:00Z</cp:lastPrinted>
  <dcterms:modified xsi:type="dcterms:W3CDTF">2026-03-25T17:59:40Z</dcterms:modified>
  <cp:revision>233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