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5" w:rsidRPr="00264710" w:rsidRDefault="005D6DA5" w:rsidP="005D6DA5">
      <w:pPr>
        <w:jc w:val="center"/>
        <w:rPr>
          <w:b/>
        </w:rPr>
      </w:pPr>
      <w:r w:rsidRPr="00264710">
        <w:rPr>
          <w:b/>
        </w:rPr>
        <w:t xml:space="preserve">Обоснование начальной (максимальной) цены </w:t>
      </w:r>
      <w:r w:rsidR="00F90DA2" w:rsidRPr="00264710">
        <w:rPr>
          <w:b/>
        </w:rPr>
        <w:t>договора</w:t>
      </w:r>
    </w:p>
    <w:p w:rsidR="00333641" w:rsidRPr="00264710" w:rsidRDefault="00333641" w:rsidP="005D6DA5">
      <w:pPr>
        <w:jc w:val="center"/>
        <w:rPr>
          <w:b/>
          <w:sz w:val="22"/>
          <w:szCs w:val="22"/>
        </w:rPr>
      </w:pPr>
    </w:p>
    <w:p w:rsidR="00954126" w:rsidRDefault="00954126" w:rsidP="00954126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муниципальных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экономического развития РФ от 2.10.2013 №567.</w:t>
      </w:r>
      <w:proofErr w:type="gramEnd"/>
    </w:p>
    <w:p w:rsidR="00954126" w:rsidRDefault="00954126" w:rsidP="00954126">
      <w:pPr>
        <w:ind w:firstLine="709"/>
        <w:jc w:val="both"/>
        <w:rPr>
          <w:sz w:val="22"/>
          <w:szCs w:val="22"/>
        </w:rPr>
      </w:pPr>
    </w:p>
    <w:p w:rsidR="00954126" w:rsidRDefault="00954126" w:rsidP="0095412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М)ЦК определена методом сопоставимых рыночных цен (анализа рынка). В целях получения ценовой информации был направлен запрос в адрес 3 (трех) потенциальных исполнителей. Получено 3 коммерческих предложения.</w:t>
      </w:r>
    </w:p>
    <w:p w:rsidR="000E4410" w:rsidRPr="00264710" w:rsidRDefault="000E4410" w:rsidP="005D6DA5">
      <w:pPr>
        <w:ind w:firstLine="709"/>
        <w:jc w:val="both"/>
        <w:rPr>
          <w:sz w:val="22"/>
          <w:szCs w:val="22"/>
        </w:rPr>
      </w:pPr>
    </w:p>
    <w:tbl>
      <w:tblPr>
        <w:tblW w:w="10538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860"/>
        <w:gridCol w:w="982"/>
        <w:gridCol w:w="1134"/>
        <w:gridCol w:w="851"/>
        <w:gridCol w:w="1167"/>
      </w:tblGrid>
      <w:tr w:rsidR="004F33BB" w:rsidRPr="008700BD" w:rsidTr="00C17261">
        <w:trPr>
          <w:trHeight w:val="1673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BB" w:rsidRPr="008700BD" w:rsidRDefault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8700BD" w:rsidRDefault="00A31DF9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8700BD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 xml:space="preserve">Коммерческие предложения, </w:t>
            </w:r>
          </w:p>
          <w:p w:rsidR="004F33BB" w:rsidRPr="008700BD" w:rsidRDefault="004F33BB" w:rsidP="00161425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8700BD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Оценка однородности совокупности значений выявленных цен, используемых в расчете  Н(М)ЦК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8700BD" w:rsidRDefault="00954126" w:rsidP="007050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Количество, </w:t>
            </w:r>
            <w:r w:rsidR="00705045">
              <w:rPr>
                <w:color w:val="000000"/>
                <w:sz w:val="20"/>
                <w:szCs w:val="20"/>
              </w:rPr>
              <w:t>шт</w:t>
            </w:r>
            <w:r w:rsidR="009C6E9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8700BD" w:rsidRDefault="004F33BB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F33BB" w:rsidRPr="008700BD" w:rsidTr="0098187D">
        <w:trPr>
          <w:trHeight w:val="2760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8700BD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8700BD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8700BD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3 предложение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D00BF8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Средняя арифметическая цена за единицу, руб.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Среднее квадратичное отклонение (σ)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 xml:space="preserve">Коэффициент вариации </w:t>
            </w:r>
          </w:p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 xml:space="preserve">цен V (%) (не должен </w:t>
            </w:r>
          </w:p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превышать 33%)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8700BD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5045" w:rsidRPr="008700BD" w:rsidTr="0098187D">
        <w:trPr>
          <w:cantSplit/>
          <w:trHeight w:val="11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45" w:rsidRPr="008700BD" w:rsidRDefault="00705045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8700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45" w:rsidRPr="00895DCF" w:rsidRDefault="007E3F93" w:rsidP="0020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 почтовый маркированный 110х220 литер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45" w:rsidRPr="008700BD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45" w:rsidRPr="008700BD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45" w:rsidRPr="008700BD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45" w:rsidRPr="008700BD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936DDC">
              <w:rPr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45" w:rsidRPr="008700BD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936D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45" w:rsidRPr="008700BD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936DDC">
              <w:rPr>
                <w:color w:val="000000"/>
                <w:sz w:val="20"/>
                <w:szCs w:val="20"/>
              </w:rPr>
              <w:t>1.64%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45" w:rsidRPr="00895DCF" w:rsidRDefault="00936DDC" w:rsidP="002025C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565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45" w:rsidRPr="008700BD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936DDC">
              <w:rPr>
                <w:color w:val="000000"/>
                <w:sz w:val="20"/>
                <w:szCs w:val="20"/>
              </w:rPr>
              <w:t>34465</w:t>
            </w:r>
          </w:p>
        </w:tc>
      </w:tr>
      <w:tr w:rsidR="00705045" w:rsidRPr="008700BD" w:rsidTr="0098187D">
        <w:trPr>
          <w:cantSplit/>
          <w:trHeight w:val="11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45" w:rsidRPr="008700BD" w:rsidRDefault="00705045" w:rsidP="0051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45" w:rsidRPr="00895DCF" w:rsidRDefault="007E3F93" w:rsidP="0020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 почтовый маркированный 162х229 литер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45" w:rsidRPr="009C6E97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45" w:rsidRPr="009C6E97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45" w:rsidRPr="009C6E97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45" w:rsidRPr="009C6E97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936DDC">
              <w:rPr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45" w:rsidRPr="009C6E97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936D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045" w:rsidRPr="009C6E97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936DDC">
              <w:rPr>
                <w:color w:val="000000"/>
                <w:sz w:val="20"/>
                <w:szCs w:val="20"/>
              </w:rPr>
              <w:t>1.52%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45" w:rsidRPr="00895DCF" w:rsidRDefault="00936DDC" w:rsidP="002025C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045" w:rsidRPr="009C6E97" w:rsidRDefault="00936DDC" w:rsidP="00F01D4C">
            <w:pPr>
              <w:jc w:val="center"/>
              <w:rPr>
                <w:color w:val="000000"/>
                <w:sz w:val="20"/>
                <w:szCs w:val="20"/>
              </w:rPr>
            </w:pPr>
            <w:r w:rsidRPr="00936DDC">
              <w:rPr>
                <w:color w:val="000000"/>
                <w:sz w:val="20"/>
                <w:szCs w:val="20"/>
              </w:rPr>
              <w:t>26400</w:t>
            </w:r>
          </w:p>
        </w:tc>
      </w:tr>
      <w:tr w:rsidR="00936DDC" w:rsidRPr="008700BD" w:rsidTr="0098187D">
        <w:trPr>
          <w:cantSplit/>
          <w:trHeight w:val="11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Pr="008700BD" w:rsidRDefault="00936DDC" w:rsidP="0051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DC" w:rsidRPr="00895DCF" w:rsidRDefault="00936DDC" w:rsidP="0020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почтовая (с</w:t>
            </w:r>
            <w:r w:rsidRPr="00C3621F">
              <w:rPr>
                <w:sz w:val="20"/>
                <w:szCs w:val="20"/>
              </w:rPr>
              <w:t>амоклеящаяся</w:t>
            </w:r>
            <w:r>
              <w:rPr>
                <w:sz w:val="20"/>
                <w:szCs w:val="20"/>
              </w:rPr>
              <w:t>) 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Pr="009C6E97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Pr="009C6E97" w:rsidRDefault="00936DDC" w:rsidP="008F2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DC" w:rsidRPr="009C6E97" w:rsidRDefault="00936DDC" w:rsidP="008F2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Pr="009C6E97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936DDC">
              <w:rPr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Pr="009C6E97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Pr="009C6E97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DC" w:rsidRPr="00895DCF" w:rsidRDefault="00936DDC" w:rsidP="002025C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DC" w:rsidRPr="009C6E97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936DDC">
              <w:rPr>
                <w:color w:val="000000"/>
                <w:sz w:val="20"/>
                <w:szCs w:val="20"/>
              </w:rPr>
              <w:t>25000</w:t>
            </w:r>
          </w:p>
        </w:tc>
      </w:tr>
      <w:tr w:rsidR="00936DDC" w:rsidRPr="008700BD" w:rsidTr="0098187D">
        <w:trPr>
          <w:cantSplit/>
          <w:trHeight w:val="11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Default="00936DDC" w:rsidP="0051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DC" w:rsidRDefault="00936DDC" w:rsidP="0020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почтовая (с</w:t>
            </w:r>
            <w:r w:rsidRPr="00C3621F">
              <w:rPr>
                <w:sz w:val="20"/>
                <w:szCs w:val="20"/>
              </w:rPr>
              <w:t>амоклеящаяся</w:t>
            </w:r>
            <w:r>
              <w:rPr>
                <w:sz w:val="20"/>
                <w:szCs w:val="20"/>
              </w:rPr>
              <w:t>) 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Default="00936DDC" w:rsidP="008F2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DC" w:rsidRDefault="00936DDC" w:rsidP="008F2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Pr="00F01D4C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DC" w:rsidRDefault="00936DDC" w:rsidP="002025C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DC" w:rsidRPr="00F01D4C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</w:tc>
      </w:tr>
      <w:tr w:rsidR="00936DDC" w:rsidRPr="008700BD" w:rsidTr="0098187D">
        <w:trPr>
          <w:cantSplit/>
          <w:trHeight w:val="11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Default="00936DDC" w:rsidP="00512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DC" w:rsidRDefault="00936DDC" w:rsidP="0020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почтовая (с</w:t>
            </w:r>
            <w:r w:rsidRPr="00C3621F">
              <w:rPr>
                <w:sz w:val="20"/>
                <w:szCs w:val="20"/>
              </w:rPr>
              <w:t>амоклеящаяся</w:t>
            </w:r>
            <w:r>
              <w:rPr>
                <w:sz w:val="20"/>
                <w:szCs w:val="20"/>
              </w:rPr>
              <w:t>) 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Default="00936DDC" w:rsidP="008F2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DC" w:rsidRDefault="00936DDC" w:rsidP="008F2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Pr="00F01D4C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DDC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DC" w:rsidRDefault="00936DDC" w:rsidP="002025C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DC" w:rsidRPr="00F01D4C" w:rsidRDefault="00936DDC" w:rsidP="00C17261">
            <w:pPr>
              <w:jc w:val="center"/>
              <w:rPr>
                <w:color w:val="000000"/>
                <w:sz w:val="20"/>
                <w:szCs w:val="20"/>
              </w:rPr>
            </w:pPr>
            <w:r w:rsidRPr="00936DDC">
              <w:rPr>
                <w:color w:val="000000"/>
                <w:sz w:val="20"/>
                <w:szCs w:val="20"/>
              </w:rPr>
              <w:t>2 000</w:t>
            </w:r>
          </w:p>
        </w:tc>
      </w:tr>
      <w:tr w:rsidR="00822A2F" w:rsidRPr="008700BD" w:rsidTr="00C17261">
        <w:trPr>
          <w:cantSplit/>
          <w:trHeight w:val="682"/>
          <w:jc w:val="center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8700BD" w:rsidRDefault="001E401A" w:rsidP="004F3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A2F" w:rsidRPr="008700BD" w:rsidRDefault="00897B03" w:rsidP="00C6666F">
            <w:pPr>
              <w:jc w:val="center"/>
              <w:rPr>
                <w:color w:val="000000"/>
                <w:sz w:val="20"/>
                <w:szCs w:val="20"/>
              </w:rPr>
            </w:pPr>
            <w:r w:rsidRPr="00897B03">
              <w:rPr>
                <w:color w:val="000000"/>
                <w:sz w:val="20"/>
                <w:szCs w:val="20"/>
              </w:rPr>
              <w:t>99 865</w:t>
            </w:r>
            <w:bookmarkStart w:id="0" w:name="_GoBack"/>
            <w:bookmarkEnd w:id="0"/>
          </w:p>
        </w:tc>
      </w:tr>
    </w:tbl>
    <w:p w:rsidR="00F94870" w:rsidRDefault="00F94870" w:rsidP="005D6DA5">
      <w:pPr>
        <w:ind w:firstLine="709"/>
        <w:jc w:val="both"/>
        <w:rPr>
          <w:sz w:val="22"/>
          <w:szCs w:val="22"/>
        </w:rPr>
      </w:pPr>
    </w:p>
    <w:p w:rsidR="00264710" w:rsidRDefault="00264710" w:rsidP="005D6DA5">
      <w:pPr>
        <w:ind w:firstLine="709"/>
        <w:jc w:val="both"/>
        <w:rPr>
          <w:sz w:val="22"/>
          <w:szCs w:val="22"/>
        </w:rPr>
      </w:pPr>
    </w:p>
    <w:p w:rsidR="00CD4450" w:rsidRDefault="00CD4450" w:rsidP="00954126">
      <w:pPr>
        <w:spacing w:line="360" w:lineRule="auto"/>
        <w:ind w:firstLine="709"/>
        <w:jc w:val="both"/>
        <w:rPr>
          <w:sz w:val="22"/>
          <w:szCs w:val="22"/>
        </w:rPr>
      </w:pPr>
    </w:p>
    <w:p w:rsidR="00954126" w:rsidRDefault="00954126" w:rsidP="00954126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 целях определения однородности совокупности значений выявленных цен, используемых в расчете НМЦК, коэффициент вариации цены определялся по следующей формуле:</w:t>
      </w:r>
    </w:p>
    <w:p w:rsidR="00954126" w:rsidRDefault="00954126" w:rsidP="00954126">
      <w:pPr>
        <w:spacing w:line="360" w:lineRule="auto"/>
        <w:rPr>
          <w:sz w:val="22"/>
          <w:szCs w:val="22"/>
        </w:rPr>
      </w:pPr>
    </w:p>
    <w:p w:rsidR="00954126" w:rsidRDefault="00954126" w:rsidP="00954126">
      <w:pPr>
        <w:pStyle w:val="ConsPlusNormal"/>
        <w:spacing w:line="36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>
            <wp:extent cx="1318260" cy="464820"/>
            <wp:effectExtent l="0" t="0" r="0" b="0"/>
            <wp:docPr id="12" name="Рисунок 12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153376_32773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954126" w:rsidRDefault="00954126" w:rsidP="00954126">
      <w:pPr>
        <w:pStyle w:val="ConsPlusNormal"/>
        <w:spacing w:line="360" w:lineRule="auto"/>
        <w:jc w:val="center"/>
        <w:rPr>
          <w:rFonts w:ascii="Times New Roman" w:hAnsi="Times New Roman" w:cs="Times New Roman"/>
          <w:szCs w:val="22"/>
        </w:rPr>
      </w:pPr>
    </w:p>
    <w:p w:rsidR="00954126" w:rsidRDefault="00954126" w:rsidP="00954126">
      <w:pPr>
        <w:rPr>
          <w:szCs w:val="22"/>
        </w:rPr>
      </w:pPr>
      <w:r>
        <w:rPr>
          <w:szCs w:val="22"/>
        </w:rPr>
        <w:t>где: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коэффициент вариации;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>
            <wp:extent cx="1752600" cy="601980"/>
            <wp:effectExtent l="0" t="0" r="0" b="7620"/>
            <wp:docPr id="11" name="Рисунок 11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153376_3277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10" name="Рисунок 10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153376_32775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954126" w:rsidRDefault="00954126" w:rsidP="00954126">
      <w:pPr>
        <w:spacing w:line="360" w:lineRule="auto"/>
        <w:rPr>
          <w:sz w:val="22"/>
          <w:szCs w:val="22"/>
        </w:rPr>
      </w:pP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954126" w:rsidRDefault="00954126" w:rsidP="00954126">
      <w:pPr>
        <w:pStyle w:val="ConsPlusNormal"/>
        <w:spacing w:line="36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>
            <wp:extent cx="1798320" cy="449580"/>
            <wp:effectExtent l="0" t="0" r="0" b="7620"/>
            <wp:docPr id="9" name="Рисунок 9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153376_32776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где: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746760" cy="243840"/>
            <wp:effectExtent l="0" t="0" r="0" b="3810"/>
            <wp:docPr id="8" name="Рисунок 8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153376_32777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НМЦК, </w:t>
      </w:r>
      <w:proofErr w:type="gramStart"/>
      <w:r>
        <w:rPr>
          <w:rFonts w:ascii="Times New Roman" w:hAnsi="Times New Roman" w:cs="Times New Roman"/>
          <w:szCs w:val="22"/>
        </w:rPr>
        <w:t>определяемая</w:t>
      </w:r>
      <w:proofErr w:type="gramEnd"/>
      <w:r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954126" w:rsidRDefault="00954126" w:rsidP="0095412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7" name="Рисунок 7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153376_32778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p w:rsidR="00954126" w:rsidRDefault="00954126" w:rsidP="00954126">
      <w:pPr>
        <w:ind w:firstLine="709"/>
        <w:jc w:val="both"/>
      </w:pPr>
    </w:p>
    <w:p w:rsidR="005D6DA5" w:rsidRPr="00264710" w:rsidRDefault="005D6DA5" w:rsidP="00954126">
      <w:pPr>
        <w:ind w:firstLine="709"/>
        <w:jc w:val="both"/>
        <w:rPr>
          <w:szCs w:val="22"/>
        </w:rPr>
      </w:pPr>
    </w:p>
    <w:sectPr w:rsidR="005D6DA5" w:rsidRPr="00264710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13EE5"/>
    <w:rsid w:val="00024E62"/>
    <w:rsid w:val="00063001"/>
    <w:rsid w:val="00090173"/>
    <w:rsid w:val="000A0706"/>
    <w:rsid w:val="000A0787"/>
    <w:rsid w:val="000A08E0"/>
    <w:rsid w:val="000B223E"/>
    <w:rsid w:val="000E4410"/>
    <w:rsid w:val="000F5C5A"/>
    <w:rsid w:val="001155F4"/>
    <w:rsid w:val="00117891"/>
    <w:rsid w:val="00124074"/>
    <w:rsid w:val="00143287"/>
    <w:rsid w:val="00157F4B"/>
    <w:rsid w:val="00161425"/>
    <w:rsid w:val="00163410"/>
    <w:rsid w:val="001719BA"/>
    <w:rsid w:val="001971BF"/>
    <w:rsid w:val="001A426C"/>
    <w:rsid w:val="001B0E18"/>
    <w:rsid w:val="001E261D"/>
    <w:rsid w:val="001E401A"/>
    <w:rsid w:val="001E671B"/>
    <w:rsid w:val="0020378F"/>
    <w:rsid w:val="00251C81"/>
    <w:rsid w:val="00252EEC"/>
    <w:rsid w:val="002626EB"/>
    <w:rsid w:val="00264710"/>
    <w:rsid w:val="002E01D5"/>
    <w:rsid w:val="002F07AE"/>
    <w:rsid w:val="00315311"/>
    <w:rsid w:val="0032093C"/>
    <w:rsid w:val="003306C8"/>
    <w:rsid w:val="00332373"/>
    <w:rsid w:val="00333641"/>
    <w:rsid w:val="00351A75"/>
    <w:rsid w:val="0035459B"/>
    <w:rsid w:val="00355291"/>
    <w:rsid w:val="00372717"/>
    <w:rsid w:val="0037763B"/>
    <w:rsid w:val="003914BE"/>
    <w:rsid w:val="003C01E5"/>
    <w:rsid w:val="003C5C53"/>
    <w:rsid w:val="003D4D53"/>
    <w:rsid w:val="003D5916"/>
    <w:rsid w:val="003E48FB"/>
    <w:rsid w:val="00405381"/>
    <w:rsid w:val="00447A4D"/>
    <w:rsid w:val="00471486"/>
    <w:rsid w:val="00497A00"/>
    <w:rsid w:val="004C2485"/>
    <w:rsid w:val="004D10AD"/>
    <w:rsid w:val="004F33BB"/>
    <w:rsid w:val="0050231D"/>
    <w:rsid w:val="0051239C"/>
    <w:rsid w:val="00531129"/>
    <w:rsid w:val="005341F4"/>
    <w:rsid w:val="005343FF"/>
    <w:rsid w:val="00541B76"/>
    <w:rsid w:val="00547599"/>
    <w:rsid w:val="005514C6"/>
    <w:rsid w:val="00562054"/>
    <w:rsid w:val="00572FE8"/>
    <w:rsid w:val="00574662"/>
    <w:rsid w:val="005877DD"/>
    <w:rsid w:val="00590705"/>
    <w:rsid w:val="005A491F"/>
    <w:rsid w:val="005D241F"/>
    <w:rsid w:val="005D6DA5"/>
    <w:rsid w:val="0062025B"/>
    <w:rsid w:val="00633B37"/>
    <w:rsid w:val="006472AD"/>
    <w:rsid w:val="006650EA"/>
    <w:rsid w:val="00677AB1"/>
    <w:rsid w:val="00680C55"/>
    <w:rsid w:val="00680EED"/>
    <w:rsid w:val="006A3E8D"/>
    <w:rsid w:val="006A601E"/>
    <w:rsid w:val="006B78E9"/>
    <w:rsid w:val="006C18F3"/>
    <w:rsid w:val="006E50DE"/>
    <w:rsid w:val="00705045"/>
    <w:rsid w:val="00712E92"/>
    <w:rsid w:val="00714AC8"/>
    <w:rsid w:val="00733D61"/>
    <w:rsid w:val="00744B55"/>
    <w:rsid w:val="00750305"/>
    <w:rsid w:val="00752A39"/>
    <w:rsid w:val="00754D4E"/>
    <w:rsid w:val="00755923"/>
    <w:rsid w:val="00766A93"/>
    <w:rsid w:val="00771FDD"/>
    <w:rsid w:val="0078668A"/>
    <w:rsid w:val="007C1459"/>
    <w:rsid w:val="007E1E95"/>
    <w:rsid w:val="007E3F93"/>
    <w:rsid w:val="007F78E9"/>
    <w:rsid w:val="00822A2F"/>
    <w:rsid w:val="008375D3"/>
    <w:rsid w:val="00852986"/>
    <w:rsid w:val="00853069"/>
    <w:rsid w:val="00857C60"/>
    <w:rsid w:val="0086201B"/>
    <w:rsid w:val="008700BD"/>
    <w:rsid w:val="00880900"/>
    <w:rsid w:val="00892A64"/>
    <w:rsid w:val="00893082"/>
    <w:rsid w:val="00896681"/>
    <w:rsid w:val="0089786D"/>
    <w:rsid w:val="00897B03"/>
    <w:rsid w:val="008A4900"/>
    <w:rsid w:val="008C104C"/>
    <w:rsid w:val="008D6D57"/>
    <w:rsid w:val="008E4AA3"/>
    <w:rsid w:val="00915288"/>
    <w:rsid w:val="009275DD"/>
    <w:rsid w:val="00932D3A"/>
    <w:rsid w:val="00935908"/>
    <w:rsid w:val="00936DDC"/>
    <w:rsid w:val="00945B4C"/>
    <w:rsid w:val="00953E39"/>
    <w:rsid w:val="00954126"/>
    <w:rsid w:val="00962B9D"/>
    <w:rsid w:val="009658A7"/>
    <w:rsid w:val="009752CA"/>
    <w:rsid w:val="0098187D"/>
    <w:rsid w:val="0098763E"/>
    <w:rsid w:val="009C3724"/>
    <w:rsid w:val="009C6E97"/>
    <w:rsid w:val="009D52EB"/>
    <w:rsid w:val="009F1CBF"/>
    <w:rsid w:val="00A004BD"/>
    <w:rsid w:val="00A00A1D"/>
    <w:rsid w:val="00A312E3"/>
    <w:rsid w:val="00A31CFA"/>
    <w:rsid w:val="00A31DF9"/>
    <w:rsid w:val="00A45E2E"/>
    <w:rsid w:val="00B01332"/>
    <w:rsid w:val="00B02717"/>
    <w:rsid w:val="00B13B23"/>
    <w:rsid w:val="00B222A8"/>
    <w:rsid w:val="00B43AE3"/>
    <w:rsid w:val="00B80394"/>
    <w:rsid w:val="00B87F53"/>
    <w:rsid w:val="00B932A5"/>
    <w:rsid w:val="00B97F42"/>
    <w:rsid w:val="00BC568D"/>
    <w:rsid w:val="00BE5D19"/>
    <w:rsid w:val="00C17261"/>
    <w:rsid w:val="00C25870"/>
    <w:rsid w:val="00C40458"/>
    <w:rsid w:val="00C647B2"/>
    <w:rsid w:val="00C6666F"/>
    <w:rsid w:val="00C77C65"/>
    <w:rsid w:val="00CA16B1"/>
    <w:rsid w:val="00CB4BF4"/>
    <w:rsid w:val="00CD1AF8"/>
    <w:rsid w:val="00CD4450"/>
    <w:rsid w:val="00D00BF8"/>
    <w:rsid w:val="00D41A1A"/>
    <w:rsid w:val="00D62A13"/>
    <w:rsid w:val="00D951B1"/>
    <w:rsid w:val="00DA45E9"/>
    <w:rsid w:val="00DA608A"/>
    <w:rsid w:val="00DA6405"/>
    <w:rsid w:val="00DD3CF1"/>
    <w:rsid w:val="00E05AAE"/>
    <w:rsid w:val="00E2032A"/>
    <w:rsid w:val="00E20A3A"/>
    <w:rsid w:val="00E94634"/>
    <w:rsid w:val="00E953D4"/>
    <w:rsid w:val="00EA3378"/>
    <w:rsid w:val="00ED2B53"/>
    <w:rsid w:val="00EE16FD"/>
    <w:rsid w:val="00EF08AF"/>
    <w:rsid w:val="00F01D4C"/>
    <w:rsid w:val="00F03D98"/>
    <w:rsid w:val="00F11C31"/>
    <w:rsid w:val="00F13258"/>
    <w:rsid w:val="00F26D24"/>
    <w:rsid w:val="00F6408A"/>
    <w:rsid w:val="00F677AC"/>
    <w:rsid w:val="00F90DA2"/>
    <w:rsid w:val="00F94870"/>
    <w:rsid w:val="00F966D8"/>
    <w:rsid w:val="00F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95DFF-FB18-4408-87A9-B4A41FB9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500756C4</Template>
  <TotalTime>685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169</cp:revision>
  <cp:lastPrinted>2024-04-15T11:47:00Z</cp:lastPrinted>
  <dcterms:created xsi:type="dcterms:W3CDTF">2018-03-02T07:45:00Z</dcterms:created>
  <dcterms:modified xsi:type="dcterms:W3CDTF">2026-06-26T08:12:00Z</dcterms:modified>
</cp:coreProperties>
</file>