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w:t>
      </w:r>
      <w:r>
        <w:rPr>
          <w:b/>
          <w:bCs/>
        </w:rPr>
        <w:t>14</w:t>
      </w:r>
      <w:r>
        <w:rPr>
          <w:b/>
          <w:bCs/>
        </w:rPr>
        <w:t>/26</w:t>
      </w:r>
    </w:p>
    <w:p>
      <w:pPr>
        <w:pStyle w:val="Normal"/>
        <w:jc w:val="center"/>
        <w:rPr>
          <w:b/>
        </w:rPr>
      </w:pPr>
      <w:r>
        <w:rPr>
          <w:b/>
        </w:rPr>
        <w:t>на поставку товаров для государственных нужд</w:t>
      </w:r>
    </w:p>
    <w:p>
      <w:pPr>
        <w:pStyle w:val="Normal"/>
        <w:jc w:val="center"/>
        <w:rPr>
          <w:b/>
          <w:shd w:fill="FFFF00" w:val="clear"/>
        </w:rPr>
      </w:pPr>
      <w:r>
        <w:rPr>
          <w:b/>
          <w:shd w:fill="FFFF00" w:val="clear"/>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w:t>
      </w:r>
      <w:r>
        <w:rPr/>
        <w:t>Ковжун Натальи Васильевны</w:t>
      </w:r>
      <w:r>
        <w:rPr/>
        <w:t>,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w:t>
      </w:r>
      <w:bookmarkStart w:id="3" w:name="_Hlk174882135"/>
      <w:r>
        <w:rPr/>
        <w:t xml:space="preserve"> </w:t>
      </w:r>
      <w:bookmarkEnd w:id="3"/>
      <w:r>
        <w:rPr>
          <w:rFonts w:eastAsia="Times New Roman" w:cs="Times New Roman"/>
          <w:b/>
          <w:bCs/>
          <w:color w:val="auto"/>
          <w:kern w:val="0"/>
          <w:sz w:val="20"/>
          <w:szCs w:val="20"/>
          <w:lang w:val="ru-RU" w:eastAsia="ru-RU" w:bidi="ar-SA"/>
        </w:rPr>
        <w:t xml:space="preserve">гигрометр электронный  с поверкой </w:t>
      </w:r>
      <w:r>
        <w:rPr>
          <w:rFonts w:eastAsia="Times New Roman" w:cs="Times New Roman"/>
          <w:b/>
          <w:bCs/>
          <w:color w:val="auto"/>
          <w:kern w:val="0"/>
          <w:sz w:val="20"/>
          <w:szCs w:val="20"/>
          <w:lang w:val="ru-RU" w:eastAsia="ru-RU" w:bidi="ar-SA"/>
        </w:rPr>
        <w:t>(далее- Товар)</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dark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dark1" w:val="000000"/>
          <w:sz w:val="24"/>
          <w:lang w:val="ru-RU"/>
        </w:rPr>
        <w:t xml:space="preserve">. </w:t>
      </w:r>
      <w:r>
        <w:rPr>
          <w:rFonts w:eastAsia="Times New Roman"/>
          <w:color w:themeColor="dark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fill="FFFFFF" w:val="clear"/>
        <w:tabs>
          <w:tab w:val="clear" w:pos="708"/>
          <w:tab w:val="left" w:pos="0" w:leader="none"/>
          <w:tab w:val="left" w:pos="900" w:leader="none"/>
        </w:tabs>
        <w:jc w:val="center"/>
        <w:rPr>
          <w:b/>
        </w:rPr>
      </w:pPr>
      <w:r>
        <w:rPr>
          <w:b/>
        </w:rPr>
        <w:t>4. Сроки и условия поставки Товара</w:t>
      </w:r>
    </w:p>
    <w:p>
      <w:pPr>
        <w:pStyle w:val="Normal"/>
        <w:shd w:fill="FFFFFF" w:val="clear"/>
        <w:tabs>
          <w:tab w:val="clear" w:pos="708"/>
          <w:tab w:val="left" w:pos="0" w:leader="none"/>
          <w:tab w:val="left" w:pos="900" w:leader="none"/>
        </w:tabs>
        <w:jc w:val="both"/>
        <w:rPr/>
      </w:pPr>
      <w:r>
        <w:rPr/>
        <w:t xml:space="preserve">4.1. Поставка товара осуществляется в течение 30 (тридцати) </w:t>
      </w:r>
      <w:r>
        <w:rPr/>
        <w:t>календарных</w:t>
      </w:r>
      <w:r>
        <w:rPr/>
        <w:t xml:space="preserve"> дней, следующих за днем заключения контракта.</w:t>
      </w:r>
    </w:p>
    <w:p>
      <w:pPr>
        <w:pStyle w:val="Normal"/>
        <w:shd w:fill="FFFFFF" w:val="clear"/>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fill="FFFFFF" w:val="clear"/>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fill="FFFFFF" w:val="clear"/>
        <w:tabs>
          <w:tab w:val="clear" w:pos="708"/>
          <w:tab w:val="left" w:pos="0" w:leader="none"/>
          <w:tab w:val="left" w:pos="900" w:leader="none"/>
        </w:tabs>
        <w:jc w:val="both"/>
        <w:rPr>
          <w:color w:themeColor="dark1" w:val="000000"/>
        </w:rPr>
      </w:pPr>
      <w:r>
        <w:rPr>
          <w:color w:themeColor="dark1" w:val="000000"/>
        </w:rPr>
        <w:t> </w:t>
      </w:r>
      <w:r>
        <w:rPr>
          <w:color w:themeColor="dark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w:t>
      </w:r>
      <w:r>
        <w:rPr/>
        <w:t>яцев</w:t>
      </w:r>
      <w:r>
        <w:rPr/>
        <w:t xml:space="preserve">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30</w:t>
      </w:r>
      <w:r>
        <w:rPr>
          <w:rFonts w:ascii="Times New Roman" w:hAnsi="Times New Roman"/>
          <w:sz w:val="20"/>
          <w:szCs w:val="20"/>
        </w:rPr>
        <w:t>.06.2026 г., а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fill="FFFFFF" w:val="clear"/>
        <w:jc w:val="center"/>
        <w:rPr>
          <w:b/>
        </w:rPr>
      </w:pPr>
      <w:r>
        <w:rPr>
          <w:b/>
        </w:rPr>
        <w:t>10. Переход права собственности и риск случайной гибели Товара</w:t>
      </w:r>
    </w:p>
    <w:p>
      <w:pPr>
        <w:pStyle w:val="Normal"/>
        <w:shd w:fill="FFFFFF" w:val="clear"/>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fill="FFFFFF" w:val="clear"/>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fill="FFFFFF" w:val="clear"/>
        <w:tabs>
          <w:tab w:val="clear" w:pos="708"/>
          <w:tab w:val="left" w:pos="540" w:leader="none"/>
          <w:tab w:val="left" w:pos="1248" w:leader="none"/>
        </w:tabs>
        <w:jc w:val="both"/>
        <w:rPr/>
      </w:pPr>
      <w:r>
        <w:rPr/>
      </w:r>
    </w:p>
    <w:p>
      <w:pPr>
        <w:pStyle w:val="Normal"/>
        <w:shd w:fill="FFFFFF" w:val="clear"/>
        <w:tabs>
          <w:tab w:val="clear" w:pos="708"/>
          <w:tab w:val="left" w:pos="540" w:leader="none"/>
          <w:tab w:val="left" w:pos="1248" w:leader="none"/>
        </w:tabs>
        <w:jc w:val="center"/>
        <w:rPr>
          <w:b/>
        </w:rPr>
      </w:pPr>
      <w:r>
        <w:rPr>
          <w:b/>
        </w:rPr>
        <w:t>11. Противодействие коррупции</w:t>
      </w:r>
    </w:p>
    <w:p>
      <w:pPr>
        <w:pStyle w:val="Normal"/>
        <w:shd w:fill="FFFFFF" w:val="clear"/>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fill="FFFFFF" w:val="clear"/>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fill="FFFFFF" w:val="clear"/>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fill="FFFFFF" w:val="clear"/>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fill="FFFFFF" w:val="clear"/>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fill="FFFFFF" w:val="clear"/>
        <w:tabs>
          <w:tab w:val="clear" w:pos="708"/>
          <w:tab w:val="left" w:pos="540" w:leader="none"/>
          <w:tab w:val="left" w:pos="1248" w:leader="none"/>
        </w:tabs>
        <w:jc w:val="center"/>
        <w:rPr/>
      </w:pPr>
      <w:r>
        <w:rPr/>
      </w:r>
    </w:p>
    <w:p>
      <w:pPr>
        <w:pStyle w:val="Normal"/>
        <w:shd w:fill="FFFFFF" w:val="clear"/>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fill="FFFFFF" w:val="clear"/>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Pr>
      <w:tblGrid>
        <w:gridCol w:w="5636"/>
        <w:gridCol w:w="4820"/>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03214643000000013900</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5 СибГУ Банка России</w:t>
            </w:r>
            <w:r>
              <w:rPr>
                <w:szCs w:val="24"/>
              </w:rPr>
              <w:t>//УФК по Кемеровской области - Кузбассу г. Кемерово</w:t>
            </w:r>
          </w:p>
          <w:p>
            <w:pPr>
              <w:pStyle w:val="Normal"/>
              <w:widowControl/>
              <w:overflowPunct w:val="false"/>
              <w:spacing w:before="0" w:after="0"/>
              <w:jc w:val="left"/>
              <w:textAlignment w:val="auto"/>
              <w:rPr>
                <w:szCs w:val="24"/>
              </w:rPr>
            </w:pPr>
            <w:r>
              <w:rPr>
                <w:szCs w:val="24"/>
              </w:rPr>
              <w:t>БИК 013207212</w:t>
            </w:r>
          </w:p>
          <w:p>
            <w:pPr>
              <w:pStyle w:val="Normal"/>
              <w:widowControl/>
              <w:overflowPunct w:val="false"/>
              <w:spacing w:before="0" w:after="0"/>
              <w:jc w:val="left"/>
              <w:textAlignment w:val="auto"/>
              <w:rPr>
                <w:szCs w:val="24"/>
              </w:rPr>
            </w:pPr>
            <w:r>
              <w:rPr>
                <w:szCs w:val="24"/>
              </w:rPr>
              <w:t>к/с 40102810745370000032</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widowControl/>
              <w:overflowPunct w:val="false"/>
              <w:spacing w:before="0" w:after="0"/>
              <w:jc w:val="left"/>
              <w:textAlignment w:val="auto"/>
              <w:rPr>
                <w:szCs w:val="24"/>
              </w:rPr>
            </w:pPr>
            <w:r>
              <w:rPr>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w:t>
            </w:r>
            <w:r>
              <w:rPr>
                <w:rFonts w:cs="Times New Roman" w:ascii="Times New Roman" w:hAnsi="Times New Roman"/>
                <w:sz w:val="20"/>
                <w:szCs w:val="20"/>
              </w:rPr>
              <w:t>ачальника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 xml:space="preserve">____________ </w:t>
            </w:r>
            <w:r>
              <w:rPr/>
              <w:t>Н.В. Ковжун</w:t>
            </w:r>
          </w:p>
          <w:p>
            <w:pPr>
              <w:pStyle w:val="Normal"/>
              <w:rPr/>
            </w:pPr>
            <w:r>
              <w:rPr/>
            </w:r>
          </w:p>
        </w:tc>
        <w:tc>
          <w:tcPr>
            <w:tcW w:w="4820" w:type="dxa"/>
            <w:tcBorders/>
          </w:tcPr>
          <w:p>
            <w:pPr>
              <w:pStyle w:val="Normal"/>
              <w:jc w:val="both"/>
              <w:rPr/>
            </w:pPr>
            <w:r>
              <w:rPr/>
            </w:r>
          </w:p>
          <w:p>
            <w:pPr>
              <w:pStyle w:val="Normal"/>
              <w:jc w:val="both"/>
              <w:rPr>
                <w:b/>
                <w:bCs/>
                <w:shd w:fill="FFFF00" w:val="clear"/>
              </w:rPr>
            </w:pPr>
            <w:r>
              <w:rPr>
                <w:b/>
                <w:bCs/>
                <w:shd w:fill="FFFF00" w:val="clear"/>
              </w:rPr>
              <w:t>Поставщик:</w:t>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default" r:id="rId2"/>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xml:space="preserve">№ </w:t>
      </w:r>
      <w:r>
        <w:rPr>
          <w:b/>
          <w:bCs/>
        </w:rPr>
        <w:t>14</w:t>
      </w:r>
      <w:r>
        <w:rPr>
          <w:b/>
          <w:bCs/>
        </w:rPr>
        <w:t>/26</w:t>
      </w:r>
    </w:p>
    <w:p>
      <w:pPr>
        <w:pStyle w:val="Normal"/>
        <w:spacing w:before="0" w:after="60"/>
        <w:jc w:val="right"/>
        <w:rPr>
          <w:b/>
          <w:bCs/>
        </w:rPr>
      </w:pPr>
      <w:r>
        <w:rPr/>
        <w:t xml:space="preserve">                                                                                                                                </w:t>
      </w:r>
      <w:r>
        <w:rPr>
          <w:rFonts w:eastAsia="Calibri"/>
          <w:lang w:eastAsia="en-US"/>
        </w:rPr>
        <w:t>«      » ______________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0" w:type="dxa"/>
        <w:tblLayout w:type="fixed"/>
        <w:tblCellMar>
          <w:top w:w="0" w:type="dxa"/>
          <w:left w:w="108" w:type="dxa"/>
          <w:bottom w:w="0" w:type="dxa"/>
          <w:right w:w="108" w:type="dxa"/>
        </w:tblCellMar>
      </w:tblPr>
      <w:tblGrid>
        <w:gridCol w:w="507"/>
        <w:gridCol w:w="7227"/>
        <w:gridCol w:w="743"/>
        <w:gridCol w:w="2332"/>
        <w:gridCol w:w="85"/>
        <w:gridCol w:w="979"/>
        <w:gridCol w:w="222"/>
        <w:gridCol w:w="737"/>
        <w:gridCol w:w="1081"/>
        <w:gridCol w:w="1801"/>
      </w:tblGrid>
      <w:tr>
        <w:trPr>
          <w:trHeight w:val="574" w:hRule="atLeast"/>
        </w:trPr>
        <w:tc>
          <w:tcPr>
            <w:tcW w:w="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w:t>
            </w:r>
          </w:p>
          <w:p>
            <w:pPr>
              <w:pStyle w:val="Normal"/>
              <w:widowControl w:val="false"/>
              <w:jc w:val="center"/>
              <w:rPr>
                <w:shd w:fill="auto" w:val="clear"/>
              </w:rPr>
            </w:pPr>
            <w:r>
              <w:rPr>
                <w:shd w:fill="auto" w:val="clear"/>
              </w:rPr>
              <w:t>п/п</w:t>
            </w:r>
          </w:p>
        </w:tc>
        <w:tc>
          <w:tcPr>
            <w:tcW w:w="72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Наименование, минимальные технические (качественные) характеристики  товара</w:t>
            </w:r>
          </w:p>
        </w:tc>
        <w:tc>
          <w:tcPr>
            <w:tcW w:w="30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hd w:fill="auto" w:val="clear"/>
              </w:rPr>
            </w:pPr>
            <w:r>
              <w:rPr>
                <w:shd w:fill="auto" w:val="clear"/>
              </w:rPr>
              <w:t>кол-во</w:t>
            </w:r>
          </w:p>
        </w:tc>
        <w:tc>
          <w:tcPr>
            <w:tcW w:w="106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Ед. изм.</w:t>
            </w:r>
          </w:p>
        </w:tc>
        <w:tc>
          <w:tcPr>
            <w:tcW w:w="204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shd w:fill="auto" w:val="clear"/>
              </w:rPr>
            </w:pPr>
            <w:r>
              <w:rPr>
                <w:color w:val="000000"/>
                <w:spacing w:val="-11"/>
                <w:shd w:fill="auto" w:val="clear"/>
              </w:rPr>
              <w:t>Стоимость единицы с НДС , рублей</w:t>
            </w:r>
          </w:p>
        </w:tc>
        <w:tc>
          <w:tcPr>
            <w:tcW w:w="1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shd w:fill="auto" w:val="clear"/>
              </w:rPr>
            </w:pPr>
            <w:r>
              <w:rPr>
                <w:color w:val="000000"/>
                <w:spacing w:val="-11"/>
                <w:shd w:fill="auto" w:val="clear"/>
              </w:rPr>
              <w:t>Общая стоимость с НДС, рублей</w:t>
            </w:r>
          </w:p>
        </w:tc>
      </w:tr>
      <w:tr>
        <w:trPr>
          <w:trHeight w:val="1569" w:hRule="atLeast"/>
        </w:trPr>
        <w:tc>
          <w:tcPr>
            <w:tcW w:w="507" w:type="dxa"/>
            <w:tcBorders>
              <w:top w:val="single" w:sz="4" w:space="0" w:color="000000"/>
              <w:left w:val="single" w:sz="10" w:space="0" w:color="000000"/>
              <w:bottom w:val="single" w:sz="4" w:space="0" w:color="000000"/>
              <w:right w:val="single" w:sz="4" w:space="0" w:color="000000"/>
            </w:tcBorders>
            <w:vAlign w:val="center"/>
          </w:tcPr>
          <w:p>
            <w:pPr>
              <w:pStyle w:val="Normal"/>
              <w:jc w:val="center"/>
              <w:rPr>
                <w:shd w:fill="auto" w:val="clear"/>
              </w:rPr>
            </w:pPr>
            <w:r>
              <w:rPr>
                <w:shd w:fill="auto" w:val="clear"/>
              </w:rPr>
              <w:t>1</w:t>
            </w:r>
          </w:p>
        </w:tc>
        <w:tc>
          <w:tcPr>
            <w:tcW w:w="7227" w:type="dxa"/>
            <w:tcBorders>
              <w:top w:val="single" w:sz="4" w:space="0" w:color="000001"/>
              <w:left w:val="single" w:sz="4" w:space="0" w:color="000001"/>
              <w:bottom w:val="single" w:sz="4" w:space="0" w:color="000000"/>
              <w:right w:val="single" w:sz="4" w:space="0" w:color="000000"/>
            </w:tcBorders>
          </w:tcPr>
          <w:p>
            <w:pPr>
              <w:pStyle w:val="Normal"/>
              <w:rPr>
                <w:shd w:fill="FFFFFF" w:val="clear"/>
              </w:rPr>
            </w:pPr>
            <w:sdt>
              <w:sdtPr>
                <w:alias w:val="positionName"/>
                <w:tag w:val="positionName"/>
                <w:id w:val="147452927"/>
                <w:text/>
              </w:sdtPr>
              <w:sdtContent>
                <w:r>
                  <w:rPr>
                    <w:rFonts w:eastAsia="Times New Roman" w:cs="Times New Roman"/>
                    <w:sz w:val="18"/>
                    <w:szCs w:val="18"/>
                    <w:shd w:fill="FFFFFF" w:val="clear"/>
                    <w:lang w:val="en-US"/>
                  </w:rPr>
                </w:r>
                <w:r>
                  <w:rPr>
                    <w:rFonts w:eastAsia="Times New Roman" w:cs="Times New Roman"/>
                    <w:sz w:val="18"/>
                    <w:szCs w:val="18"/>
                    <w:shd w:fill="FFFFFF" w:val="clear"/>
                    <w:lang w:val="en-US"/>
                  </w:rPr>
                  <w:t>Гигрометр</w:t>
                </w:r>
                <w:r>
                  <w:rPr>
                    <w:shd w:fill="FFFFFF" w:val="clear"/>
                  </w:rPr>
                </w:r>
              </w:sdtContent>
            </w:sdt>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Вид</w:t>
              <w:tab/>
              <w:t>Электронный</w:t>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Тип</w:t>
              <w:tab/>
              <w:t>Переносной</w:t>
              <w:tab/>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Максимальное значение диапазона измерений относительной влажности</w:t>
              <w:tab/>
              <w:t>≥ 80</w:t>
              <w:tab/>
              <w:t>Процент</w:t>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Минимальное значение диапазона измерений относительной влажности</w:t>
              <w:tab/>
              <w:t>≤ 20</w:t>
              <w:tab/>
              <w:t>Процент</w:t>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Максимальное значение диапазона измерений температуры воздуха</w:t>
              <w:tab/>
              <w:t>≥ 40</w:t>
              <w:tab/>
              <w:t>Градус Цельсия</w:t>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Минимальное значение диапазона измерений температуры воздуха</w:t>
              <w:tab/>
              <w:t>≤ 0</w:t>
              <w:tab/>
              <w:t>Градус Цельсия</w:t>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Питание</w:t>
              <w:tab/>
              <w:t>От встроенного аккумулятора (батареи)</w:t>
              <w:tab/>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Наличие поверки</w:t>
              <w:tab/>
              <w:t>С поверкой</w:t>
              <w:tab/>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Комплектация</w:t>
              <w:tab/>
              <w:t>Адаптер для карты памяти; Карта памяти; Паспорт</w:t>
              <w:tab/>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Формат поддерживаемых карт памяти</w:t>
              <w:tab/>
              <w:t>SD</w:t>
              <w:tab/>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Конструктивные особенности</w:t>
              <w:tab/>
              <w:t>Сигнализация звуковая</w:t>
              <w:tab/>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продолжительность непрерывной работы, ч</w:t>
              <w:tab/>
              <w:t>не менее 3600</w:t>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пределы допускаемой абсольтной погрешности измерений относительной влажности</w:t>
              <w:tab/>
              <w:t>+/-5%</w:t>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t>пределы допускаемой абсолютной погрешности измерений температуры, град. С</w:t>
              <w:tab/>
              <w:t>+/-0,5</w:t>
              <w:tab/>
            </w:r>
          </w:p>
          <w:p>
            <w:pPr>
              <w:pStyle w:val="Normal"/>
              <w:spacing w:lineRule="auto" w:line="276" w:before="0" w:after="200"/>
              <w:rPr>
                <w:u w:val="none"/>
              </w:rPr>
            </w:pPr>
            <w:r>
              <w:rPr>
                <w:b w:val="false"/>
                <w:bCs w:val="false"/>
                <w:i w:val="false"/>
                <w:caps w:val="false"/>
                <w:smallCaps w:val="false"/>
                <w:color w:val="000000"/>
                <w:spacing w:val="0"/>
                <w:sz w:val="22"/>
                <w:szCs w:val="22"/>
                <w:u w:val="none"/>
                <w:shd w:fill="auto" w:val="clear"/>
                <w:lang w:val="ru-RU"/>
              </w:rPr>
            </w:r>
          </w:p>
        </w:tc>
        <w:tc>
          <w:tcPr>
            <w:tcW w:w="3075"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t>90</w:t>
            </w:r>
          </w:p>
        </w:tc>
        <w:tc>
          <w:tcPr>
            <w:tcW w:w="1064" w:type="dxa"/>
            <w:gridSpan w:val="2"/>
            <w:tcBorders>
              <w:top w:val="single" w:sz="4" w:space="0" w:color="000001"/>
              <w:left w:val="single" w:sz="4" w:space="0" w:color="000001"/>
              <w:bottom w:val="single" w:sz="4" w:space="0" w:color="000000"/>
            </w:tcBorders>
            <w:vAlign w:val="center"/>
          </w:tcPr>
          <w:p>
            <w:pPr>
              <w:pStyle w:val="Normal"/>
              <w:jc w:val="center"/>
              <w:rPr>
                <w:shd w:fill="auto" w:val="clear"/>
              </w:rPr>
            </w:pPr>
            <w:r>
              <w:rPr>
                <w:shd w:fill="auto" w:val="clear"/>
              </w:rPr>
              <w:t>шт</w:t>
            </w:r>
          </w:p>
        </w:tc>
        <w:tc>
          <w:tcPr>
            <w:tcW w:w="2040"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r>
          </w:p>
        </w:tc>
        <w:tc>
          <w:tcPr>
            <w:tcW w:w="1801" w:type="dxa"/>
            <w:tcBorders>
              <w:top w:val="single" w:sz="4" w:space="0" w:color="000000"/>
              <w:left w:val="single" w:sz="4" w:space="0" w:color="000000"/>
              <w:bottom w:val="single" w:sz="4" w:space="0" w:color="000000"/>
              <w:right w:val="single" w:sz="10" w:space="0" w:color="000000"/>
            </w:tcBorders>
            <w:vAlign w:val="center"/>
          </w:tcPr>
          <w:p>
            <w:pPr>
              <w:pStyle w:val="Normal"/>
              <w:jc w:val="center"/>
              <w:rPr>
                <w:b/>
                <w:bCs/>
                <w:shd w:fill="auto" w:val="clear"/>
              </w:rPr>
            </w:pPr>
            <w:r>
              <w:rPr>
                <w:b/>
                <w:bCs/>
                <w:shd w:fill="auto" w:val="clear"/>
              </w:rPr>
            </w:r>
          </w:p>
        </w:tc>
      </w:tr>
      <w:tr>
        <w:trPr>
          <w:trHeight w:val="574" w:hRule="atLeast"/>
        </w:trPr>
        <w:tc>
          <w:tcPr>
            <w:tcW w:w="13913" w:type="dxa"/>
            <w:gridSpan w:val="9"/>
            <w:tcBorders>
              <w:top w:val="single" w:sz="4" w:space="0" w:color="000000"/>
              <w:left w:val="single" w:sz="4" w:space="0" w:color="000000"/>
              <w:bottom w:val="single" w:sz="4" w:space="0" w:color="000000"/>
              <w:right w:val="single" w:sz="4" w:space="0" w:color="000000"/>
            </w:tcBorders>
          </w:tcPr>
          <w:p>
            <w:pPr>
              <w:pStyle w:val="Normal"/>
              <w:jc w:val="center"/>
              <w:rPr>
                <w:b/>
                <w:bCs/>
                <w:shd w:fill="auto" w:val="clear"/>
              </w:rPr>
            </w:pPr>
            <w:r>
              <w:rPr>
                <w:b/>
                <w:bCs/>
                <w:shd w:fill="auto" w:val="clear"/>
              </w:rPr>
            </w:r>
          </w:p>
          <w:p>
            <w:pPr>
              <w:pStyle w:val="Normal"/>
              <w:jc w:val="center"/>
              <w:rPr>
                <w:shd w:fill="auto" w:val="clear"/>
              </w:rPr>
            </w:pPr>
            <w:r>
              <w:rPr>
                <w:b/>
                <w:bCs/>
                <w:shd w:fill="auto" w:val="clear"/>
              </w:rPr>
              <w:t>ИТОГО:</w:t>
            </w:r>
          </w:p>
        </w:tc>
        <w:tc>
          <w:tcPr>
            <w:tcW w:w="1801" w:type="dxa"/>
            <w:tcBorders>
              <w:top w:val="single" w:sz="4" w:space="0" w:color="000000"/>
              <w:left w:val="single" w:sz="4" w:space="0" w:color="000000"/>
              <w:bottom w:val="single" w:sz="4" w:space="0" w:color="000000"/>
              <w:right w:val="single" w:sz="4" w:space="0" w:color="000000"/>
            </w:tcBorders>
          </w:tcPr>
          <w:p>
            <w:pPr>
              <w:pStyle w:val="Normal"/>
              <w:jc w:val="center"/>
              <w:rPr>
                <w:b/>
                <w:bCs/>
                <w:shd w:fill="auto" w:val="clear"/>
              </w:rPr>
            </w:pPr>
            <w:r>
              <w:rPr>
                <w:b/>
                <w:bCs/>
                <w:shd w:fill="auto" w:val="clear"/>
              </w:rPr>
            </w:r>
          </w:p>
        </w:tc>
      </w:tr>
      <w:tr>
        <w:trPr>
          <w:trHeight w:val="1831" w:hRule="atLeast"/>
        </w:trPr>
        <w:tc>
          <w:tcPr>
            <w:tcW w:w="7734" w:type="dxa"/>
            <w:gridSpan w:val="2"/>
            <w:tcBorders/>
          </w:tcPr>
          <w:p>
            <w:pPr>
              <w:pStyle w:val="Normal"/>
              <w:tabs>
                <w:tab w:val="clear" w:pos="708"/>
                <w:tab w:val="left" w:pos="7680" w:leader="none"/>
              </w:tabs>
              <w:rPr>
                <w:b/>
                <w:color w:val="000000"/>
                <w:shd w:fill="auto" w:val="clear"/>
              </w:rPr>
            </w:pPr>
            <w:r>
              <w:rPr>
                <w:b/>
                <w:color w:val="000000"/>
                <w:shd w:fill="auto" w:val="clear"/>
              </w:rPr>
            </w:r>
          </w:p>
          <w:p>
            <w:pPr>
              <w:pStyle w:val="11"/>
              <w:rPr>
                <w:rFonts w:ascii="Times New Roman" w:hAnsi="Times New Roman" w:cs="Times New Roman"/>
                <w:b/>
                <w:bCs/>
                <w:sz w:val="20"/>
                <w:szCs w:val="20"/>
                <w:shd w:fill="auto" w:val="clear"/>
              </w:rPr>
            </w:pPr>
            <w:r>
              <w:rPr>
                <w:rFonts w:cs="Times New Roman" w:ascii="Times New Roman" w:hAnsi="Times New Roman"/>
                <w:b/>
                <w:bCs/>
                <w:sz w:val="20"/>
                <w:szCs w:val="20"/>
                <w:shd w:fill="auto" w:val="clear"/>
              </w:rPr>
            </w:r>
          </w:p>
          <w:p>
            <w:pPr>
              <w:pStyle w:val="11"/>
              <w:rPr>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rPr>
                <w:shd w:fill="auto" w:val="clear"/>
              </w:rPr>
            </w:pPr>
            <w:r>
              <w:rPr>
                <w:shd w:fill="auto" w:val="clear"/>
              </w:rPr>
              <w:t>____________</w:t>
            </w:r>
          </w:p>
          <w:p>
            <w:pPr>
              <w:pStyle w:val="Normal"/>
              <w:tabs>
                <w:tab w:val="clear" w:pos="708"/>
                <w:tab w:val="left" w:pos="7680" w:leader="none"/>
              </w:tabs>
              <w:rPr>
                <w:shd w:fill="auto" w:val="clear"/>
              </w:rPr>
            </w:pPr>
            <w:r>
              <w:rPr>
                <w:shd w:fill="auto" w:val="clear"/>
              </w:rPr>
              <w:t>м.п.</w:t>
            </w:r>
          </w:p>
        </w:tc>
        <w:tc>
          <w:tcPr>
            <w:tcW w:w="743" w:type="dxa"/>
            <w:tcBorders/>
          </w:tcPr>
          <w:p>
            <w:pPr>
              <w:pStyle w:val="Normal"/>
              <w:tabs>
                <w:tab w:val="clear" w:pos="708"/>
                <w:tab w:val="left" w:pos="7680" w:leader="none"/>
              </w:tabs>
              <w:rPr>
                <w:b/>
                <w:color w:val="000000"/>
                <w:shd w:fill="auto" w:val="clear"/>
              </w:rPr>
            </w:pPr>
            <w:r>
              <w:rPr>
                <w:b/>
                <w:color w:val="000000"/>
                <w:shd w:fill="auto" w:val="clear"/>
              </w:rPr>
            </w:r>
          </w:p>
        </w:tc>
        <w:tc>
          <w:tcPr>
            <w:tcW w:w="2417" w:type="dxa"/>
            <w:gridSpan w:val="2"/>
            <w:tcBorders/>
          </w:tcPr>
          <w:p>
            <w:pPr>
              <w:pStyle w:val="Normal"/>
              <w:tabs>
                <w:tab w:val="clear" w:pos="708"/>
                <w:tab w:val="left" w:pos="7680" w:leader="none"/>
              </w:tabs>
              <w:rPr>
                <w:b/>
                <w:color w:val="000000"/>
                <w:shd w:fill="auto" w:val="clear"/>
              </w:rPr>
            </w:pPr>
            <w:r>
              <w:rPr>
                <w:b/>
                <w:color w:val="000000"/>
                <w:shd w:fill="auto" w:val="clear"/>
              </w:rPr>
            </w:r>
          </w:p>
        </w:tc>
        <w:tc>
          <w:tcPr>
            <w:tcW w:w="1201" w:type="dxa"/>
            <w:gridSpan w:val="2"/>
            <w:tcBorders/>
          </w:tcPr>
          <w:p>
            <w:pPr>
              <w:pStyle w:val="Normal"/>
              <w:tabs>
                <w:tab w:val="clear" w:pos="708"/>
                <w:tab w:val="left" w:pos="7680" w:leader="none"/>
              </w:tabs>
              <w:rPr>
                <w:b/>
                <w:color w:val="000000"/>
                <w:shd w:fill="auto" w:val="clear"/>
              </w:rPr>
            </w:pPr>
            <w:r>
              <w:rPr>
                <w:b/>
                <w:color w:val="000000"/>
                <w:shd w:fill="auto" w:val="clear"/>
              </w:rPr>
            </w:r>
          </w:p>
        </w:tc>
        <w:tc>
          <w:tcPr>
            <w:tcW w:w="737" w:type="dxa"/>
            <w:tcBorders/>
          </w:tcPr>
          <w:p>
            <w:pPr>
              <w:pStyle w:val="Normal"/>
              <w:tabs>
                <w:tab w:val="clear" w:pos="708"/>
                <w:tab w:val="left" w:pos="7680" w:leader="none"/>
              </w:tabs>
              <w:rPr>
                <w:b/>
                <w:color w:val="000000"/>
                <w:shd w:fill="auto" w:val="clear"/>
              </w:rPr>
            </w:pPr>
            <w:r>
              <w:rPr>
                <w:b/>
                <w:color w:val="000000"/>
                <w:shd w:fill="auto" w:val="clear"/>
              </w:rPr>
            </w:r>
          </w:p>
        </w:tc>
        <w:tc>
          <w:tcPr>
            <w:tcW w:w="2882" w:type="dxa"/>
            <w:gridSpan w:val="2"/>
            <w:tcBorders/>
          </w:tcPr>
          <w:p>
            <w:pPr>
              <w:pStyle w:val="Normal"/>
              <w:tabs>
                <w:tab w:val="clear" w:pos="708"/>
                <w:tab w:val="left" w:pos="7680" w:leader="none"/>
              </w:tabs>
              <w:rPr>
                <w:b/>
                <w:color w:val="000000"/>
                <w:shd w:fill="auto" w:val="clear"/>
              </w:rPr>
            </w:pPr>
            <w:r>
              <w:rPr>
                <w:b/>
                <w:color w:val="000000"/>
                <w:shd w:fill="auto" w:val="clear"/>
              </w:rPr>
            </w:r>
          </w:p>
          <w:p>
            <w:pPr>
              <w:pStyle w:val="Normal"/>
              <w:tabs>
                <w:tab w:val="clear" w:pos="708"/>
                <w:tab w:val="left" w:pos="7680" w:leader="none"/>
              </w:tabs>
              <w:rPr>
                <w:b/>
                <w:color w:val="000000"/>
                <w:shd w:fill="auto" w:val="clear"/>
              </w:rPr>
            </w:pPr>
            <w:r>
              <w:rPr>
                <w:b/>
                <w:color w:val="000000"/>
                <w:shd w:fill="auto" w:val="clear"/>
              </w:rPr>
            </w:r>
          </w:p>
          <w:p>
            <w:pPr>
              <w:pStyle w:val="Normal"/>
              <w:tabs>
                <w:tab w:val="clear" w:pos="708"/>
                <w:tab w:val="left" w:pos="7680" w:leader="none"/>
              </w:tabs>
              <w:rPr>
                <w:shd w:fill="auto" w:val="clear"/>
              </w:rPr>
            </w:pPr>
            <w:r>
              <w:rPr>
                <w:b/>
                <w:color w:val="000000"/>
                <w:shd w:fill="auto" w:val="clear"/>
              </w:rPr>
              <w:t>Пост</w:t>
            </w:r>
            <w:r>
              <w:rPr>
                <w:b/>
                <w:color w:val="000000"/>
                <w:shd w:fill="auto" w:val="clear"/>
              </w:rPr>
              <w:t>а</w:t>
            </w:r>
            <w:r>
              <w:rPr>
                <w:b/>
                <w:color w:val="000000"/>
                <w:shd w:fill="auto" w:val="clear"/>
              </w:rPr>
              <w:t>вщик</w:t>
            </w:r>
          </w:p>
          <w:p>
            <w:pPr>
              <w:pStyle w:val="Normal"/>
              <w:tabs>
                <w:tab w:val="clear" w:pos="708"/>
                <w:tab w:val="left" w:pos="7680" w:leader="none"/>
              </w:tabs>
              <w:rPr>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default" r:id="rId3"/>
      <w:footerReference w:type="first" r:id="rId4"/>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30"/>
  <w:defaultTabStop w:val="708"/>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keepLines/>
      <w:numPr>
        <w:ilvl w:val="0"/>
        <w:numId w:val="0"/>
      </w:numPr>
      <w:spacing w:before="480" w:after="200"/>
      <w:outlineLvl w:val="0"/>
    </w:pPr>
    <w:rPr>
      <w:rFonts w:ascii="Arial" w:hAnsi="Arial" w:eastAsia="Arial" w:cs="Arial"/>
      <w:sz w:val="40"/>
      <w:szCs w:val="40"/>
    </w:rPr>
  </w:style>
  <w:style w:type="paragraph" w:styleId="Heading2">
    <w:name w:val="heading 2"/>
    <w:basedOn w:val="Normal"/>
    <w:next w:val="Normal"/>
    <w:link w:val="2"/>
    <w:qFormat/>
    <w:pPr>
      <w:keepNext w:val="true"/>
      <w:keepLines/>
      <w:numPr>
        <w:ilvl w:val="0"/>
        <w:numId w:val="0"/>
      </w:numPr>
      <w:spacing w:before="360" w:after="200"/>
      <w:outlineLvl w:val="1"/>
    </w:pPr>
    <w:rPr>
      <w:rFonts w:ascii="Arial" w:hAnsi="Arial" w:eastAsia="Arial" w:cs="Arial"/>
      <w:sz w:val="34"/>
    </w:rPr>
  </w:style>
  <w:style w:type="paragraph" w:styleId="Heading3">
    <w:name w:val="heading 3"/>
    <w:basedOn w:val="Normal"/>
    <w:next w:val="Normal"/>
    <w:link w:val="3"/>
    <w:qFormat/>
    <w:pPr>
      <w:keepNext w:val="true"/>
      <w:keepLines/>
      <w:numPr>
        <w:ilvl w:val="0"/>
        <w:numId w:val="0"/>
      </w:numPr>
      <w:spacing w:before="320" w:after="200"/>
      <w:outlineLvl w:val="2"/>
    </w:pPr>
    <w:rPr>
      <w:rFonts w:ascii="Arial" w:hAnsi="Arial" w:eastAsia="Arial" w:cs="Arial"/>
      <w:sz w:val="30"/>
      <w:szCs w:val="30"/>
    </w:rPr>
  </w:style>
  <w:style w:type="paragraph" w:styleId="Heading4">
    <w:name w:val="heading 4"/>
    <w:basedOn w:val="Normal"/>
    <w:next w:val="Normal"/>
    <w:link w:val="4"/>
    <w:qFormat/>
    <w:pPr>
      <w:keepNext w:val="true"/>
      <w:keepLines/>
      <w:numPr>
        <w:ilvl w:val="0"/>
        <w:numId w:val="0"/>
      </w:numPr>
      <w:spacing w:before="320" w:after="200"/>
      <w:outlineLvl w:val="3"/>
    </w:pPr>
    <w:rPr>
      <w:rFonts w:ascii="Arial" w:hAnsi="Arial" w:eastAsia="Arial" w:cs="Arial"/>
      <w:b/>
      <w:bCs/>
      <w:sz w:val="26"/>
      <w:szCs w:val="26"/>
    </w:rPr>
  </w:style>
  <w:style w:type="paragraph" w:styleId="Heading5">
    <w:name w:val="heading 5"/>
    <w:basedOn w:val="Normal"/>
    <w:next w:val="Normal"/>
    <w:link w:val="5"/>
    <w:qFormat/>
    <w:pPr>
      <w:keepNext w:val="true"/>
      <w:keepLines/>
      <w:numPr>
        <w:ilvl w:val="0"/>
        <w:numId w:val="0"/>
      </w:numPr>
      <w:spacing w:before="320" w:after="200"/>
      <w:outlineLvl w:val="4"/>
    </w:pPr>
    <w:rPr>
      <w:rFonts w:ascii="Arial" w:hAnsi="Arial" w:eastAsia="Arial" w:cs="Arial"/>
      <w:b/>
      <w:bCs/>
      <w:sz w:val="24"/>
      <w:szCs w:val="24"/>
    </w:rPr>
  </w:style>
  <w:style w:type="paragraph" w:styleId="Heading6">
    <w:name w:val="heading 6"/>
    <w:basedOn w:val="Normal"/>
    <w:next w:val="Normal"/>
    <w:link w:val="6"/>
    <w:qFormat/>
    <w:pPr>
      <w:keepNext w:val="true"/>
      <w:keepLines/>
      <w:numPr>
        <w:ilvl w:val="0"/>
        <w:numId w:val="0"/>
      </w:numPr>
      <w:spacing w:before="320" w:after="200"/>
      <w:outlineLvl w:val="5"/>
    </w:pPr>
    <w:rPr>
      <w:rFonts w:ascii="Arial" w:hAnsi="Arial" w:eastAsia="Arial" w:cs="Arial"/>
      <w:b/>
      <w:bCs/>
      <w:sz w:val="22"/>
      <w:szCs w:val="22"/>
    </w:rPr>
  </w:style>
  <w:style w:type="paragraph" w:styleId="Heading7">
    <w:name w:val="heading 7"/>
    <w:basedOn w:val="Normal"/>
    <w:next w:val="Normal"/>
    <w:link w:val="7"/>
    <w:qFormat/>
    <w:pPr>
      <w:keepNext w:val="true"/>
      <w:keepLines/>
      <w:numPr>
        <w:ilvl w:val="0"/>
        <w:numId w:val="0"/>
      </w:numPr>
      <w:spacing w:before="320" w:after="200"/>
      <w:outlineLvl w:val="6"/>
    </w:pPr>
    <w:rPr>
      <w:rFonts w:ascii="Arial" w:hAnsi="Arial" w:eastAsia="Arial" w:cs="Arial"/>
      <w:b/>
      <w:bCs/>
      <w:i/>
      <w:iCs/>
      <w:sz w:val="22"/>
      <w:szCs w:val="22"/>
    </w:rPr>
  </w:style>
  <w:style w:type="paragraph" w:styleId="Heading8">
    <w:name w:val="heading 8"/>
    <w:basedOn w:val="Normal"/>
    <w:next w:val="Normal"/>
    <w:link w:val="8"/>
    <w:qFormat/>
    <w:pPr>
      <w:keepNext w:val="true"/>
      <w:keepLines/>
      <w:numPr>
        <w:ilvl w:val="0"/>
        <w:numId w:val="0"/>
      </w:numPr>
      <w:spacing w:before="320" w:after="200"/>
      <w:outlineLvl w:val="7"/>
    </w:pPr>
    <w:rPr>
      <w:rFonts w:ascii="Arial" w:hAnsi="Arial" w:eastAsia="Arial" w:cs="Arial"/>
      <w:i/>
      <w:iCs/>
      <w:sz w:val="22"/>
      <w:szCs w:val="22"/>
    </w:rPr>
  </w:style>
  <w:style w:type="paragraph" w:styleId="Heading9">
    <w:name w:val="heading 9"/>
    <w:basedOn w:val="Normal"/>
    <w:next w:val="Normal"/>
    <w:link w:val="9"/>
    <w:qFormat/>
    <w:pPr>
      <w:keepNext w:val="true"/>
      <w:keepLines/>
      <w:numPr>
        <w:ilvl w:val="0"/>
        <w:numId w:val="0"/>
      </w:numPr>
      <w:spacing w:before="320" w:after="200"/>
      <w:outlineLvl w:val="8"/>
    </w:pPr>
    <w:rPr>
      <w:rFonts w:ascii="Arial" w:hAnsi="Arial" w:eastAsia="Arial" w:cs="Arial"/>
      <w:i/>
      <w:iCs/>
      <w:sz w:val="21"/>
      <w:szCs w:val="21"/>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link w:val="Quote"/>
    <w:qFormat/>
    <w:rPr>
      <w:i/>
    </w:rPr>
  </w:style>
  <w:style w:type="character" w:styleId="Style7">
    <w:name w:val="Выделенная цитата Знак"/>
    <w:link w:val="IntenseQuote"/>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name w:val="Текст концевой сноски Знак"/>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link w:val="ConsPlusNormal1"/>
    <w:qFormat/>
    <w:rPr>
      <w:rFonts w:ascii="Arial" w:hAnsi="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sz w:val="20"/>
      <w:szCs w:val="20"/>
    </w:rPr>
  </w:style>
  <w:style w:type="character" w:styleId="Style14">
    <w:name w:val="Нижний колонтитул Знак"/>
    <w:qFormat/>
    <w:rPr>
      <w:rFonts w:ascii="Times New Roman" w:hAnsi="Times New Roman" w:eastAsia="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rPr>
  </w:style>
  <w:style w:type="character" w:styleId="Style16">
    <w:name w:val="Тема примечания Знак"/>
    <w:basedOn w:val="Style15"/>
    <w:link w:val="annotationsubject"/>
    <w:qFormat/>
    <w:rPr>
      <w:rFonts w:ascii="Times New Roman" w:hAnsi="Times New Roman" w:eastAsia="Times New Roman"/>
      <w:b/>
      <w:bCs/>
    </w:rPr>
  </w:style>
  <w:style w:type="character" w:styleId="Style17">
    <w:name w:val="Текст выноски Знак"/>
    <w:basedOn w:val="DefaultParagraphFont"/>
    <w:link w:val="BalloonText"/>
    <w:qFormat/>
    <w:rPr>
      <w:rFonts w:ascii="Tahoma" w:hAnsi="Tahoma" w:eastAsia="Times New Roman" w:cs="Tahoma"/>
      <w:sz w:val="16"/>
      <w:szCs w:val="16"/>
    </w:rPr>
  </w:style>
  <w:style w:type="character" w:styleId="Style18">
    <w:name w:val="Без интервала Знак"/>
    <w:link w:val="NoSpacing"/>
    <w:qFormat/>
    <w:rPr>
      <w:sz w:val="24"/>
      <w:szCs w:val="24"/>
    </w:rPr>
  </w:style>
  <w:style w:type="character" w:styleId="Hyperlink">
    <w:name w:val="Hyperlink"/>
    <w:basedOn w:val="DefaultParagraphFont"/>
    <w:rPr>
      <w:color w:themeColor="hyperlink"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qFormat/>
    <w:pPr>
      <w:spacing w:before="0" w:after="0"/>
      <w:ind w:left="720"/>
      <w:contextualSpacing/>
    </w:pPr>
    <w:rPr/>
  </w:style>
  <w:style w:type="paragraph" w:styleId="Title">
    <w:name w:val="Title"/>
    <w:basedOn w:val="Normal"/>
    <w:next w:val="Normal"/>
    <w:link w:val="Style5"/>
    <w:qFormat/>
    <w:pPr>
      <w:spacing w:before="300" w:after="200"/>
      <w:contextualSpacing/>
    </w:pPr>
    <w:rPr>
      <w:sz w:val="48"/>
      <w:szCs w:val="48"/>
    </w:rPr>
  </w:style>
  <w:style w:type="paragraph" w:styleId="Subtitle">
    <w:name w:val="Subtitle"/>
    <w:basedOn w:val="Normal"/>
    <w:next w:val="Normal"/>
    <w:link w:val="Style6"/>
    <w:qFormat/>
    <w:pPr>
      <w:spacing w:before="200" w:after="200"/>
    </w:pPr>
    <w:rPr>
      <w:sz w:val="24"/>
      <w:szCs w:val="24"/>
    </w:rPr>
  </w:style>
  <w:style w:type="paragraph" w:styleId="Quote">
    <w:name w:val="Quote"/>
    <w:basedOn w:val="Normal"/>
    <w:next w:val="Normal"/>
    <w:link w:val="21"/>
    <w:qFormat/>
    <w:pPr>
      <w:ind w:left="720" w:right="720"/>
    </w:pPr>
    <w:rPr>
      <w:i/>
    </w:rPr>
  </w:style>
  <w:style w:type="paragraph" w:styleId="IntenseQuote">
    <w:name w:val="Intense Quote"/>
    <w:basedOn w:val="Normal"/>
    <w:next w:val="Normal"/>
    <w:link w:val="Style7"/>
    <w:qFormat/>
    <w:pPr>
      <w:pBdr>
        <w:top w:val="single" w:sz="4" w:space="5" w:color="FFFFFF"/>
        <w:left w:val="single" w:sz="4" w:space="10" w:color="FFFFFF"/>
        <w:bottom w:val="single" w:sz="4" w:space="5" w:color="FFFFFF"/>
        <w:right w:val="single" w:sz="4" w:space="10" w:color="FFFFFF"/>
      </w:pBdr>
      <w:shd w:fill="F2F2F2" w:val="clear"/>
      <w:ind w:left="720" w:right="720"/>
    </w:pPr>
    <w:rPr>
      <w:i/>
    </w:rPr>
  </w:style>
  <w:style w:type="paragraph" w:styleId="FootnoteText">
    <w:name w:val="footnote text"/>
    <w:basedOn w:val="Normal"/>
    <w:link w:val="Style8"/>
    <w:pPr>
      <w:spacing w:before="0" w:after="40"/>
    </w:pPr>
    <w:rPr>
      <w:sz w:val="18"/>
    </w:rPr>
  </w:style>
  <w:style w:type="paragraph" w:styleId="EndnoteText">
    <w:name w:val="endnote text"/>
    <w:basedOn w:val="Normal"/>
    <w:link w:val="Style10"/>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left="283"/>
    </w:pPr>
    <w:rPr/>
  </w:style>
  <w:style w:type="paragraph" w:styleId="TOC3">
    <w:name w:val="toc 3"/>
    <w:basedOn w:val="Normal"/>
    <w:next w:val="Normal"/>
    <w:pPr>
      <w:spacing w:before="0" w:after="57"/>
      <w:ind w:left="567"/>
    </w:pPr>
    <w:rPr/>
  </w:style>
  <w:style w:type="paragraph" w:styleId="TOC4">
    <w:name w:val="toc 4"/>
    <w:basedOn w:val="Normal"/>
    <w:next w:val="Normal"/>
    <w:pPr>
      <w:spacing w:before="0" w:after="57"/>
      <w:ind w:left="850"/>
    </w:pPr>
    <w:rPr/>
  </w:style>
  <w:style w:type="paragraph" w:styleId="TOC5">
    <w:name w:val="toc 5"/>
    <w:basedOn w:val="Normal"/>
    <w:next w:val="Normal"/>
    <w:pPr>
      <w:spacing w:before="0" w:after="57"/>
      <w:ind w:left="1134"/>
    </w:pPr>
    <w:rPr/>
  </w:style>
  <w:style w:type="paragraph" w:styleId="TOC6">
    <w:name w:val="toc 6"/>
    <w:basedOn w:val="Normal"/>
    <w:next w:val="Normal"/>
    <w:pPr>
      <w:spacing w:before="0" w:after="57"/>
      <w:ind w:left="1417"/>
    </w:pPr>
    <w:rPr/>
  </w:style>
  <w:style w:type="paragraph" w:styleId="TOC7">
    <w:name w:val="toc 7"/>
    <w:basedOn w:val="Normal"/>
    <w:next w:val="Normal"/>
    <w:pPr>
      <w:spacing w:before="0" w:after="57"/>
      <w:ind w:left="1701"/>
    </w:pPr>
    <w:rPr/>
  </w:style>
  <w:style w:type="paragraph" w:styleId="TOC8">
    <w:name w:val="toc 8"/>
    <w:basedOn w:val="Normal"/>
    <w:next w:val="Normal"/>
    <w:pPr>
      <w:spacing w:before="0" w:after="57"/>
      <w:ind w:left="1984"/>
    </w:pPr>
    <w:rPr/>
  </w:style>
  <w:style w:type="paragraph" w:styleId="TOC9">
    <w:name w:val="toc 9"/>
    <w:basedOn w:val="Normal"/>
    <w:next w:val="Normal"/>
    <w:pPr>
      <w:spacing w:before="0" w:after="57"/>
      <w:ind w:left="2268"/>
    </w:pPr>
    <w:rPr/>
  </w:style>
  <w:style w:type="paragraph" w:styleId="IndexHeading">
    <w:name w:val="index heading"/>
    <w:basedOn w:val="user2"/>
    <w:pPr/>
    <w:rPr/>
  </w:style>
  <w:style w:type="paragraph" w:styleId="TOCHeading">
    <w:name w:val="TOC Heading"/>
    <w:qFormat/>
    <w:pPr>
      <w:widowControl/>
      <w:suppressAutoHyphens w:val="true"/>
      <w:kinsoku w:val="true"/>
      <w:overflowPunct w:val="true"/>
      <w:autoSpaceDE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pPr/>
    <w:rPr/>
  </w:style>
  <w:style w:type="paragraph" w:styleId="BodyTextIndent">
    <w:name w:val="Body Text Indent"/>
    <w:basedOn w:val="Normal"/>
    <w:link w:val="Style12"/>
    <w:pPr>
      <w:ind w:firstLine="709"/>
      <w:jc w:val="both"/>
    </w:pPr>
    <w:rPr>
      <w:rFonts w:eastAsia="Calibri"/>
      <w:lang w:val="en-US"/>
    </w:rPr>
  </w:style>
  <w:style w:type="paragraph" w:styleId="ConsPlusNormal1">
    <w:name w:val="ConsPlusNormal"/>
    <w:link w:val="ConsPlusNormal"/>
    <w:qFormat/>
    <w:pPr>
      <w:widowControl w:val="false"/>
      <w:suppressAutoHyphens w:val="true"/>
      <w:kinsoku w:val="true"/>
      <w:overflowPunct w:val="true"/>
      <w:autoSpaceDE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kinsoku w:val="true"/>
      <w:overflowPunct w:val="true"/>
      <w:autoSpaceDE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pPr>
      <w:tabs>
        <w:tab w:val="clear" w:pos="708"/>
        <w:tab w:val="center" w:pos="4677" w:leader="none"/>
        <w:tab w:val="right" w:pos="9355" w:leader="none"/>
      </w:tabs>
    </w:pPr>
    <w:rPr/>
  </w:style>
  <w:style w:type="paragraph" w:styleId="Footer">
    <w:name w:val="footer"/>
    <w:basedOn w:val="Normal"/>
    <w:link w:val="Style14"/>
    <w:pPr>
      <w:tabs>
        <w:tab w:val="clear" w:pos="708"/>
        <w:tab w:val="center" w:pos="4677" w:leader="none"/>
        <w:tab w:val="right" w:pos="9355" w:leader="none"/>
      </w:tabs>
    </w:pPr>
    <w:rPr/>
  </w:style>
  <w:style w:type="paragraph" w:styleId="CommentText">
    <w:name w:val="annotation text"/>
    <w:basedOn w:val="Normal"/>
    <w:link w:val="Style15"/>
    <w:pPr/>
    <w:rPr/>
  </w:style>
  <w:style w:type="paragraph" w:styleId="annotationsubject">
    <w:name w:val="annotation subject"/>
    <w:basedOn w:val="CommentText"/>
    <w:next w:val="CommentText"/>
    <w:link w:val="Style16"/>
    <w:qFormat/>
    <w:pPr/>
    <w:rPr>
      <w:b/>
      <w:bCs/>
    </w:rPr>
  </w:style>
  <w:style w:type="paragraph" w:styleId="BalloonText">
    <w:name w:val="Balloon Text"/>
    <w:basedOn w:val="Normal"/>
    <w:link w:val="Style17"/>
    <w:qFormat/>
    <w:pPr/>
    <w:rPr>
      <w:rFonts w:ascii="Tahoma" w:hAnsi="Tahoma" w:cs="Tahoma"/>
      <w:sz w:val="16"/>
      <w:szCs w:val="16"/>
    </w:rPr>
  </w:style>
  <w:style w:type="paragraph" w:styleId="NoSpacing">
    <w:name w:val="No Spacing"/>
    <w:link w:val="Style18"/>
    <w:qFormat/>
    <w:pPr>
      <w:widowControl/>
      <w:suppressAutoHyphens w:val="true"/>
      <w:kinsoku w:val="true"/>
      <w:overflowPunct w:val="true"/>
      <w:autoSpaceDE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kinsoku w:val="true"/>
      <w:overflowPunct w:val="true"/>
      <w:autoSpaceDE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22">
    <w:name w:val="Содержимое таблицы"/>
    <w:basedOn w:val="Normal"/>
    <w:qFormat/>
    <w:pPr>
      <w:widowControl w:val="false"/>
      <w:suppressLineNumbers/>
    </w:pPr>
    <w:rPr/>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233</TotalTime>
  <Application>LibreOffice/25.2.6.2$Linux_X86_64 LibreOffice_project/520$Build-2</Application>
  <AppVersion>15.0000</AppVersion>
  <Pages>3</Pages>
  <Words>3259</Words>
  <Characters>23524</Characters>
  <CharactersWithSpaces>27338</CharactersWithSpaces>
  <Paragraphs>180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2026-04-01T14:53:59Z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