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D40EA4">
      <w:pPr>
        <w:pStyle w:val="9"/>
        <w:spacing w:after="80" w:line="254" w:lineRule="auto"/>
        <w:ind w:firstLine="709"/>
        <w:jc w:val="center"/>
        <w:rPr>
          <w:b/>
        </w:rPr>
      </w:pPr>
      <w:r>
        <w:rPr>
          <w:b/>
          <w:sz w:val="24"/>
          <w:szCs w:val="24"/>
        </w:rPr>
        <w:t>ОБОСНОВАНИЕ НАЧАЛЬНОЙ (МАКСИМАЛЬНОЙ) ЦЕНЫ КОНТРАКТА</w:t>
      </w:r>
    </w:p>
    <w:p w14:paraId="5F09C8AC">
      <w:pPr>
        <w:pStyle w:val="13"/>
        <w:ind w:firstLine="708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Объект закупки: </w:t>
      </w:r>
      <w:r>
        <w:rPr>
          <w:sz w:val="24"/>
          <w:szCs w:val="24"/>
        </w:rPr>
        <w:t>оказание ветеринарных услуг</w:t>
      </w:r>
    </w:p>
    <w:p w14:paraId="57195964">
      <w:pPr>
        <w:ind w:firstLine="85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Начальная (максимальная) цена контракта устанавливается в размере </w:t>
      </w:r>
      <w:r>
        <w:rPr>
          <w:rFonts w:ascii="Times New Roman" w:hAnsi="Times New Roman" w:cs="Times New Roman"/>
          <w:b/>
          <w:sz w:val="22"/>
          <w:szCs w:val="22"/>
        </w:rPr>
        <w:t>: 220334,92</w:t>
      </w:r>
      <w:bookmarkStart w:id="0" w:name="_GoBack"/>
      <w:bookmarkEnd w:id="0"/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</w:rPr>
        <w:t xml:space="preserve">руб. </w:t>
      </w:r>
    </w:p>
    <w:p w14:paraId="43F363CA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Используемый метод определения начальной (максимальной) цены контракта: </w:t>
      </w:r>
      <w:r>
        <w:rPr>
          <w:rFonts w:ascii="Times New Roman" w:hAnsi="Times New Roman"/>
          <w:b/>
          <w:bCs/>
        </w:rPr>
        <w:t>нормативный метод.</w:t>
      </w:r>
    </w:p>
    <w:p w14:paraId="19C2B5D3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Начальная (максимальная) цена контракта рассчитана в соответствии Постановлением Правительства Республики Бурятия от 25.05.2026 г. № 247 «Об утверждении Прейскуранта цен на платные ветеринарные услуги, оказываемые бюджетными учреждениями ветеринарии Республики Бурятия»</w:t>
      </w:r>
    </w:p>
    <w:p w14:paraId="0B1AE1D1">
      <w:pPr>
        <w:ind w:firstLine="851"/>
        <w:jc w:val="both"/>
        <w:rPr>
          <w:rFonts w:ascii="Times New Roman" w:hAnsi="Times New Roman"/>
          <w:b/>
        </w:rPr>
      </w:pPr>
    </w:p>
    <w:tbl>
      <w:tblPr>
        <w:tblStyle w:val="3"/>
        <w:tblW w:w="9880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4536"/>
        <w:gridCol w:w="850"/>
        <w:gridCol w:w="992"/>
        <w:gridCol w:w="1418"/>
        <w:gridCol w:w="1374"/>
      </w:tblGrid>
      <w:tr w14:paraId="77196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</w:trPr>
        <w:tc>
          <w:tcPr>
            <w:tcW w:w="710" w:type="dxa"/>
            <w:vAlign w:val="center"/>
          </w:tcPr>
          <w:p w14:paraId="172DF88B">
            <w:pPr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4536" w:type="dxa"/>
            <w:vAlign w:val="center"/>
          </w:tcPr>
          <w:p w14:paraId="4F8903AC">
            <w:pPr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услуг</w:t>
            </w:r>
          </w:p>
        </w:tc>
        <w:tc>
          <w:tcPr>
            <w:tcW w:w="850" w:type="dxa"/>
            <w:vAlign w:val="center"/>
          </w:tcPr>
          <w:p w14:paraId="532692A5">
            <w:pPr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14:paraId="20D7EF3B">
            <w:pPr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992" w:type="dxa"/>
            <w:vAlign w:val="center"/>
          </w:tcPr>
          <w:p w14:paraId="24F6E932">
            <w:pPr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1418" w:type="dxa"/>
            <w:vAlign w:val="center"/>
          </w:tcPr>
          <w:p w14:paraId="6F3E43C5">
            <w:pPr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Цена, руб.</w:t>
            </w:r>
          </w:p>
        </w:tc>
        <w:tc>
          <w:tcPr>
            <w:tcW w:w="1374" w:type="dxa"/>
            <w:vAlign w:val="center"/>
          </w:tcPr>
          <w:p w14:paraId="3333F177">
            <w:pPr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Стоимость, руб.</w:t>
            </w:r>
          </w:p>
        </w:tc>
      </w:tr>
      <w:tr w14:paraId="56524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" w:hRule="atLeast"/>
        </w:trPr>
        <w:tc>
          <w:tcPr>
            <w:tcW w:w="710" w:type="dxa"/>
          </w:tcPr>
          <w:p w14:paraId="01C72F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14:paraId="33BCEFC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Консультация по уходу и содержанию животных</w:t>
            </w:r>
          </w:p>
        </w:tc>
        <w:tc>
          <w:tcPr>
            <w:tcW w:w="850" w:type="dxa"/>
            <w:vAlign w:val="center"/>
          </w:tcPr>
          <w:p w14:paraId="158C1A90">
            <w:pPr>
              <w:widowControl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выезд</w:t>
            </w:r>
          </w:p>
        </w:tc>
        <w:tc>
          <w:tcPr>
            <w:tcW w:w="992" w:type="dxa"/>
            <w:vAlign w:val="center"/>
          </w:tcPr>
          <w:p w14:paraId="7D6EF63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eastAsia="zh-CN" w:bidi="ar"/>
              </w:rPr>
              <w:t>2</w:t>
            </w:r>
            <w:r>
              <w:rPr>
                <w:rFonts w:ascii="Times New Roman" w:hAnsi="Times New Roman" w:eastAsia="SimSun" w:cs="Times New Roman"/>
                <w:lang w:val="en-US" w:eastAsia="zh-CN" w:bidi="ar"/>
              </w:rPr>
              <w:t>,00</w:t>
            </w:r>
          </w:p>
        </w:tc>
        <w:tc>
          <w:tcPr>
            <w:tcW w:w="1418" w:type="dxa"/>
            <w:vAlign w:val="center"/>
          </w:tcPr>
          <w:p w14:paraId="77BE535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154,00</w:t>
            </w:r>
          </w:p>
        </w:tc>
        <w:tc>
          <w:tcPr>
            <w:tcW w:w="1374" w:type="dxa"/>
            <w:vAlign w:val="center"/>
          </w:tcPr>
          <w:p w14:paraId="0EEB2E4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eastAsia="zh-CN" w:bidi="ar"/>
              </w:rPr>
              <w:t>308</w:t>
            </w:r>
            <w:r>
              <w:rPr>
                <w:rFonts w:ascii="Times New Roman" w:hAnsi="Times New Roman" w:eastAsia="SimSun" w:cs="Times New Roman"/>
                <w:lang w:val="en-US" w:eastAsia="zh-CN" w:bidi="ar"/>
              </w:rPr>
              <w:t>,00</w:t>
            </w:r>
          </w:p>
        </w:tc>
      </w:tr>
      <w:tr w14:paraId="0A620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" w:hRule="atLeast"/>
        </w:trPr>
        <w:tc>
          <w:tcPr>
            <w:tcW w:w="710" w:type="dxa"/>
          </w:tcPr>
          <w:p w14:paraId="0D7F115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536" w:type="dxa"/>
          </w:tcPr>
          <w:p w14:paraId="366A1B22">
            <w:pPr>
              <w:pStyle w:val="1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Вызов специалиста</w:t>
            </w:r>
          </w:p>
          <w:p w14:paraId="421CE1B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BE8FD46">
            <w:pPr>
              <w:widowControl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вызов</w:t>
            </w:r>
          </w:p>
        </w:tc>
        <w:tc>
          <w:tcPr>
            <w:tcW w:w="992" w:type="dxa"/>
            <w:vAlign w:val="center"/>
          </w:tcPr>
          <w:p w14:paraId="3193ABB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15,00</w:t>
            </w:r>
          </w:p>
        </w:tc>
        <w:tc>
          <w:tcPr>
            <w:tcW w:w="1418" w:type="dxa"/>
            <w:vAlign w:val="center"/>
          </w:tcPr>
          <w:p w14:paraId="58FFA6E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514,00</w:t>
            </w:r>
          </w:p>
        </w:tc>
        <w:tc>
          <w:tcPr>
            <w:tcW w:w="1374" w:type="dxa"/>
            <w:vAlign w:val="center"/>
          </w:tcPr>
          <w:p w14:paraId="5300552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7710,00</w:t>
            </w:r>
          </w:p>
        </w:tc>
      </w:tr>
      <w:tr w14:paraId="176B4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" w:hRule="atLeast"/>
        </w:trPr>
        <w:tc>
          <w:tcPr>
            <w:tcW w:w="710" w:type="dxa"/>
          </w:tcPr>
          <w:p w14:paraId="3DEC0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536" w:type="dxa"/>
          </w:tcPr>
          <w:p w14:paraId="0842A7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Выезд специалиста</w:t>
            </w:r>
          </w:p>
        </w:tc>
        <w:tc>
          <w:tcPr>
            <w:tcW w:w="850" w:type="dxa"/>
            <w:vAlign w:val="center"/>
          </w:tcPr>
          <w:p w14:paraId="0E1ABFFD">
            <w:pPr>
              <w:widowControl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выезд</w:t>
            </w:r>
          </w:p>
        </w:tc>
        <w:tc>
          <w:tcPr>
            <w:tcW w:w="992" w:type="dxa"/>
            <w:vAlign w:val="center"/>
          </w:tcPr>
          <w:p w14:paraId="0F3DE80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15,00</w:t>
            </w:r>
          </w:p>
        </w:tc>
        <w:tc>
          <w:tcPr>
            <w:tcW w:w="1418" w:type="dxa"/>
            <w:vAlign w:val="center"/>
          </w:tcPr>
          <w:p w14:paraId="3046C79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514,00</w:t>
            </w:r>
          </w:p>
        </w:tc>
        <w:tc>
          <w:tcPr>
            <w:tcW w:w="1374" w:type="dxa"/>
            <w:vAlign w:val="center"/>
          </w:tcPr>
          <w:p w14:paraId="4133E23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7710,00</w:t>
            </w:r>
          </w:p>
        </w:tc>
      </w:tr>
      <w:tr w14:paraId="3C99D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" w:hRule="atLeast"/>
        </w:trPr>
        <w:tc>
          <w:tcPr>
            <w:tcW w:w="710" w:type="dxa"/>
          </w:tcPr>
          <w:p w14:paraId="169A224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36" w:type="dxa"/>
          </w:tcPr>
          <w:p w14:paraId="2E6B415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Клинико эпизоотическое и ветеринарно санитарное обследование</w:t>
            </w:r>
          </w:p>
        </w:tc>
        <w:tc>
          <w:tcPr>
            <w:tcW w:w="850" w:type="dxa"/>
            <w:vAlign w:val="center"/>
          </w:tcPr>
          <w:p w14:paraId="0B74E1FE">
            <w:pPr>
              <w:widowControl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eastAsia="zh-CN" w:bidi="ar"/>
              </w:rPr>
              <w:t>о</w:t>
            </w:r>
            <w:r>
              <w:rPr>
                <w:rFonts w:ascii="Times New Roman" w:hAnsi="Times New Roman" w:eastAsia="SimSun" w:cs="Times New Roman"/>
                <w:lang w:val="en-US" w:eastAsia="zh-CN" w:bidi="ar"/>
              </w:rPr>
              <w:t>бследование</w:t>
            </w:r>
          </w:p>
        </w:tc>
        <w:tc>
          <w:tcPr>
            <w:tcW w:w="992" w:type="dxa"/>
            <w:vAlign w:val="center"/>
          </w:tcPr>
          <w:p w14:paraId="62406A7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1,00</w:t>
            </w:r>
          </w:p>
        </w:tc>
        <w:tc>
          <w:tcPr>
            <w:tcW w:w="1418" w:type="dxa"/>
            <w:vAlign w:val="center"/>
          </w:tcPr>
          <w:p w14:paraId="6615BFF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5011,00</w:t>
            </w:r>
          </w:p>
        </w:tc>
        <w:tc>
          <w:tcPr>
            <w:tcW w:w="1374" w:type="dxa"/>
            <w:vAlign w:val="center"/>
          </w:tcPr>
          <w:p w14:paraId="24F07A1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5011,00</w:t>
            </w:r>
          </w:p>
        </w:tc>
      </w:tr>
      <w:tr w14:paraId="6D276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" w:hRule="atLeast"/>
        </w:trPr>
        <w:tc>
          <w:tcPr>
            <w:tcW w:w="710" w:type="dxa"/>
          </w:tcPr>
          <w:p w14:paraId="07ADEA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536" w:type="dxa"/>
          </w:tcPr>
          <w:p w14:paraId="137356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Консультация хозяйствующего субъекта поднадзорного объекта ФГИС</w:t>
            </w:r>
          </w:p>
        </w:tc>
        <w:tc>
          <w:tcPr>
            <w:tcW w:w="850" w:type="dxa"/>
            <w:vAlign w:val="center"/>
          </w:tcPr>
          <w:p w14:paraId="657ED0BE">
            <w:pPr>
              <w:widowControl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eastAsia="zh-CN" w:bidi="ar"/>
              </w:rPr>
              <w:t>услуга</w:t>
            </w:r>
          </w:p>
        </w:tc>
        <w:tc>
          <w:tcPr>
            <w:tcW w:w="992" w:type="dxa"/>
            <w:vAlign w:val="center"/>
          </w:tcPr>
          <w:p w14:paraId="5A931AC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1,00</w:t>
            </w:r>
          </w:p>
        </w:tc>
        <w:tc>
          <w:tcPr>
            <w:tcW w:w="1418" w:type="dxa"/>
            <w:vAlign w:val="center"/>
          </w:tcPr>
          <w:p w14:paraId="31591DDD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605,00</w:t>
            </w:r>
          </w:p>
        </w:tc>
        <w:tc>
          <w:tcPr>
            <w:tcW w:w="1374" w:type="dxa"/>
            <w:vAlign w:val="center"/>
          </w:tcPr>
          <w:p w14:paraId="1F92719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605,00</w:t>
            </w:r>
          </w:p>
        </w:tc>
      </w:tr>
      <w:tr w14:paraId="03549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" w:hRule="atLeast"/>
        </w:trPr>
        <w:tc>
          <w:tcPr>
            <w:tcW w:w="710" w:type="dxa"/>
          </w:tcPr>
          <w:p w14:paraId="6E51F67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536" w:type="dxa"/>
          </w:tcPr>
          <w:p w14:paraId="2FEF998C">
            <w:pPr>
              <w:pStyle w:val="1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Предубойный осмотр</w:t>
            </w:r>
          </w:p>
          <w:p w14:paraId="4F2DE46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DA618BB">
            <w:pPr>
              <w:widowControl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голова</w:t>
            </w:r>
          </w:p>
        </w:tc>
        <w:tc>
          <w:tcPr>
            <w:tcW w:w="992" w:type="dxa"/>
            <w:vAlign w:val="center"/>
          </w:tcPr>
          <w:p w14:paraId="5C7B113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250,00</w:t>
            </w:r>
          </w:p>
        </w:tc>
        <w:tc>
          <w:tcPr>
            <w:tcW w:w="1418" w:type="dxa"/>
            <w:vAlign w:val="center"/>
          </w:tcPr>
          <w:p w14:paraId="3AE37F7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88,00</w:t>
            </w:r>
          </w:p>
        </w:tc>
        <w:tc>
          <w:tcPr>
            <w:tcW w:w="1374" w:type="dxa"/>
            <w:vAlign w:val="center"/>
          </w:tcPr>
          <w:p w14:paraId="0003BDF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22000,00</w:t>
            </w:r>
          </w:p>
        </w:tc>
      </w:tr>
      <w:tr w14:paraId="7EF11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</w:trPr>
        <w:tc>
          <w:tcPr>
            <w:tcW w:w="710" w:type="dxa"/>
          </w:tcPr>
          <w:p w14:paraId="7176C41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536" w:type="dxa"/>
          </w:tcPr>
          <w:p w14:paraId="2259DFDC">
            <w:pPr>
              <w:pStyle w:val="1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Послеубойный осмотр</w:t>
            </w:r>
          </w:p>
          <w:p w14:paraId="77DE4E9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B1E95FD">
            <w:pPr>
              <w:widowControl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eastAsia="zh-CN" w:bidi="ar"/>
              </w:rPr>
              <w:t>туша</w:t>
            </w:r>
          </w:p>
        </w:tc>
        <w:tc>
          <w:tcPr>
            <w:tcW w:w="992" w:type="dxa"/>
            <w:vAlign w:val="center"/>
          </w:tcPr>
          <w:p w14:paraId="00A41EE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250,00</w:t>
            </w:r>
          </w:p>
        </w:tc>
        <w:tc>
          <w:tcPr>
            <w:tcW w:w="1418" w:type="dxa"/>
            <w:vAlign w:val="center"/>
          </w:tcPr>
          <w:p w14:paraId="0F467E2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81,00</w:t>
            </w:r>
          </w:p>
        </w:tc>
        <w:tc>
          <w:tcPr>
            <w:tcW w:w="1374" w:type="dxa"/>
            <w:vAlign w:val="center"/>
          </w:tcPr>
          <w:p w14:paraId="14FF12C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20250,00</w:t>
            </w:r>
          </w:p>
        </w:tc>
      </w:tr>
      <w:tr w14:paraId="31E4F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</w:trPr>
        <w:tc>
          <w:tcPr>
            <w:tcW w:w="710" w:type="dxa"/>
          </w:tcPr>
          <w:p w14:paraId="1E5CDB9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536" w:type="dxa"/>
          </w:tcPr>
          <w:p w14:paraId="2EE9DE83">
            <w:pPr>
              <w:pStyle w:val="1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Ветеринорно-санитарная экспертиза субпродуктов</w:t>
            </w:r>
          </w:p>
          <w:p w14:paraId="2F70F8F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239EDB1">
            <w:pPr>
              <w:widowControl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комплект</w:t>
            </w:r>
          </w:p>
        </w:tc>
        <w:tc>
          <w:tcPr>
            <w:tcW w:w="992" w:type="dxa"/>
            <w:vAlign w:val="center"/>
          </w:tcPr>
          <w:p w14:paraId="665C6B4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250,00</w:t>
            </w:r>
          </w:p>
        </w:tc>
        <w:tc>
          <w:tcPr>
            <w:tcW w:w="1418" w:type="dxa"/>
            <w:vAlign w:val="center"/>
          </w:tcPr>
          <w:p w14:paraId="48D8F21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81,00</w:t>
            </w:r>
          </w:p>
        </w:tc>
        <w:tc>
          <w:tcPr>
            <w:tcW w:w="1374" w:type="dxa"/>
            <w:vAlign w:val="center"/>
          </w:tcPr>
          <w:p w14:paraId="528021F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20250,00</w:t>
            </w:r>
          </w:p>
        </w:tc>
      </w:tr>
      <w:tr w14:paraId="25A0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</w:trPr>
        <w:tc>
          <w:tcPr>
            <w:tcW w:w="710" w:type="dxa"/>
          </w:tcPr>
          <w:p w14:paraId="0C26AE7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536" w:type="dxa"/>
          </w:tcPr>
          <w:p w14:paraId="30B27FED">
            <w:pPr>
              <w:pStyle w:val="1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Ветеринорно-санитарная экспертиза мяса</w:t>
            </w:r>
          </w:p>
          <w:p w14:paraId="5113D06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1A0C823">
            <w:pPr>
              <w:widowControl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туша</w:t>
            </w:r>
          </w:p>
        </w:tc>
        <w:tc>
          <w:tcPr>
            <w:tcW w:w="992" w:type="dxa"/>
            <w:vAlign w:val="center"/>
          </w:tcPr>
          <w:p w14:paraId="1A72AC1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250,00</w:t>
            </w:r>
          </w:p>
        </w:tc>
        <w:tc>
          <w:tcPr>
            <w:tcW w:w="1418" w:type="dxa"/>
            <w:vAlign w:val="center"/>
          </w:tcPr>
          <w:p w14:paraId="3507882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465,00</w:t>
            </w:r>
          </w:p>
        </w:tc>
        <w:tc>
          <w:tcPr>
            <w:tcW w:w="1374" w:type="dxa"/>
            <w:vAlign w:val="center"/>
          </w:tcPr>
          <w:p w14:paraId="326E07C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116250,00</w:t>
            </w:r>
          </w:p>
        </w:tc>
      </w:tr>
      <w:tr w14:paraId="57471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</w:trPr>
        <w:tc>
          <w:tcPr>
            <w:tcW w:w="710" w:type="dxa"/>
          </w:tcPr>
          <w:p w14:paraId="681050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536" w:type="dxa"/>
          </w:tcPr>
          <w:p w14:paraId="2092D9F1">
            <w:pPr>
              <w:pStyle w:val="1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Клеймение туш </w:t>
            </w:r>
          </w:p>
        </w:tc>
        <w:tc>
          <w:tcPr>
            <w:tcW w:w="850" w:type="dxa"/>
            <w:vAlign w:val="center"/>
          </w:tcPr>
          <w:p w14:paraId="19CAF2C0">
            <w:pPr>
              <w:widowControl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 xml:space="preserve"> туша</w:t>
            </w:r>
          </w:p>
        </w:tc>
        <w:tc>
          <w:tcPr>
            <w:tcW w:w="992" w:type="dxa"/>
            <w:vAlign w:val="center"/>
          </w:tcPr>
          <w:p w14:paraId="19347BC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5</w:t>
            </w:r>
            <w:r>
              <w:rPr>
                <w:rFonts w:ascii="Times New Roman" w:hAnsi="Times New Roman" w:eastAsia="SimSun" w:cs="Times New Roman"/>
                <w:lang w:eastAsia="zh-CN" w:bidi="ar"/>
              </w:rPr>
              <w:t>0</w:t>
            </w:r>
            <w:r>
              <w:rPr>
                <w:rFonts w:ascii="Times New Roman" w:hAnsi="Times New Roman" w:eastAsia="SimSun" w:cs="Times New Roman"/>
                <w:lang w:val="en-US" w:eastAsia="zh-CN" w:bidi="ar"/>
              </w:rPr>
              <w:t>0,00</w:t>
            </w:r>
          </w:p>
        </w:tc>
        <w:tc>
          <w:tcPr>
            <w:tcW w:w="1418" w:type="dxa"/>
            <w:vAlign w:val="center"/>
          </w:tcPr>
          <w:p w14:paraId="72E2DF9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31,00</w:t>
            </w:r>
          </w:p>
        </w:tc>
        <w:tc>
          <w:tcPr>
            <w:tcW w:w="1374" w:type="dxa"/>
            <w:vAlign w:val="center"/>
          </w:tcPr>
          <w:p w14:paraId="7A017BC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eastAsia="zh-CN" w:bidi="ar"/>
              </w:rPr>
              <w:t>15</w:t>
            </w:r>
            <w:r>
              <w:rPr>
                <w:rFonts w:ascii="Times New Roman" w:hAnsi="Times New Roman" w:eastAsia="SimSun" w:cs="Times New Roman"/>
                <w:lang w:val="en-US" w:eastAsia="zh-CN" w:bidi="ar"/>
              </w:rPr>
              <w:t>5</w:t>
            </w:r>
            <w:r>
              <w:rPr>
                <w:rFonts w:ascii="Times New Roman" w:hAnsi="Times New Roman" w:eastAsia="SimSun" w:cs="Times New Roman"/>
                <w:lang w:eastAsia="zh-CN" w:bidi="ar"/>
              </w:rPr>
              <w:t>0</w:t>
            </w:r>
            <w:r>
              <w:rPr>
                <w:rFonts w:ascii="Times New Roman" w:hAnsi="Times New Roman" w:eastAsia="SimSun" w:cs="Times New Roman"/>
                <w:lang w:val="en-US" w:eastAsia="zh-CN" w:bidi="ar"/>
              </w:rPr>
              <w:t>0,00</w:t>
            </w:r>
          </w:p>
        </w:tc>
      </w:tr>
      <w:tr w14:paraId="7EB15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" w:hRule="atLeast"/>
        </w:trPr>
        <w:tc>
          <w:tcPr>
            <w:tcW w:w="710" w:type="dxa"/>
          </w:tcPr>
          <w:p w14:paraId="533CD5E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536" w:type="dxa"/>
          </w:tcPr>
          <w:p w14:paraId="5C2C91E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Бланк формы №4</w:t>
            </w:r>
          </w:p>
        </w:tc>
        <w:tc>
          <w:tcPr>
            <w:tcW w:w="850" w:type="dxa"/>
            <w:vAlign w:val="center"/>
          </w:tcPr>
          <w:p w14:paraId="1B2BBA74">
            <w:pPr>
              <w:widowControl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eastAsia="zh-CN" w:bidi="ar"/>
              </w:rPr>
              <w:t xml:space="preserve">  шт</w:t>
            </w:r>
          </w:p>
        </w:tc>
        <w:tc>
          <w:tcPr>
            <w:tcW w:w="992" w:type="dxa"/>
            <w:vAlign w:val="center"/>
          </w:tcPr>
          <w:p w14:paraId="0C69949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eastAsia="zh-CN" w:bidi="ar"/>
              </w:rPr>
              <w:t>67</w:t>
            </w:r>
            <w:r>
              <w:rPr>
                <w:rFonts w:ascii="Times New Roman" w:hAnsi="Times New Roman" w:eastAsia="SimSun" w:cs="Times New Roman"/>
                <w:lang w:val="en-US" w:eastAsia="zh-CN" w:bidi="ar"/>
              </w:rPr>
              <w:t>,00</w:t>
            </w:r>
          </w:p>
        </w:tc>
        <w:tc>
          <w:tcPr>
            <w:tcW w:w="1418" w:type="dxa"/>
            <w:vAlign w:val="center"/>
          </w:tcPr>
          <w:p w14:paraId="598A69D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val="en-US" w:eastAsia="zh-CN" w:bidi="ar"/>
              </w:rPr>
              <w:t>70,76</w:t>
            </w:r>
          </w:p>
        </w:tc>
        <w:tc>
          <w:tcPr>
            <w:tcW w:w="1374" w:type="dxa"/>
            <w:vAlign w:val="center"/>
          </w:tcPr>
          <w:p w14:paraId="1E97EBF6">
            <w:pPr>
              <w:widowControl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SimSun" w:cs="Times New Roman"/>
                <w:lang w:eastAsia="zh-CN" w:bidi="ar"/>
              </w:rPr>
              <w:t>4740,92</w:t>
            </w:r>
          </w:p>
        </w:tc>
      </w:tr>
      <w:tr w14:paraId="669C0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</w:trPr>
        <w:tc>
          <w:tcPr>
            <w:tcW w:w="710" w:type="dxa"/>
            <w:vAlign w:val="center"/>
          </w:tcPr>
          <w:p w14:paraId="56099788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70" w:type="dxa"/>
            <w:gridSpan w:val="5"/>
          </w:tcPr>
          <w:p w14:paraId="46CB0A9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ИТОГО: 220334,92</w:t>
            </w:r>
          </w:p>
        </w:tc>
      </w:tr>
    </w:tbl>
    <w:p w14:paraId="0E5A2D64">
      <w:pPr>
        <w:pStyle w:val="11"/>
        <w:rPr>
          <w:u w:val="single"/>
        </w:rPr>
      </w:pPr>
    </w:p>
    <w:p w14:paraId="5DCFF1E2">
      <w:pPr>
        <w:pStyle w:val="11"/>
        <w:rPr>
          <w:u w:val="single"/>
        </w:rPr>
      </w:pPr>
    </w:p>
    <w:p w14:paraId="75AE8B8E">
      <w:pPr>
        <w:pStyle w:val="11"/>
        <w:rPr>
          <w:u w:val="single"/>
        </w:rPr>
      </w:pPr>
      <w:r>
        <w:rPr>
          <w:u w:val="single"/>
        </w:rPr>
        <w:t>Инициатор:</w:t>
      </w:r>
    </w:p>
    <w:p w14:paraId="48CF4951">
      <w:pPr>
        <w:pStyle w:val="11"/>
      </w:pPr>
      <w:r>
        <w:t>Главный ветеринарный врач – государственный ветеринарный инспектор                                                           А.В. Будаева</w:t>
      </w:r>
    </w:p>
    <w:p w14:paraId="232681B1">
      <w:pPr>
        <w:pStyle w:val="11"/>
        <w:rPr>
          <w:u w:val="single"/>
        </w:rPr>
      </w:pPr>
    </w:p>
    <w:p w14:paraId="547FB6C0">
      <w:pPr>
        <w:pStyle w:val="11"/>
        <w:rPr>
          <w:u w:val="single"/>
        </w:rPr>
      </w:pPr>
    </w:p>
    <w:p w14:paraId="7BB13ABD">
      <w:pPr>
        <w:pStyle w:val="11"/>
        <w:rPr>
          <w:u w:val="single"/>
        </w:rPr>
      </w:pPr>
      <w:r>
        <w:rPr>
          <w:u w:val="single"/>
        </w:rPr>
        <w:t>Согласовано:</w:t>
      </w:r>
    </w:p>
    <w:p w14:paraId="187A8D80">
      <w:pPr>
        <w:pStyle w:val="11"/>
      </w:pPr>
      <w:r>
        <w:t xml:space="preserve">Главный экономист ЦТАО </w:t>
      </w:r>
    </w:p>
    <w:p w14:paraId="406FEBBF">
      <w:pPr>
        <w:pStyle w:val="11"/>
      </w:pPr>
      <w:r>
        <w:t>Старший лейтенант внутренней службы                                                                                                          А.И. Карпушкеева</w:t>
      </w:r>
    </w:p>
    <w:p w14:paraId="3A16750F">
      <w:pPr>
        <w:pStyle w:val="11"/>
      </w:pPr>
    </w:p>
    <w:sectPr>
      <w:pgSz w:w="11906" w:h="16838"/>
      <w:pgMar w:top="1134" w:right="850" w:bottom="1701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2"/>
  </w:compat>
  <w:rsids>
    <w:rsidRoot w:val="00E76396"/>
    <w:rsid w:val="0000005F"/>
    <w:rsid w:val="00017AB0"/>
    <w:rsid w:val="00082452"/>
    <w:rsid w:val="000A4514"/>
    <w:rsid w:val="000B6D9A"/>
    <w:rsid w:val="000D0172"/>
    <w:rsid w:val="00206A2D"/>
    <w:rsid w:val="002A6278"/>
    <w:rsid w:val="00321624"/>
    <w:rsid w:val="00347DDA"/>
    <w:rsid w:val="003619D0"/>
    <w:rsid w:val="00381AFB"/>
    <w:rsid w:val="003F233A"/>
    <w:rsid w:val="00405EB6"/>
    <w:rsid w:val="0043039C"/>
    <w:rsid w:val="00471521"/>
    <w:rsid w:val="004B11D5"/>
    <w:rsid w:val="00535E1B"/>
    <w:rsid w:val="005E4E5A"/>
    <w:rsid w:val="0072019F"/>
    <w:rsid w:val="007229DD"/>
    <w:rsid w:val="00724D3F"/>
    <w:rsid w:val="00747929"/>
    <w:rsid w:val="00791848"/>
    <w:rsid w:val="00794E01"/>
    <w:rsid w:val="00812D0E"/>
    <w:rsid w:val="00836BDD"/>
    <w:rsid w:val="00953D1B"/>
    <w:rsid w:val="009A31D1"/>
    <w:rsid w:val="009A4520"/>
    <w:rsid w:val="009F38B3"/>
    <w:rsid w:val="00A05DF4"/>
    <w:rsid w:val="00A06040"/>
    <w:rsid w:val="00A45031"/>
    <w:rsid w:val="00A70F0A"/>
    <w:rsid w:val="00A93C95"/>
    <w:rsid w:val="00AD3ADC"/>
    <w:rsid w:val="00AD482D"/>
    <w:rsid w:val="00AE1F7F"/>
    <w:rsid w:val="00B111E8"/>
    <w:rsid w:val="00B25793"/>
    <w:rsid w:val="00B83709"/>
    <w:rsid w:val="00BD1EFC"/>
    <w:rsid w:val="00C10813"/>
    <w:rsid w:val="00C73BA0"/>
    <w:rsid w:val="00CF76B2"/>
    <w:rsid w:val="00D42F2E"/>
    <w:rsid w:val="00D666D3"/>
    <w:rsid w:val="00DE6AF9"/>
    <w:rsid w:val="00E76396"/>
    <w:rsid w:val="00E91104"/>
    <w:rsid w:val="00E92844"/>
    <w:rsid w:val="00EB1537"/>
    <w:rsid w:val="00EC3DB4"/>
    <w:rsid w:val="00EE28CA"/>
    <w:rsid w:val="00F63AAF"/>
    <w:rsid w:val="00F751DA"/>
    <w:rsid w:val="359F6515"/>
    <w:rsid w:val="3C7E09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</w:pPr>
    <w:rPr>
      <w:rFonts w:ascii="Courier New" w:hAnsi="Courier New" w:eastAsia="Courier New" w:cs="Courier New"/>
      <w:color w:val="000000"/>
      <w:sz w:val="24"/>
      <w:szCs w:val="24"/>
      <w:lang w:val="ru-RU" w:eastAsia="ru-RU" w:bidi="ru-RU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5">
    <w:name w:val="Balloon Text"/>
    <w:basedOn w:val="1"/>
    <w:link w:val="14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Body Text"/>
    <w:basedOn w:val="1"/>
    <w:link w:val="15"/>
    <w:qFormat/>
    <w:uiPriority w:val="99"/>
    <w:pPr>
      <w:widowControl/>
      <w:spacing w:after="120"/>
    </w:pPr>
    <w:rPr>
      <w:rFonts w:ascii="Times New Roman" w:hAnsi="Times New Roman" w:eastAsia="Times New Roman" w:cs="Times New Roman"/>
      <w:color w:val="auto"/>
      <w:szCs w:val="20"/>
      <w:lang w:bidi="ar-SA"/>
    </w:rPr>
  </w:style>
  <w:style w:type="table" w:styleId="7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Основной текст_"/>
    <w:basedOn w:val="2"/>
    <w:link w:val="9"/>
    <w:qFormat/>
    <w:uiPriority w:val="0"/>
    <w:rPr>
      <w:rFonts w:ascii="Times New Roman" w:hAnsi="Times New Roman" w:eastAsia="Times New Roman" w:cs="Times New Roman"/>
      <w:sz w:val="18"/>
      <w:szCs w:val="18"/>
    </w:rPr>
  </w:style>
  <w:style w:type="paragraph" w:customStyle="1" w:styleId="9">
    <w:name w:val="Основной текст1"/>
    <w:basedOn w:val="1"/>
    <w:link w:val="8"/>
    <w:qFormat/>
    <w:uiPriority w:val="0"/>
    <w:pPr>
      <w:ind w:firstLine="400"/>
    </w:pPr>
    <w:rPr>
      <w:rFonts w:ascii="Times New Roman" w:hAnsi="Times New Roman" w:eastAsia="Times New Roman" w:cs="Times New Roman"/>
      <w:color w:val="auto"/>
      <w:sz w:val="18"/>
      <w:szCs w:val="18"/>
      <w:lang w:eastAsia="en-US" w:bidi="ar-SA"/>
    </w:rPr>
  </w:style>
  <w:style w:type="character" w:customStyle="1" w:styleId="10">
    <w:name w:val="Подпись к таблице_"/>
    <w:basedOn w:val="2"/>
    <w:link w:val="11"/>
    <w:qFormat/>
    <w:uiPriority w:val="0"/>
    <w:rPr>
      <w:rFonts w:ascii="Times New Roman" w:hAnsi="Times New Roman" w:eastAsia="Times New Roman" w:cs="Times New Roman"/>
      <w:sz w:val="18"/>
      <w:szCs w:val="18"/>
    </w:rPr>
  </w:style>
  <w:style w:type="paragraph" w:customStyle="1" w:styleId="11">
    <w:name w:val="Подпись к таблице"/>
    <w:basedOn w:val="1"/>
    <w:link w:val="10"/>
    <w:uiPriority w:val="0"/>
    <w:rPr>
      <w:rFonts w:ascii="Times New Roman" w:hAnsi="Times New Roman" w:eastAsia="Times New Roman" w:cs="Times New Roman"/>
      <w:color w:val="auto"/>
      <w:sz w:val="18"/>
      <w:szCs w:val="18"/>
      <w:lang w:eastAsia="en-US" w:bidi="ar-SA"/>
    </w:rPr>
  </w:style>
  <w:style w:type="character" w:customStyle="1" w:styleId="12">
    <w:name w:val="Другое_"/>
    <w:basedOn w:val="2"/>
    <w:link w:val="13"/>
    <w:uiPriority w:val="0"/>
    <w:rPr>
      <w:rFonts w:ascii="Times New Roman" w:hAnsi="Times New Roman" w:eastAsia="Times New Roman" w:cs="Times New Roman"/>
      <w:sz w:val="18"/>
      <w:szCs w:val="18"/>
    </w:rPr>
  </w:style>
  <w:style w:type="paragraph" w:customStyle="1" w:styleId="13">
    <w:name w:val="Другое"/>
    <w:basedOn w:val="1"/>
    <w:link w:val="12"/>
    <w:qFormat/>
    <w:uiPriority w:val="0"/>
    <w:pPr>
      <w:ind w:firstLine="400"/>
    </w:pPr>
    <w:rPr>
      <w:rFonts w:ascii="Times New Roman" w:hAnsi="Times New Roman" w:eastAsia="Times New Roman" w:cs="Times New Roman"/>
      <w:color w:val="auto"/>
      <w:sz w:val="18"/>
      <w:szCs w:val="18"/>
      <w:lang w:eastAsia="en-US" w:bidi="ar-SA"/>
    </w:rPr>
  </w:style>
  <w:style w:type="character" w:customStyle="1" w:styleId="14">
    <w:name w:val="Текст выноски Знак"/>
    <w:basedOn w:val="2"/>
    <w:link w:val="5"/>
    <w:semiHidden/>
    <w:uiPriority w:val="99"/>
    <w:rPr>
      <w:rFonts w:ascii="Segoe UI" w:hAnsi="Segoe UI" w:eastAsia="Courier New" w:cs="Segoe UI"/>
      <w:color w:val="000000"/>
      <w:sz w:val="18"/>
      <w:szCs w:val="18"/>
      <w:lang w:eastAsia="ru-RU" w:bidi="ru-RU"/>
    </w:rPr>
  </w:style>
  <w:style w:type="character" w:customStyle="1" w:styleId="15">
    <w:name w:val="Основной текст Знак"/>
    <w:basedOn w:val="2"/>
    <w:link w:val="6"/>
    <w:uiPriority w:val="99"/>
    <w:rPr>
      <w:rFonts w:ascii="Times New Roman" w:hAnsi="Times New Roman" w:eastAsia="Times New Roman" w:cs="Times New Roman"/>
      <w:sz w:val="24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A608C-0305-4D59-B396-1CE2065782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183</Words>
  <Characters>1508</Characters>
  <Lines>12</Lines>
  <Paragraphs>3</Paragraphs>
  <TotalTime>0</TotalTime>
  <ScaleCrop>false</ScaleCrop>
  <LinksUpToDate>false</LinksUpToDate>
  <CharactersWithSpaces>1688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2022-02-16T08:58:00Z</dcterms:created>
  <dc:creator>Саян</dc:creator>
  <cp:lastModifiedBy>ФЭО01</cp:lastModifiedBy>
  <cp:lastPrinted>2026-08-10T05:18:00Z</cp:lastPrinted>
  <dcterms:modified xsi:type="dcterms:W3CDTF">2026-08-17T07:42:00Z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eyJoZGlkIjoiZjVjYzE4YmRiNDYwNzNhODY4NTg2N2I1ZGNlNjY3NTkifQ==</vt:lpwstr>
  </property>
  <property fmtid="{D5CDD505-2E9C-101B-9397-08002B2CF9AE}" pid="3" name="KSOProductBuildVer">
    <vt:lpwstr>1049-12.1.0.28032</vt:lpwstr>
  </property>
  <property fmtid="{D5CDD505-2E9C-101B-9397-08002B2CF9AE}" pid="4" name="ICV">
    <vt:lpwstr>855C10A58BBE462B8EA9760D0F018E31_12</vt:lpwstr>
  </property>
</Properties>
</file>