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01" w:rsidRDefault="00B511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3939F4" w:rsidRPr="008670D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6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50431" w:rsidRPr="008670D0" w:rsidRDefault="008504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F09" w:rsidRDefault="00477BAE" w:rsidP="007C23E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C5130">
        <w:rPr>
          <w:rFonts w:ascii="Times New Roman" w:hAnsi="Times New Roman"/>
          <w:b/>
          <w:sz w:val="24"/>
          <w:szCs w:val="24"/>
        </w:rPr>
        <w:t>П</w:t>
      </w:r>
      <w:r w:rsidR="00017242">
        <w:rPr>
          <w:rFonts w:ascii="Times New Roman" w:hAnsi="Times New Roman"/>
          <w:b/>
          <w:sz w:val="24"/>
          <w:szCs w:val="24"/>
        </w:rPr>
        <w:t>оставка</w:t>
      </w:r>
      <w:r w:rsidR="005C0944">
        <w:rPr>
          <w:rFonts w:ascii="Times New Roman" w:hAnsi="Times New Roman"/>
          <w:b/>
          <w:sz w:val="24"/>
          <w:szCs w:val="24"/>
        </w:rPr>
        <w:t xml:space="preserve"> </w:t>
      </w:r>
      <w:r w:rsidR="007A39EC" w:rsidRPr="007A39EC">
        <w:rPr>
          <w:rFonts w:ascii="Times New Roman" w:hAnsi="Times New Roman"/>
          <w:b/>
          <w:sz w:val="24"/>
          <w:szCs w:val="24"/>
        </w:rPr>
        <w:t>блоков питания ARPJ-SP-421400-PFC Arligh (или эквивалент)</w:t>
      </w:r>
    </w:p>
    <w:p w:rsidR="005A4C01" w:rsidRPr="008670D0" w:rsidRDefault="00A15B95" w:rsidP="007C23E3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ИКЗ </w:t>
      </w:r>
      <w:r w:rsidRPr="00A15B95">
        <w:rPr>
          <w:rFonts w:ascii="Times New Roman" w:hAnsi="Times New Roman"/>
          <w:sz w:val="24"/>
          <w:szCs w:val="24"/>
        </w:rPr>
        <w:t>26 1 7727083108 772801001 0001 000 0000 244</w:t>
      </w:r>
    </w:p>
    <w:p w:rsidR="005A4C01" w:rsidRPr="008670D0" w:rsidRDefault="008A0740" w:rsidP="008A074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="008670D0" w:rsidRPr="008670D0">
        <w:rPr>
          <w:rFonts w:ascii="Times New Roman" w:hAnsi="Times New Roman" w:cs="Times New Roman"/>
          <w:sz w:val="24"/>
          <w:szCs w:val="24"/>
        </w:rPr>
        <w:tab/>
        <w:t>«___»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="00991D62">
        <w:rPr>
          <w:rFonts w:ascii="Times New Roman" w:hAnsi="Times New Roman" w:cs="Times New Roman"/>
          <w:sz w:val="24"/>
          <w:szCs w:val="24"/>
        </w:rPr>
        <w:t>26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4C01" w:rsidRPr="008670D0" w:rsidRDefault="005A4C01">
      <w:pPr>
        <w:pStyle w:val="ConsPlusNormal"/>
        <w:jc w:val="both"/>
      </w:pPr>
    </w:p>
    <w:p w:rsidR="001F5B37" w:rsidRPr="00661623" w:rsidRDefault="009038F3" w:rsidP="001F5B37">
      <w:pPr>
        <w:widowControl w:val="0"/>
        <w:autoSpaceDE w:val="0"/>
        <w:autoSpaceDN w:val="0"/>
        <w:adjustRightInd w:val="0"/>
        <w:spacing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70D0">
        <w:rPr>
          <w:rFonts w:ascii="Times New Roman" w:hAnsi="Times New Roman"/>
          <w:b/>
          <w:bCs/>
          <w:sz w:val="24"/>
          <w:szCs w:val="24"/>
        </w:rPr>
        <w:t>Федеральное государст</w:t>
      </w:r>
      <w:r w:rsidR="004819DC">
        <w:rPr>
          <w:rFonts w:ascii="Times New Roman" w:hAnsi="Times New Roman"/>
          <w:b/>
          <w:bCs/>
          <w:sz w:val="24"/>
          <w:szCs w:val="24"/>
        </w:rPr>
        <w:t>венное бюджетное</w:t>
      </w:r>
      <w:r w:rsidRPr="008670D0">
        <w:rPr>
          <w:rFonts w:ascii="Times New Roman" w:hAnsi="Times New Roman"/>
          <w:b/>
          <w:bCs/>
          <w:sz w:val="24"/>
          <w:szCs w:val="24"/>
        </w:rPr>
        <w:t xml:space="preserve"> учреждение </w:t>
      </w:r>
      <w:r w:rsidR="00B51111">
        <w:rPr>
          <w:rFonts w:ascii="Times New Roman" w:hAnsi="Times New Roman"/>
          <w:b/>
          <w:bCs/>
          <w:sz w:val="24"/>
          <w:szCs w:val="24"/>
        </w:rPr>
        <w:t>науки Институт научной информации по общественным наукам Российской академии наук</w:t>
      </w:r>
      <w:r w:rsidRPr="008670D0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51111">
        <w:rPr>
          <w:rFonts w:ascii="Times New Roman" w:hAnsi="Times New Roman"/>
          <w:b/>
          <w:bCs/>
          <w:sz w:val="24"/>
          <w:szCs w:val="24"/>
        </w:rPr>
        <w:t>ИНИОН РАН)</w:t>
      </w:r>
      <w:r w:rsidR="005A4C01" w:rsidRPr="008670D0">
        <w:rPr>
          <w:rFonts w:ascii="Times New Roman" w:hAnsi="Times New Roman"/>
          <w:sz w:val="24"/>
          <w:szCs w:val="24"/>
        </w:rPr>
        <w:t xml:space="preserve">, </w:t>
      </w:r>
      <w:r w:rsidRPr="008670D0">
        <w:rPr>
          <w:rFonts w:ascii="Times New Roman" w:hAnsi="Times New Roman"/>
          <w:sz w:val="24"/>
          <w:szCs w:val="24"/>
        </w:rPr>
        <w:t>именуемое</w:t>
      </w:r>
      <w:r w:rsidR="005A4C01" w:rsidRPr="008670D0">
        <w:rPr>
          <w:rFonts w:ascii="Times New Roman" w:hAnsi="Times New Roman"/>
          <w:sz w:val="24"/>
          <w:szCs w:val="24"/>
        </w:rPr>
        <w:t xml:space="preserve"> в дальнейшем </w:t>
      </w:r>
      <w:r w:rsidR="008670D0" w:rsidRPr="008670D0">
        <w:rPr>
          <w:rFonts w:ascii="Times New Roman" w:hAnsi="Times New Roman"/>
          <w:sz w:val="24"/>
          <w:szCs w:val="24"/>
        </w:rPr>
        <w:t>«</w:t>
      </w:r>
      <w:r w:rsidR="005A4C01" w:rsidRPr="008670D0">
        <w:rPr>
          <w:rFonts w:ascii="Times New Roman" w:hAnsi="Times New Roman"/>
          <w:sz w:val="24"/>
          <w:szCs w:val="24"/>
        </w:rPr>
        <w:t>Заказчик</w:t>
      </w:r>
      <w:r w:rsidR="008670D0" w:rsidRPr="008670D0">
        <w:rPr>
          <w:rFonts w:ascii="Times New Roman" w:hAnsi="Times New Roman"/>
          <w:sz w:val="24"/>
          <w:szCs w:val="24"/>
        </w:rPr>
        <w:t>»</w:t>
      </w:r>
      <w:r w:rsidR="005A4C01" w:rsidRPr="008670D0">
        <w:rPr>
          <w:rFonts w:ascii="Times New Roman" w:hAnsi="Times New Roman"/>
          <w:sz w:val="24"/>
          <w:szCs w:val="24"/>
        </w:rPr>
        <w:t>, в лице</w:t>
      </w:r>
      <w:r w:rsidR="0025618A" w:rsidRPr="0025618A">
        <w:rPr>
          <w:rFonts w:ascii="Times New Roman" w:hAnsi="Times New Roman"/>
          <w:sz w:val="24"/>
          <w:szCs w:val="24"/>
        </w:rPr>
        <w:t xml:space="preserve"> </w:t>
      </w:r>
      <w:r w:rsidR="006F78E0">
        <w:rPr>
          <w:rFonts w:ascii="Times New Roman" w:hAnsi="Times New Roman"/>
          <w:sz w:val="24"/>
          <w:szCs w:val="24"/>
        </w:rPr>
        <w:t>_________________________________________________</w:t>
      </w:r>
      <w:r w:rsidR="0025618A" w:rsidRPr="0025618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6F78E0">
        <w:rPr>
          <w:rFonts w:ascii="Times New Roman" w:hAnsi="Times New Roman"/>
          <w:sz w:val="24"/>
          <w:szCs w:val="24"/>
        </w:rPr>
        <w:t>______________________</w:t>
      </w:r>
      <w:r w:rsidR="00167C58">
        <w:rPr>
          <w:rFonts w:ascii="Times New Roman" w:hAnsi="Times New Roman"/>
          <w:sz w:val="24"/>
          <w:szCs w:val="24"/>
        </w:rPr>
        <w:t>,</w:t>
      </w:r>
      <w:r w:rsidR="007F22D3">
        <w:rPr>
          <w:rFonts w:ascii="Times New Roman" w:hAnsi="Times New Roman"/>
          <w:sz w:val="24"/>
          <w:szCs w:val="24"/>
        </w:rPr>
        <w:t xml:space="preserve"> </w:t>
      </w:r>
      <w:r w:rsidR="005A4C01" w:rsidRPr="008670D0">
        <w:rPr>
          <w:rFonts w:ascii="Times New Roman" w:hAnsi="Times New Roman"/>
          <w:sz w:val="24"/>
          <w:szCs w:val="24"/>
        </w:rPr>
        <w:t>с о</w:t>
      </w:r>
      <w:r w:rsidR="005A4C01" w:rsidRPr="00661623">
        <w:rPr>
          <w:rFonts w:ascii="Times New Roman" w:hAnsi="Times New Roman"/>
          <w:sz w:val="24"/>
          <w:szCs w:val="24"/>
        </w:rPr>
        <w:t xml:space="preserve">дной стороны, и </w:t>
      </w:r>
      <w:r w:rsidR="006F78E0">
        <w:rPr>
          <w:rFonts w:ascii="Times New Roman" w:hAnsi="Times New Roman"/>
          <w:b/>
          <w:sz w:val="24"/>
          <w:szCs w:val="24"/>
        </w:rPr>
        <w:t>_________________________________________</w:t>
      </w:r>
      <w:r w:rsidRPr="00661623">
        <w:rPr>
          <w:rFonts w:ascii="Times New Roman" w:hAnsi="Times New Roman"/>
          <w:sz w:val="24"/>
          <w:szCs w:val="24"/>
        </w:rPr>
        <w:t>, именуемое</w:t>
      </w:r>
      <w:r w:rsidR="005A4C01" w:rsidRPr="00661623">
        <w:rPr>
          <w:rFonts w:ascii="Times New Roman" w:hAnsi="Times New Roman"/>
          <w:sz w:val="24"/>
          <w:szCs w:val="24"/>
        </w:rPr>
        <w:t xml:space="preserve"> в дальнейшем </w:t>
      </w:r>
      <w:r w:rsidR="008670D0" w:rsidRPr="00661623">
        <w:rPr>
          <w:rFonts w:ascii="Times New Roman" w:hAnsi="Times New Roman"/>
          <w:sz w:val="24"/>
          <w:szCs w:val="24"/>
        </w:rPr>
        <w:t>«</w:t>
      </w:r>
      <w:r w:rsidR="005A4C01" w:rsidRPr="00661623">
        <w:rPr>
          <w:rFonts w:ascii="Times New Roman" w:hAnsi="Times New Roman"/>
          <w:sz w:val="24"/>
          <w:szCs w:val="24"/>
        </w:rPr>
        <w:t>Поставщик</w:t>
      </w:r>
      <w:r w:rsidR="008670D0" w:rsidRPr="00661623">
        <w:rPr>
          <w:rFonts w:ascii="Times New Roman" w:hAnsi="Times New Roman"/>
          <w:sz w:val="24"/>
          <w:szCs w:val="24"/>
        </w:rPr>
        <w:t>»</w:t>
      </w:r>
      <w:r w:rsidR="005A4C01" w:rsidRPr="00661623">
        <w:rPr>
          <w:rFonts w:ascii="Times New Roman" w:hAnsi="Times New Roman"/>
          <w:sz w:val="24"/>
          <w:szCs w:val="24"/>
        </w:rPr>
        <w:t xml:space="preserve">, в лице </w:t>
      </w:r>
      <w:r w:rsidR="006F78E0">
        <w:rPr>
          <w:rFonts w:ascii="Times New Roman" w:hAnsi="Times New Roman"/>
          <w:sz w:val="24"/>
          <w:szCs w:val="24"/>
        </w:rPr>
        <w:t>_______________________</w:t>
      </w:r>
      <w:r w:rsidR="005A4C01" w:rsidRPr="00661623">
        <w:rPr>
          <w:rFonts w:ascii="Times New Roman" w:hAnsi="Times New Roman"/>
          <w:sz w:val="24"/>
          <w:szCs w:val="24"/>
        </w:rPr>
        <w:t>,</w:t>
      </w:r>
      <w:r w:rsidR="006A01AA" w:rsidRPr="00661623">
        <w:rPr>
          <w:rFonts w:ascii="Times New Roman" w:hAnsi="Times New Roman"/>
          <w:sz w:val="24"/>
          <w:szCs w:val="24"/>
        </w:rPr>
        <w:t xml:space="preserve"> действующего</w:t>
      </w:r>
      <w:r w:rsidR="006A01AA" w:rsidRPr="00661623">
        <w:t xml:space="preserve"> </w:t>
      </w:r>
      <w:r w:rsidR="006A01AA" w:rsidRPr="00661623">
        <w:rPr>
          <w:rFonts w:ascii="Times New Roman" w:hAnsi="Times New Roman"/>
          <w:sz w:val="24"/>
          <w:szCs w:val="24"/>
        </w:rPr>
        <w:t xml:space="preserve">на основании </w:t>
      </w:r>
      <w:r w:rsidR="006F78E0">
        <w:rPr>
          <w:rFonts w:ascii="Times New Roman" w:hAnsi="Times New Roman"/>
          <w:sz w:val="24"/>
          <w:szCs w:val="24"/>
        </w:rPr>
        <w:t>______________________</w:t>
      </w:r>
      <w:r w:rsidR="006A01AA" w:rsidRPr="00661623">
        <w:rPr>
          <w:rFonts w:ascii="Times New Roman" w:hAnsi="Times New Roman"/>
          <w:sz w:val="24"/>
          <w:szCs w:val="24"/>
        </w:rPr>
        <w:t>,</w:t>
      </w:r>
      <w:r w:rsidR="00661623">
        <w:rPr>
          <w:rFonts w:ascii="Times New Roman" w:hAnsi="Times New Roman"/>
          <w:sz w:val="24"/>
          <w:szCs w:val="24"/>
        </w:rPr>
        <w:t xml:space="preserve"> </w:t>
      </w:r>
      <w:r w:rsidR="001F5B37" w:rsidRPr="006077F0">
        <w:rPr>
          <w:rFonts w:ascii="Times New Roman" w:hAnsi="Times New Roman"/>
          <w:sz w:val="24"/>
          <w:szCs w:val="24"/>
        </w:rPr>
        <w:t xml:space="preserve">с другой стороны, вместе именуемые в дальнейшем "Стороны",  </w:t>
      </w:r>
      <w:r w:rsidR="001F5B37" w:rsidRPr="006077F0">
        <w:rPr>
          <w:rFonts w:ascii="Times New Roman" w:hAnsi="Times New Roman"/>
          <w:bCs/>
          <w:sz w:val="24"/>
          <w:szCs w:val="24"/>
        </w:rPr>
        <w:t>на основании  Федерального</w:t>
      </w:r>
      <w:r w:rsidR="001F5B37" w:rsidRPr="00661623">
        <w:rPr>
          <w:rFonts w:ascii="Times New Roman" w:hAnsi="Times New Roman"/>
          <w:bCs/>
          <w:sz w:val="24"/>
          <w:szCs w:val="24"/>
        </w:rPr>
        <w:t xml:space="preserve"> закона от 05 апреля 2013</w:t>
      </w:r>
      <w:r w:rsidR="001F5B37">
        <w:rPr>
          <w:rFonts w:ascii="Times New Roman" w:hAnsi="Times New Roman"/>
          <w:bCs/>
          <w:sz w:val="24"/>
          <w:szCs w:val="24"/>
        </w:rPr>
        <w:t xml:space="preserve"> г.</w:t>
      </w:r>
      <w:r w:rsidR="001F5B37" w:rsidRPr="00661623">
        <w:rPr>
          <w:rFonts w:ascii="Times New Roman" w:hAnsi="Times New Roman"/>
          <w:bCs/>
          <w:sz w:val="24"/>
          <w:szCs w:val="24"/>
        </w:rPr>
        <w:t xml:space="preserve"> № 44-ФЗ «О контрактной</w:t>
      </w:r>
      <w:r w:rsidR="001F5B37" w:rsidRPr="008670D0">
        <w:rPr>
          <w:rFonts w:ascii="Times New Roman" w:hAnsi="Times New Roman"/>
          <w:bCs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по результатам проведения </w:t>
      </w:r>
      <w:r w:rsidR="00C151D2">
        <w:rPr>
          <w:rFonts w:ascii="Times New Roman" w:hAnsi="Times New Roman"/>
          <w:bCs/>
          <w:sz w:val="24"/>
          <w:szCs w:val="24"/>
        </w:rPr>
        <w:t>закупочной сессии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F5B37" w:rsidRPr="008670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F5B37" w:rsidRPr="008670D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далее - </w:t>
      </w:r>
      <w:r w:rsidR="00B51111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1F5B37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A4C01" w:rsidRPr="00276F4E" w:rsidRDefault="001F5B37" w:rsidP="001F5B37">
      <w:pPr>
        <w:widowControl w:val="0"/>
        <w:autoSpaceDE w:val="0"/>
        <w:autoSpaceDN w:val="0"/>
        <w:adjustRightInd w:val="0"/>
        <w:spacing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40B39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A818BD" w:rsidRPr="00276F4E">
        <w:rPr>
          <w:rFonts w:ascii="Times New Roman" w:hAnsi="Times New Roman"/>
          <w:b/>
          <w:sz w:val="24"/>
          <w:szCs w:val="24"/>
        </w:rPr>
        <w:t xml:space="preserve">I. Предмет </w:t>
      </w:r>
      <w:r w:rsidR="00B51111">
        <w:rPr>
          <w:rFonts w:ascii="Times New Roman" w:hAnsi="Times New Roman"/>
          <w:b/>
          <w:sz w:val="24"/>
          <w:szCs w:val="24"/>
        </w:rPr>
        <w:t>Контракта</w:t>
      </w:r>
    </w:p>
    <w:p w:rsidR="005A4C01" w:rsidRPr="008670D0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8D">
        <w:rPr>
          <w:rFonts w:ascii="Times New Roman" w:hAnsi="Times New Roman" w:cs="Times New Roman"/>
          <w:sz w:val="24"/>
          <w:szCs w:val="24"/>
        </w:rPr>
        <w:t>1.1. Поставщик обязуется поставить</w:t>
      </w:r>
      <w:r w:rsidR="0033763A" w:rsidRPr="009C5A8D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 xml:space="preserve"> </w:t>
      </w:r>
      <w:r w:rsidR="007A39EC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>блоки</w:t>
      </w:r>
      <w:r w:rsidR="007A39EC" w:rsidRPr="007A39EC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 xml:space="preserve"> питания ARPJ-SP-421400-PFC Arligh (или эквивалент)</w:t>
      </w:r>
      <w:r w:rsidR="000A7F09" w:rsidRPr="000A7F09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 xml:space="preserve"> </w:t>
      </w:r>
      <w:r w:rsidR="00AD74C9" w:rsidRPr="009C5A8D">
        <w:rPr>
          <w:rFonts w:ascii="Times New Roman" w:hAnsi="Times New Roman" w:cs="Times New Roman"/>
          <w:sz w:val="24"/>
          <w:szCs w:val="24"/>
        </w:rPr>
        <w:t>(далее – Товар)</w:t>
      </w:r>
      <w:r w:rsidR="009C5130">
        <w:rPr>
          <w:rFonts w:ascii="Times New Roman" w:hAnsi="Times New Roman" w:cs="Times New Roman"/>
          <w:sz w:val="24"/>
          <w:szCs w:val="24"/>
        </w:rPr>
        <w:t>,</w:t>
      </w:r>
      <w:r w:rsidR="00477BAE" w:rsidRPr="00F11A98">
        <w:rPr>
          <w:rFonts w:ascii="Times New Roman" w:hAnsi="Times New Roman" w:cs="Times New Roman"/>
          <w:sz w:val="24"/>
          <w:szCs w:val="24"/>
        </w:rPr>
        <w:t xml:space="preserve"> </w:t>
      </w:r>
      <w:r w:rsidRPr="00F11A98">
        <w:rPr>
          <w:rFonts w:ascii="Times New Roman" w:hAnsi="Times New Roman" w:cs="Times New Roman"/>
          <w:sz w:val="24"/>
          <w:szCs w:val="24"/>
        </w:rPr>
        <w:t>а Заказчик об</w:t>
      </w:r>
      <w:r w:rsidR="00477BAE" w:rsidRPr="00F11A98">
        <w:rPr>
          <w:rFonts w:ascii="Times New Roman" w:hAnsi="Times New Roman" w:cs="Times New Roman"/>
          <w:sz w:val="24"/>
          <w:szCs w:val="24"/>
        </w:rPr>
        <w:t xml:space="preserve">язуется принять и оплатить </w:t>
      </w:r>
      <w:r w:rsidR="001B0F0E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F11A98">
        <w:rPr>
          <w:rFonts w:ascii="Times New Roman" w:hAnsi="Times New Roman" w:cs="Times New Roman"/>
          <w:sz w:val="24"/>
          <w:szCs w:val="24"/>
        </w:rPr>
        <w:t>в порядке и</w:t>
      </w:r>
      <w:r w:rsidRPr="009C5A8D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3939F4" w:rsidRPr="009C5A8D">
        <w:rPr>
          <w:rFonts w:ascii="Times New Roman" w:hAnsi="Times New Roman" w:cs="Times New Roman"/>
          <w:sz w:val="24"/>
          <w:szCs w:val="24"/>
        </w:rPr>
        <w:t>ом</w:t>
      </w:r>
      <w:r w:rsidRPr="009C5A8D">
        <w:rPr>
          <w:rFonts w:ascii="Times New Roman" w:hAnsi="Times New Roman" w:cs="Times New Roman"/>
          <w:sz w:val="24"/>
          <w:szCs w:val="24"/>
        </w:rPr>
        <w:t>.</w:t>
      </w:r>
    </w:p>
    <w:p w:rsidR="005A4C01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8670D0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</w:t>
      </w:r>
      <w:r w:rsidR="001E0A8F" w:rsidRPr="008670D0">
        <w:rPr>
          <w:rFonts w:ascii="Times New Roman" w:hAnsi="Times New Roman" w:cs="Times New Roman"/>
          <w:sz w:val="24"/>
          <w:szCs w:val="24"/>
        </w:rPr>
        <w:t xml:space="preserve">поставляемого Товара указаны в </w:t>
      </w:r>
      <w:r w:rsidR="00BA52D3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8670D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8670D0" w:rsidRPr="008670D0">
        <w:rPr>
          <w:rFonts w:ascii="Times New Roman" w:hAnsi="Times New Roman" w:cs="Times New Roman"/>
          <w:sz w:val="24"/>
          <w:szCs w:val="24"/>
        </w:rPr>
        <w:t xml:space="preserve"> №1 </w:t>
      </w:r>
      <w:r w:rsidR="003939F4" w:rsidRPr="008670D0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3939F4" w:rsidRPr="00977BED">
        <w:rPr>
          <w:rFonts w:ascii="Times New Roman" w:hAnsi="Times New Roman" w:cs="Times New Roman"/>
          <w:sz w:val="24"/>
          <w:szCs w:val="24"/>
        </w:rPr>
        <w:t>у</w:t>
      </w:r>
      <w:r w:rsidR="004C0F42">
        <w:rPr>
          <w:rFonts w:ascii="Times New Roman" w:hAnsi="Times New Roman" w:cs="Times New Roman"/>
          <w:sz w:val="24"/>
          <w:szCs w:val="24"/>
        </w:rPr>
        <w:t xml:space="preserve">), </w:t>
      </w:r>
      <w:r w:rsidRPr="00977BED">
        <w:rPr>
          <w:rFonts w:ascii="Times New Roman" w:hAnsi="Times New Roman" w:cs="Times New Roman"/>
          <w:sz w:val="24"/>
          <w:szCs w:val="24"/>
        </w:rPr>
        <w:t>являющ</w:t>
      </w:r>
      <w:r w:rsidR="00936ADF" w:rsidRPr="00977BED">
        <w:rPr>
          <w:rFonts w:ascii="Times New Roman" w:hAnsi="Times New Roman" w:cs="Times New Roman"/>
          <w:sz w:val="24"/>
          <w:szCs w:val="24"/>
        </w:rPr>
        <w:t>имися</w:t>
      </w:r>
      <w:r w:rsidRPr="00977BED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4171AE" w:rsidRPr="00977BED">
        <w:rPr>
          <w:rFonts w:ascii="Times New Roman" w:hAnsi="Times New Roman" w:cs="Times New Roman"/>
          <w:sz w:val="24"/>
          <w:szCs w:val="24"/>
        </w:rPr>
        <w:t>.</w:t>
      </w:r>
      <w:r w:rsidR="004171AE" w:rsidRPr="0086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C01" w:rsidRPr="008670D0" w:rsidRDefault="005A4C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C01" w:rsidRPr="002450A8" w:rsidRDefault="005A4C01" w:rsidP="006616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50A8">
        <w:rPr>
          <w:rFonts w:ascii="Times New Roman" w:hAnsi="Times New Roman" w:cs="Times New Roman"/>
          <w:b/>
          <w:sz w:val="24"/>
          <w:szCs w:val="24"/>
        </w:rPr>
        <w:t xml:space="preserve">II. Цена </w:t>
      </w:r>
      <w:r w:rsidR="00B51111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2450A8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5A4C01" w:rsidRPr="00FC3721" w:rsidRDefault="005A4C01" w:rsidP="006616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23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433AB" w:rsidRPr="004B732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B7323" w:rsidRPr="004B7323">
        <w:rPr>
          <w:rFonts w:ascii="Times New Roman" w:hAnsi="Times New Roman" w:cs="Times New Roman"/>
          <w:sz w:val="24"/>
          <w:szCs w:val="24"/>
        </w:rPr>
        <w:t xml:space="preserve">, включая НДС </w:t>
      </w:r>
      <w:r w:rsidR="00991D62">
        <w:rPr>
          <w:rFonts w:ascii="Times New Roman" w:hAnsi="Times New Roman" w:cs="Times New Roman"/>
          <w:sz w:val="24"/>
          <w:szCs w:val="24"/>
        </w:rPr>
        <w:t>__</w:t>
      </w:r>
      <w:r w:rsidR="004B7323" w:rsidRPr="004B7323">
        <w:rPr>
          <w:rFonts w:ascii="Times New Roman" w:hAnsi="Times New Roman" w:cs="Times New Roman"/>
          <w:sz w:val="24"/>
          <w:szCs w:val="24"/>
        </w:rPr>
        <w:t xml:space="preserve">%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B7323" w:rsidRPr="004B7323" w:rsidRDefault="004B7323" w:rsidP="004B73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A05DE">
        <w:rPr>
          <w:rFonts w:ascii="Times New Roman" w:hAnsi="Times New Roman"/>
          <w:sz w:val="24"/>
          <w:szCs w:val="24"/>
        </w:rPr>
        <w:t>2.2.</w:t>
      </w:r>
      <w:r w:rsidRPr="004B7323">
        <w:rPr>
          <w:rFonts w:ascii="Times New Roman" w:hAnsi="Times New Roman"/>
          <w:sz w:val="24"/>
          <w:szCs w:val="24"/>
        </w:rPr>
        <w:t xml:space="preserve">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</w:t>
      </w:r>
      <w:r>
        <w:rPr>
          <w:rFonts w:ascii="Times New Roman" w:hAnsi="Times New Roman"/>
          <w:sz w:val="24"/>
          <w:szCs w:val="24"/>
        </w:rPr>
        <w:t xml:space="preserve">и, связанных с оплатой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4B7323">
        <w:rPr>
          <w:rFonts w:ascii="Times New Roman" w:hAnsi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521A2" w:rsidRPr="00C521A2" w:rsidRDefault="009010C7" w:rsidP="00C52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F11A98">
        <w:rPr>
          <w:rFonts w:ascii="Times New Roman" w:hAnsi="Times New Roman" w:cs="Times New Roman"/>
          <w:sz w:val="24"/>
          <w:szCs w:val="24"/>
        </w:rPr>
        <w:t>в себя: общую стоимость Товара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, расходы, связанные с исполнением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C521A2" w:rsidRPr="00C521A2">
        <w:rPr>
          <w:rFonts w:ascii="Times New Roman" w:hAnsi="Times New Roman" w:cs="Times New Roman"/>
          <w:sz w:val="24"/>
          <w:szCs w:val="24"/>
        </w:rPr>
        <w:t>, в том числе расходы на уплату налогов, сборов и других обязательных платежей, а также упаковку</w:t>
      </w:r>
      <w:r w:rsidR="009A64D2">
        <w:rPr>
          <w:rFonts w:ascii="Times New Roman" w:hAnsi="Times New Roman" w:cs="Times New Roman"/>
          <w:sz w:val="24"/>
          <w:szCs w:val="24"/>
        </w:rPr>
        <w:t>, доставку, погрузку, разгрузку</w:t>
      </w:r>
      <w:r w:rsidR="00C521A2" w:rsidRPr="00F11A98">
        <w:rPr>
          <w:rFonts w:ascii="Times New Roman" w:hAnsi="Times New Roman" w:cs="Times New Roman"/>
          <w:sz w:val="24"/>
          <w:szCs w:val="24"/>
        </w:rPr>
        <w:t>.</w:t>
      </w:r>
    </w:p>
    <w:p w:rsidR="009010C7" w:rsidRDefault="009010C7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A05DE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9010C7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</w:t>
      </w:r>
      <w:r w:rsidR="00A0101C">
        <w:rPr>
          <w:rFonts w:ascii="Times New Roman" w:hAnsi="Times New Roman" w:cs="Times New Roman"/>
          <w:sz w:val="24"/>
          <w:szCs w:val="24"/>
        </w:rPr>
        <w:t xml:space="preserve">а весь срок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9010C7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r w:rsidRPr="008F57B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9010C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нужд" и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10C7">
        <w:rPr>
          <w:rFonts w:ascii="Times New Roman" w:hAnsi="Times New Roman" w:cs="Times New Roman"/>
          <w:sz w:val="24"/>
          <w:szCs w:val="24"/>
        </w:rPr>
        <w:t>.</w:t>
      </w:r>
    </w:p>
    <w:p w:rsidR="005A4C01" w:rsidRPr="008670D0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</w:t>
      </w:r>
      <w:r w:rsidR="00CA7004">
        <w:rPr>
          <w:rFonts w:ascii="Times New Roman" w:hAnsi="Times New Roman" w:cs="Times New Roman"/>
          <w:sz w:val="24"/>
          <w:szCs w:val="24"/>
        </w:rPr>
        <w:t>без изменения</w:t>
      </w:r>
      <w:r w:rsidR="007F22D3">
        <w:rPr>
          <w:rFonts w:ascii="Times New Roman" w:hAnsi="Times New Roman" w:cs="Times New Roman"/>
          <w:sz w:val="24"/>
          <w:szCs w:val="24"/>
        </w:rPr>
        <w:t>,</w:t>
      </w:r>
      <w:r w:rsidR="00CA7004">
        <w:rPr>
          <w:rFonts w:ascii="Times New Roman" w:hAnsi="Times New Roman" w:cs="Times New Roman"/>
          <w:sz w:val="24"/>
          <w:szCs w:val="24"/>
        </w:rPr>
        <w:t xml:space="preserve"> </w:t>
      </w:r>
      <w:r w:rsidRPr="008670D0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425712" w:rsidRPr="008670D0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B504F8">
        <w:rPr>
          <w:rFonts w:ascii="Times New Roman" w:hAnsi="Times New Roman" w:cs="Times New Roman"/>
          <w:sz w:val="24"/>
          <w:szCs w:val="24"/>
        </w:rPr>
        <w:t>.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A5" w:rsidRPr="00975D9C" w:rsidRDefault="009010C7" w:rsidP="001F5B37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11C74">
        <w:rPr>
          <w:rFonts w:ascii="Times New Roman" w:hAnsi="Times New Roman" w:cs="Times New Roman"/>
          <w:sz w:val="24"/>
          <w:szCs w:val="24"/>
        </w:rPr>
        <w:t>2.5</w:t>
      </w:r>
      <w:r w:rsidR="005A4C01" w:rsidRPr="00511C74">
        <w:rPr>
          <w:rFonts w:ascii="Times New Roman" w:hAnsi="Times New Roman" w:cs="Times New Roman"/>
          <w:sz w:val="24"/>
          <w:szCs w:val="24"/>
        </w:rPr>
        <w:t xml:space="preserve">. </w:t>
      </w:r>
      <w:r w:rsidR="001F5B37" w:rsidRPr="00511C74">
        <w:rPr>
          <w:rFonts w:ascii="Times New Roman" w:hAnsi="Times New Roman" w:cs="Times New Roman"/>
          <w:sz w:val="24"/>
          <w:szCs w:val="24"/>
        </w:rPr>
        <w:t>И</w:t>
      </w:r>
      <w:r w:rsidR="008537A9" w:rsidRPr="00511C74">
        <w:rPr>
          <w:rFonts w:ascii="Times New Roman" w:hAnsi="Times New Roman" w:cs="Times New Roman"/>
          <w:sz w:val="24"/>
          <w:szCs w:val="24"/>
        </w:rPr>
        <w:t xml:space="preserve">сточник финансирования </w:t>
      </w:r>
      <w:r w:rsidR="001F5B37" w:rsidRPr="00511C74">
        <w:rPr>
          <w:rFonts w:ascii="Times New Roman" w:hAnsi="Times New Roman" w:cs="Times New Roman"/>
          <w:sz w:val="24"/>
          <w:szCs w:val="24"/>
        </w:rPr>
        <w:t>–</w:t>
      </w:r>
      <w:r w:rsidR="00511C74">
        <w:rPr>
          <w:rFonts w:ascii="Times New Roman" w:hAnsi="Times New Roman" w:cs="Times New Roman"/>
          <w:sz w:val="24"/>
          <w:szCs w:val="24"/>
        </w:rPr>
        <w:t xml:space="preserve"> </w:t>
      </w:r>
      <w:r w:rsidR="007678A2" w:rsidRPr="007678A2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142E6">
        <w:rPr>
          <w:rFonts w:ascii="Times New Roman" w:hAnsi="Times New Roman" w:cs="Times New Roman"/>
          <w:sz w:val="24"/>
          <w:szCs w:val="24"/>
        </w:rPr>
        <w:t>бюджетного учреждения.</w:t>
      </w:r>
    </w:p>
    <w:p w:rsidR="005A4C01" w:rsidRPr="008670D0" w:rsidRDefault="009010C7" w:rsidP="00901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Авансовый платеж по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 не предусмотрен.</w:t>
      </w:r>
    </w:p>
    <w:p w:rsidR="001F5B37" w:rsidRPr="001F5B37" w:rsidRDefault="005A4C01" w:rsidP="001F5B3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bookmarkStart w:id="1" w:name="P78"/>
      <w:bookmarkEnd w:id="1"/>
      <w:r w:rsidRPr="008670D0">
        <w:rPr>
          <w:rFonts w:ascii="Times New Roman" w:hAnsi="Times New Roman"/>
          <w:sz w:val="24"/>
          <w:szCs w:val="24"/>
        </w:rPr>
        <w:t>2</w:t>
      </w:r>
      <w:r w:rsidR="009010C7">
        <w:rPr>
          <w:rFonts w:ascii="Times New Roman" w:hAnsi="Times New Roman"/>
          <w:sz w:val="24"/>
          <w:szCs w:val="24"/>
        </w:rPr>
        <w:t>.7</w:t>
      </w:r>
      <w:r w:rsidRPr="008670D0">
        <w:rPr>
          <w:rFonts w:ascii="Times New Roman" w:hAnsi="Times New Roman"/>
          <w:sz w:val="24"/>
          <w:szCs w:val="24"/>
        </w:rPr>
        <w:t xml:space="preserve">. </w:t>
      </w:r>
      <w:r w:rsidR="001F5B37" w:rsidRPr="001F5B37">
        <w:rPr>
          <w:rFonts w:ascii="Times New Roman" w:hAnsi="Times New Roman"/>
          <w:sz w:val="24"/>
          <w:szCs w:val="24"/>
        </w:rPr>
        <w:t xml:space="preserve">Расчеты между Заказчиком и Поставщиком производятся не позднее 7 (Семи) рабочих дней с момента приемки Заказчиком Товара в полном объеме, подписания сторонами товарной накладной, представления Поставщиком счета-фактуры на поставленный Товар и выставления счета на оплату. </w:t>
      </w:r>
    </w:p>
    <w:p w:rsidR="005A4C01" w:rsidRPr="008670D0" w:rsidRDefault="001F5B37" w:rsidP="001F5B3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4548A7" w:rsidRPr="008670D0">
        <w:rPr>
          <w:rFonts w:ascii="Times New Roman" w:hAnsi="Times New Roman"/>
          <w:sz w:val="24"/>
          <w:szCs w:val="24"/>
        </w:rPr>
        <w:t xml:space="preserve">. Оплата по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у</w:t>
      </w:r>
      <w:r w:rsidR="005A4C01" w:rsidRPr="008670D0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</w:t>
      </w:r>
      <w:r w:rsidR="004548A7" w:rsidRPr="008670D0">
        <w:rPr>
          <w:rFonts w:ascii="Times New Roman" w:hAnsi="Times New Roman"/>
          <w:sz w:val="24"/>
          <w:szCs w:val="24"/>
        </w:rPr>
        <w:t xml:space="preserve">казанный в настоящем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е</w:t>
      </w:r>
      <w:r w:rsidR="005A4C01" w:rsidRPr="008670D0">
        <w:rPr>
          <w:rFonts w:ascii="Times New Roman" w:hAnsi="Times New Roman"/>
          <w:sz w:val="24"/>
          <w:szCs w:val="24"/>
        </w:rPr>
        <w:t xml:space="preserve">. В случае изменения расчетного счета Поставщик обязан в трехдневный срок </w:t>
      </w:r>
      <w:r w:rsidR="005A4C01" w:rsidRPr="008670D0">
        <w:rPr>
          <w:rFonts w:ascii="Times New Roman" w:hAnsi="Times New Roman"/>
          <w:sz w:val="24"/>
          <w:szCs w:val="24"/>
        </w:rPr>
        <w:lastRenderedPageBreak/>
        <w:t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</w:t>
      </w:r>
      <w:r w:rsidR="004548A7" w:rsidRPr="008670D0">
        <w:rPr>
          <w:rFonts w:ascii="Times New Roman" w:hAnsi="Times New Roman"/>
          <w:sz w:val="24"/>
          <w:szCs w:val="24"/>
        </w:rPr>
        <w:t xml:space="preserve">казанный в настоящем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е</w:t>
      </w:r>
      <w:r w:rsidR="005A4C01" w:rsidRPr="008670D0">
        <w:rPr>
          <w:rFonts w:ascii="Times New Roman" w:hAnsi="Times New Roman"/>
          <w:sz w:val="24"/>
          <w:szCs w:val="24"/>
        </w:rPr>
        <w:t xml:space="preserve"> счет Поставщика, несет Поставщик. </w:t>
      </w:r>
    </w:p>
    <w:p w:rsidR="005A4C01" w:rsidRPr="008670D0" w:rsidRDefault="005A4C01">
      <w:pPr>
        <w:pStyle w:val="ConsPlusNormal"/>
        <w:jc w:val="both"/>
      </w:pPr>
    </w:p>
    <w:p w:rsidR="005A4C01" w:rsidRPr="00276F4E" w:rsidRDefault="005A4C01" w:rsidP="008A07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6F4E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 и приемки</w:t>
      </w:r>
      <w:r w:rsidR="008A0740" w:rsidRPr="00276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E2E" w:rsidRPr="00276F4E">
        <w:rPr>
          <w:rFonts w:ascii="Times New Roman" w:hAnsi="Times New Roman" w:cs="Times New Roman"/>
          <w:b/>
          <w:sz w:val="24"/>
          <w:szCs w:val="24"/>
        </w:rPr>
        <w:t xml:space="preserve">Товара </w:t>
      </w:r>
    </w:p>
    <w:p w:rsidR="005A4C01" w:rsidRPr="004C65C4" w:rsidRDefault="005A4C01" w:rsidP="00DB66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5DD">
        <w:rPr>
          <w:rFonts w:ascii="Times New Roman" w:hAnsi="Times New Roman"/>
          <w:sz w:val="24"/>
          <w:szCs w:val="24"/>
        </w:rPr>
        <w:t xml:space="preserve">3.1. </w:t>
      </w:r>
      <w:r w:rsidRPr="00DB6668">
        <w:rPr>
          <w:rFonts w:ascii="Times New Roman" w:hAnsi="Times New Roman"/>
          <w:sz w:val="24"/>
          <w:szCs w:val="24"/>
        </w:rPr>
        <w:t>Поставщик самостоятельно доставляет Товар Заказчику по адресу</w:t>
      </w:r>
      <w:r w:rsidR="00CC7BC4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792" w:rsidRPr="00DB6668">
        <w:rPr>
          <w:rFonts w:ascii="Times New Roman" w:eastAsia="Times New Roman" w:hAnsi="Times New Roman"/>
          <w:sz w:val="24"/>
          <w:szCs w:val="24"/>
          <w:lang w:eastAsia="ru-RU"/>
        </w:rPr>
        <w:t>г. Москва,</w:t>
      </w:r>
      <w:r w:rsid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1D2">
        <w:rPr>
          <w:rFonts w:ascii="Times New Roman" w:eastAsia="Times New Roman" w:hAnsi="Times New Roman"/>
          <w:sz w:val="24"/>
          <w:szCs w:val="24"/>
          <w:lang w:eastAsia="ru-RU"/>
        </w:rPr>
        <w:t>Нахимовский проспект, 51/21</w:t>
      </w:r>
      <w:r w:rsidR="00812C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F09">
        <w:rPr>
          <w:rFonts w:ascii="Times New Roman" w:hAnsi="Times New Roman"/>
          <w:sz w:val="24"/>
          <w:szCs w:val="24"/>
        </w:rPr>
        <w:t>в течение 5</w:t>
      </w:r>
      <w:r w:rsidR="00172207">
        <w:rPr>
          <w:rFonts w:ascii="Times New Roman" w:hAnsi="Times New Roman"/>
          <w:sz w:val="24"/>
          <w:szCs w:val="24"/>
        </w:rPr>
        <w:t xml:space="preserve"> (</w:t>
      </w:r>
      <w:r w:rsidR="000A7F09">
        <w:rPr>
          <w:rFonts w:ascii="Times New Roman" w:hAnsi="Times New Roman"/>
          <w:sz w:val="24"/>
          <w:szCs w:val="24"/>
        </w:rPr>
        <w:t>пяти</w:t>
      </w:r>
      <w:r w:rsidR="009F2895" w:rsidRPr="009F2895">
        <w:rPr>
          <w:rFonts w:ascii="Times New Roman" w:hAnsi="Times New Roman"/>
          <w:sz w:val="24"/>
          <w:szCs w:val="24"/>
        </w:rPr>
        <w:t xml:space="preserve">) </w:t>
      </w:r>
      <w:r w:rsidR="00791F2B">
        <w:rPr>
          <w:rFonts w:ascii="Times New Roman" w:hAnsi="Times New Roman"/>
          <w:sz w:val="24"/>
          <w:szCs w:val="24"/>
        </w:rPr>
        <w:t>рабочих</w:t>
      </w:r>
      <w:r w:rsidR="00812C62">
        <w:rPr>
          <w:rFonts w:ascii="Times New Roman" w:hAnsi="Times New Roman"/>
          <w:sz w:val="24"/>
          <w:szCs w:val="24"/>
        </w:rPr>
        <w:t xml:space="preserve"> дней с даты заключение</w:t>
      </w:r>
      <w:r w:rsidR="009F2895">
        <w:rPr>
          <w:rFonts w:ascii="Times New Roman" w:hAnsi="Times New Roman"/>
          <w:sz w:val="24"/>
          <w:szCs w:val="24"/>
        </w:rPr>
        <w:t xml:space="preserve">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DB6668">
        <w:rPr>
          <w:rFonts w:ascii="Times New Roman" w:hAnsi="Times New Roman"/>
          <w:sz w:val="24"/>
          <w:szCs w:val="24"/>
        </w:rPr>
        <w:t>.</w:t>
      </w:r>
    </w:p>
    <w:p w:rsidR="005A4C01" w:rsidRPr="008670D0" w:rsidRDefault="00D1193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1F5B37" w:rsidRPr="00A84D8F">
        <w:rPr>
          <w:rFonts w:ascii="Times New Roman" w:hAnsi="Times New Roman" w:cs="Times New Roman"/>
          <w:sz w:val="24"/>
          <w:szCs w:val="24"/>
        </w:rPr>
        <w:t>Приёмка Товара</w:t>
      </w:r>
      <w:r w:rsidR="001F5B37">
        <w:t xml:space="preserve"> </w:t>
      </w:r>
      <w:r w:rsidR="000A7F09">
        <w:rPr>
          <w:rFonts w:ascii="Times New Roman" w:hAnsi="Times New Roman" w:cs="Times New Roman"/>
          <w:sz w:val="24"/>
          <w:szCs w:val="24"/>
        </w:rPr>
        <w:t>осуществляется не позднее 20 (двадцати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) рабочих дней после получения от </w:t>
      </w:r>
      <w:r w:rsidR="001F5B37">
        <w:rPr>
          <w:rFonts w:ascii="Times New Roman" w:hAnsi="Times New Roman" w:cs="Times New Roman"/>
          <w:sz w:val="24"/>
          <w:szCs w:val="24"/>
        </w:rPr>
        <w:t>Поставщика</w:t>
      </w:r>
      <w:r w:rsidR="00C151D2">
        <w:rPr>
          <w:rFonts w:ascii="Times New Roman" w:hAnsi="Times New Roman" w:cs="Times New Roman"/>
          <w:sz w:val="24"/>
          <w:szCs w:val="24"/>
        </w:rPr>
        <w:t xml:space="preserve"> документов о приемке, </w:t>
      </w:r>
      <w:r w:rsidR="00477BAE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п. </w:t>
      </w:r>
      <w:r w:rsidR="001F5B37">
        <w:rPr>
          <w:rFonts w:ascii="Times New Roman" w:hAnsi="Times New Roman" w:cs="Times New Roman"/>
          <w:sz w:val="24"/>
          <w:szCs w:val="24"/>
        </w:rPr>
        <w:t xml:space="preserve">2.7, 3.2 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, которые подписываются Заказчиком подписью лица, имеющего право действовать от имени Заказчика, и </w:t>
      </w:r>
      <w:r w:rsidR="00836AAA">
        <w:rPr>
          <w:rFonts w:ascii="Times New Roman" w:hAnsi="Times New Roman" w:cs="Times New Roman"/>
          <w:sz w:val="24"/>
          <w:szCs w:val="24"/>
        </w:rPr>
        <w:t>направляет Поставщику,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F5B37">
        <w:rPr>
          <w:rFonts w:ascii="Times New Roman" w:hAnsi="Times New Roman" w:cs="Times New Roman"/>
          <w:sz w:val="24"/>
          <w:szCs w:val="24"/>
        </w:rPr>
        <w:t>Поставщику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в те же сроки Заказчиком направляется мотивированный отказ от подписания такого документа. Документ о приемке, мотивированный отказ от подписания документа о приемке </w:t>
      </w:r>
      <w:r w:rsidR="00C151D2">
        <w:rPr>
          <w:rFonts w:ascii="Times New Roman" w:hAnsi="Times New Roman" w:cs="Times New Roman"/>
          <w:sz w:val="24"/>
          <w:szCs w:val="24"/>
        </w:rPr>
        <w:t>Поставщику на адрес электронной почты Поставщика</w:t>
      </w:r>
      <w:r w:rsidR="001F5B37" w:rsidRPr="006F32ED">
        <w:rPr>
          <w:rFonts w:ascii="Times New Roman" w:hAnsi="Times New Roman" w:cs="Times New Roman"/>
          <w:sz w:val="24"/>
          <w:szCs w:val="24"/>
        </w:rPr>
        <w:t>.</w:t>
      </w:r>
    </w:p>
    <w:p w:rsidR="005A4C01" w:rsidRPr="008670D0" w:rsidRDefault="00D1193B" w:rsidP="006B1F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5A4C01" w:rsidRPr="008670D0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 w:rsidR="00836AAA" w:rsidRPr="00836AAA">
        <w:t xml:space="preserve"> </w:t>
      </w:r>
      <w:r w:rsidR="00836AAA">
        <w:rPr>
          <w:rFonts w:ascii="Times New Roman" w:hAnsi="Times New Roman" w:cs="Times New Roman"/>
          <w:sz w:val="24"/>
          <w:szCs w:val="24"/>
        </w:rPr>
        <w:t>Поставщик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производителя </w:t>
      </w:r>
      <w:r w:rsidR="00836AAA">
        <w:rPr>
          <w:rFonts w:ascii="Times New Roman" w:hAnsi="Times New Roman" w:cs="Times New Roman"/>
          <w:sz w:val="24"/>
          <w:szCs w:val="24"/>
        </w:rPr>
        <w:t>Товара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, иные документы, подтверждающие технические характеристики </w:t>
      </w:r>
      <w:r w:rsidR="001C5267">
        <w:rPr>
          <w:rFonts w:ascii="Times New Roman" w:hAnsi="Times New Roman" w:cs="Times New Roman"/>
          <w:sz w:val="24"/>
          <w:szCs w:val="24"/>
        </w:rPr>
        <w:t>То</w:t>
      </w:r>
      <w:r w:rsidR="00836AAA">
        <w:rPr>
          <w:rFonts w:ascii="Times New Roman" w:hAnsi="Times New Roman" w:cs="Times New Roman"/>
          <w:sz w:val="24"/>
          <w:szCs w:val="24"/>
        </w:rPr>
        <w:t>вара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 Технического задания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Для проверки поставленного Товара в части его соответствия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</w:t>
      </w:r>
      <w:r>
        <w:rPr>
          <w:rFonts w:ascii="Times New Roman" w:hAnsi="Times New Roman" w:cs="Times New Roman"/>
          <w:sz w:val="24"/>
          <w:szCs w:val="24"/>
        </w:rPr>
        <w:t>ым законом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>
        <w:rPr>
          <w:rFonts w:ascii="Times New Roman" w:hAnsi="Times New Roman" w:cs="Times New Roman"/>
          <w:sz w:val="24"/>
          <w:szCs w:val="24"/>
        </w:rPr>
        <w:t>3.5</w:t>
      </w:r>
      <w:r w:rsidRPr="008670D0">
        <w:rPr>
          <w:rFonts w:ascii="Times New Roman" w:hAnsi="Times New Roman" w:cs="Times New Roman"/>
          <w:sz w:val="24"/>
          <w:szCs w:val="24"/>
        </w:rPr>
        <w:t>. При отсутствии у Заказчика претензий по количеству и качеству поставленного Товара Заказчик подписывает товарную (товарно-транспортную) накладную и/или счет/счет-фактуру. После этого Товар считается переданным Поставщиком Заказчику.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5"/>
      <w:bookmarkEnd w:id="3"/>
      <w:r>
        <w:rPr>
          <w:rFonts w:ascii="Times New Roman" w:hAnsi="Times New Roman" w:cs="Times New Roman"/>
          <w:sz w:val="24"/>
          <w:szCs w:val="24"/>
        </w:rPr>
        <w:t>3.6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</w:t>
      </w:r>
      <w:r>
        <w:rPr>
          <w:rFonts w:ascii="Times New Roman" w:hAnsi="Times New Roman" w:cs="Times New Roman"/>
          <w:sz w:val="24"/>
          <w:szCs w:val="24"/>
        </w:rPr>
        <w:t>мотивированный отказ</w:t>
      </w:r>
      <w:r w:rsidRPr="008670D0">
        <w:rPr>
          <w:rFonts w:ascii="Times New Roman" w:hAnsi="Times New Roman" w:cs="Times New Roman"/>
          <w:sz w:val="24"/>
          <w:szCs w:val="24"/>
        </w:rPr>
        <w:t xml:space="preserve"> с перечнем выявленных недостатков и указанием сроков их устранения и направляет его Поставщику.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10 (десяти) </w:t>
      </w:r>
      <w:r w:rsidR="009C5130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8670D0">
        <w:rPr>
          <w:rFonts w:ascii="Times New Roman" w:hAnsi="Times New Roman" w:cs="Times New Roman"/>
          <w:sz w:val="24"/>
          <w:szCs w:val="24"/>
        </w:rPr>
        <w:t>дней с момента получен</w:t>
      </w:r>
      <w:r>
        <w:rPr>
          <w:rFonts w:ascii="Times New Roman" w:hAnsi="Times New Roman" w:cs="Times New Roman"/>
          <w:sz w:val="24"/>
          <w:szCs w:val="24"/>
        </w:rPr>
        <w:t>ия мотивированного отказа, указанного в пункте 3.6.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8670D0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5D39DB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3.9</w:t>
      </w:r>
      <w:r w:rsidRPr="008670D0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 w:cs="Times New Roman"/>
          <w:sz w:val="24"/>
          <w:szCs w:val="24"/>
        </w:rPr>
        <w:t>кументов, указанных в пункте 3.5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5D39DB" w:rsidRDefault="005D39DB" w:rsidP="005D39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Pr="00DA3782">
        <w:rPr>
          <w:rFonts w:ascii="Times New Roman" w:hAnsi="Times New Roman"/>
          <w:sz w:val="24"/>
          <w:szCs w:val="24"/>
        </w:rPr>
        <w:t>.10. Заказчик вправе не отказывать в приемке поставленного Товара в случае выявления несоотве</w:t>
      </w:r>
      <w:r>
        <w:rPr>
          <w:rFonts w:ascii="Times New Roman" w:hAnsi="Times New Roman"/>
          <w:sz w:val="24"/>
          <w:szCs w:val="24"/>
        </w:rPr>
        <w:t xml:space="preserve">тствия Товара условиям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DA3782">
        <w:rPr>
          <w:rFonts w:ascii="Times New Roman" w:hAnsi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5A4C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12CAB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5A4C01" w:rsidRPr="008670D0" w:rsidRDefault="00465E6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</w:t>
      </w:r>
      <w:r w:rsidR="00465E61" w:rsidRPr="008670D0">
        <w:rPr>
          <w:rFonts w:ascii="Times New Roman" w:hAnsi="Times New Roman" w:cs="Times New Roman"/>
          <w:sz w:val="24"/>
          <w:szCs w:val="24"/>
        </w:rPr>
        <w:t xml:space="preserve">иях,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465E61" w:rsidRPr="008670D0">
        <w:rPr>
          <w:rFonts w:ascii="Times New Roman" w:hAnsi="Times New Roman" w:cs="Times New Roman"/>
          <w:sz w:val="24"/>
          <w:szCs w:val="24"/>
        </w:rPr>
        <w:t>ом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 и Спецификацией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lastRenderedPageBreak/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 (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ом);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DA3782">
        <w:rPr>
          <w:rFonts w:ascii="Times New Roman" w:hAnsi="Times New Roman" w:cs="Times New Roman"/>
          <w:sz w:val="24"/>
          <w:szCs w:val="24"/>
        </w:rPr>
        <w:t>овиях, предусмотренных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DA3782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9C5130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</w:t>
      </w:r>
      <w:r w:rsidR="00CA6943">
        <w:rPr>
          <w:rFonts w:ascii="Times New Roman" w:hAnsi="Times New Roman" w:cs="Times New Roman"/>
          <w:sz w:val="24"/>
          <w:szCs w:val="24"/>
        </w:rPr>
        <w:t xml:space="preserve">азанному в настоящем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CA6943">
        <w:rPr>
          <w:rFonts w:ascii="Times New Roman" w:hAnsi="Times New Roman" w:cs="Times New Roman"/>
          <w:sz w:val="24"/>
          <w:szCs w:val="24"/>
        </w:rPr>
        <w:t>е</w:t>
      </w:r>
      <w:r w:rsidR="005A4C01" w:rsidRPr="008670D0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я о его вручении Заказчику; </w:t>
      </w:r>
    </w:p>
    <w:p w:rsidR="005A4C01" w:rsidRPr="008670D0" w:rsidRDefault="009C5130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8"/>
      <w:bookmarkStart w:id="5" w:name="P132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4.1.5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 w:rsidRPr="008670D0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5A4C01" w:rsidRPr="008670D0" w:rsidRDefault="00EC7EB9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5A4C01" w:rsidRPr="008670D0">
        <w:rPr>
          <w:rFonts w:ascii="Times New Roman" w:hAnsi="Times New Roman" w:cs="Times New Roman"/>
          <w:sz w:val="24"/>
          <w:szCs w:val="24"/>
        </w:rPr>
        <w:t>требовать от Заказчика произвести приемку Товара в порядке и в сро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ки, предусмотренные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EB0928" w:rsidRPr="008670D0">
        <w:rPr>
          <w:rFonts w:ascii="Times New Roman" w:hAnsi="Times New Roman" w:cs="Times New Roman"/>
          <w:sz w:val="24"/>
          <w:szCs w:val="24"/>
        </w:rPr>
        <w:t>ом</w:t>
      </w:r>
      <w:r w:rsidR="005A4C01"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</w:t>
      </w:r>
      <w:r w:rsidR="00CA6943">
        <w:rPr>
          <w:rFonts w:ascii="Times New Roman" w:hAnsi="Times New Roman" w:cs="Times New Roman"/>
          <w:sz w:val="24"/>
          <w:szCs w:val="24"/>
        </w:rPr>
        <w:t xml:space="preserve">виях, установленных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CA6943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, надлежащим образом поставленного и принятого Заказчиком Товара;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1"/>
      <w:bookmarkEnd w:id="7"/>
      <w:r w:rsidRPr="008670D0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разделом VI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6E5AF8" w:rsidRPr="006E5AF8" w:rsidRDefault="006E5AF8" w:rsidP="006E5AF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.2.5</w:t>
      </w:r>
      <w:r w:rsidRPr="006E5AF8">
        <w:rPr>
          <w:rFonts w:ascii="Times New Roman" w:hAnsi="Times New Roman"/>
          <w:sz w:val="24"/>
          <w:szCs w:val="24"/>
        </w:rPr>
        <w:t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</w:t>
      </w:r>
      <w:r>
        <w:rPr>
          <w:rFonts w:ascii="Times New Roman" w:hAnsi="Times New Roman"/>
          <w:sz w:val="24"/>
          <w:szCs w:val="24"/>
        </w:rPr>
        <w:t xml:space="preserve">истиками, указанными в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е</w:t>
      </w:r>
      <w:r w:rsidRPr="006E5AF8">
        <w:rPr>
          <w:rFonts w:ascii="Times New Roman" w:hAnsi="Times New Roman"/>
          <w:sz w:val="24"/>
          <w:szCs w:val="24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r w:rsidRPr="008F57B5">
        <w:rPr>
          <w:rFonts w:ascii="Times New Roman" w:hAnsi="Times New Roman"/>
          <w:sz w:val="24"/>
          <w:szCs w:val="24"/>
        </w:rPr>
        <w:t>частью 6 статьи 14</w:t>
      </w:r>
      <w:r w:rsidRPr="006E5AF8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ого закона от 5 апреля 2013 г. №</w:t>
      </w:r>
      <w:r w:rsidRPr="006E5AF8">
        <w:rPr>
          <w:rFonts w:ascii="Times New Roman" w:hAnsi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</w:t>
      </w:r>
      <w:r w:rsidR="006E5AF8">
        <w:rPr>
          <w:rFonts w:ascii="Times New Roman" w:hAnsi="Times New Roman" w:cs="Times New Roman"/>
          <w:sz w:val="24"/>
          <w:szCs w:val="24"/>
        </w:rPr>
        <w:t xml:space="preserve">ки, предусмотренные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6E5AF8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лем определения поставщика;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</w:t>
      </w:r>
      <w:r w:rsidR="006E5AF8">
        <w:rPr>
          <w:rFonts w:ascii="Times New Roman" w:hAnsi="Times New Roman" w:cs="Times New Roman"/>
          <w:sz w:val="24"/>
          <w:szCs w:val="24"/>
        </w:rPr>
        <w:t xml:space="preserve">азанному в настоящем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6E5AF8">
        <w:rPr>
          <w:rFonts w:ascii="Times New Roman" w:hAnsi="Times New Roman" w:cs="Times New Roman"/>
          <w:sz w:val="24"/>
          <w:szCs w:val="24"/>
        </w:rPr>
        <w:t>е</w:t>
      </w:r>
      <w:r w:rsidRPr="008670D0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 о его вручении Поставщику;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226" w:history="1">
        <w:r w:rsidRPr="008670D0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8" w:history="1">
        <w:r w:rsidRPr="008670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5AF8"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lastRenderedPageBreak/>
        <w:t>4.4. Заказчик вправе: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</w:t>
      </w:r>
      <w:r w:rsidR="0078339B">
        <w:rPr>
          <w:rFonts w:ascii="Times New Roman" w:hAnsi="Times New Roman" w:cs="Times New Roman"/>
          <w:sz w:val="24"/>
          <w:szCs w:val="24"/>
        </w:rPr>
        <w:t xml:space="preserve">ения обязательств по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78339B">
        <w:rPr>
          <w:rFonts w:ascii="Times New Roman" w:hAnsi="Times New Roman" w:cs="Times New Roman"/>
          <w:sz w:val="24"/>
          <w:szCs w:val="24"/>
        </w:rPr>
        <w:t>у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226" w:history="1">
        <w:r w:rsidRPr="008670D0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количество Товар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а, 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EB0928" w:rsidRPr="008670D0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Федеральным </w:t>
      </w:r>
      <w:hyperlink r:id="rId9" w:history="1">
        <w:r w:rsidRPr="008670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5AF8"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нных и муниципальных нужд";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2"/>
      <w:bookmarkEnd w:id="8"/>
      <w:r w:rsidRPr="008670D0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гра</w:t>
      </w:r>
      <w:r w:rsidR="00FA2E4A" w:rsidRPr="008670D0">
        <w:rPr>
          <w:rFonts w:ascii="Times New Roman" w:hAnsi="Times New Roman" w:cs="Times New Roman"/>
          <w:sz w:val="24"/>
          <w:szCs w:val="24"/>
        </w:rPr>
        <w:t>жданским законодательством;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</w:t>
      </w:r>
      <w:r w:rsidR="002509C9">
        <w:rPr>
          <w:rFonts w:ascii="Times New Roman" w:hAnsi="Times New Roman" w:cs="Times New Roman"/>
          <w:sz w:val="24"/>
          <w:szCs w:val="24"/>
        </w:rPr>
        <w:t>спертов, экспертных организаций;</w:t>
      </w:r>
    </w:p>
    <w:p w:rsidR="002509C9" w:rsidRPr="008670D0" w:rsidRDefault="002509C9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4.4.9. удержать сумму неисполненных П</w:t>
      </w:r>
      <w:r w:rsidRPr="002509C9">
        <w:rPr>
          <w:rFonts w:ascii="Times New Roman" w:hAnsi="Times New Roman" w:cs="Times New Roman"/>
          <w:sz w:val="24"/>
          <w:szCs w:val="24"/>
        </w:rPr>
        <w:t>оставщ</w:t>
      </w:r>
      <w:r>
        <w:rPr>
          <w:rFonts w:ascii="Times New Roman" w:hAnsi="Times New Roman" w:cs="Times New Roman"/>
          <w:sz w:val="24"/>
          <w:szCs w:val="24"/>
        </w:rPr>
        <w:t xml:space="preserve">иком </w:t>
      </w:r>
      <w:r w:rsidRPr="002509C9">
        <w:rPr>
          <w:rFonts w:ascii="Times New Roman" w:hAnsi="Times New Roman" w:cs="Times New Roman"/>
          <w:sz w:val="24"/>
          <w:szCs w:val="24"/>
        </w:rPr>
        <w:t>требований об уплате неустоек (</w:t>
      </w:r>
      <w:r>
        <w:rPr>
          <w:rFonts w:ascii="Times New Roman" w:hAnsi="Times New Roman" w:cs="Times New Roman"/>
          <w:sz w:val="24"/>
          <w:szCs w:val="24"/>
        </w:rPr>
        <w:t>штрафов, пеней), предъявленных З</w:t>
      </w:r>
      <w:r w:rsidRPr="002509C9">
        <w:rPr>
          <w:rFonts w:ascii="Times New Roman" w:hAnsi="Times New Roman" w:cs="Times New Roman"/>
          <w:sz w:val="24"/>
          <w:szCs w:val="24"/>
        </w:rPr>
        <w:t>аказчиком в соответствии Федеральным законом от 5 апреля 2013 г. № 44-ФЗ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нужд", из суммы, подлежащей оплате П</w:t>
      </w:r>
      <w:r w:rsidRPr="002509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ставщику.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6E5A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12CAB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:rsidR="00B52E2A" w:rsidRDefault="005A4C01" w:rsidP="00C43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</w:t>
      </w:r>
      <w:r w:rsidR="00B52E2A" w:rsidRPr="00B52E2A">
        <w:rPr>
          <w:rFonts w:ascii="Times New Roman" w:hAnsi="Times New Roman"/>
          <w:sz w:val="24"/>
          <w:szCs w:val="24"/>
        </w:rPr>
        <w:t>соответствует требо</w:t>
      </w:r>
      <w:r w:rsidR="00B52E2A">
        <w:rPr>
          <w:rFonts w:ascii="Times New Roman" w:hAnsi="Times New Roman"/>
          <w:sz w:val="24"/>
          <w:szCs w:val="24"/>
        </w:rPr>
        <w:t xml:space="preserve">ваниям, установленным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B52E2A">
        <w:rPr>
          <w:rFonts w:ascii="Times New Roman" w:hAnsi="Times New Roman"/>
          <w:sz w:val="24"/>
          <w:szCs w:val="24"/>
        </w:rPr>
        <w:t>ом</w:t>
      </w:r>
      <w:r w:rsidR="00B52E2A" w:rsidRPr="00B52E2A">
        <w:rPr>
          <w:rFonts w:ascii="Times New Roman" w:hAnsi="Times New Roman"/>
          <w:sz w:val="24"/>
          <w:szCs w:val="24"/>
        </w:rPr>
        <w:t>.</w:t>
      </w:r>
    </w:p>
    <w:p w:rsidR="00C43355" w:rsidRPr="00C43355" w:rsidRDefault="00C43355" w:rsidP="00C43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43355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</w:t>
      </w:r>
      <w:r>
        <w:rPr>
          <w:rFonts w:ascii="Times New Roman" w:hAnsi="Times New Roman"/>
          <w:sz w:val="24"/>
          <w:szCs w:val="24"/>
        </w:rPr>
        <w:t xml:space="preserve">лены потребительские свойства) </w:t>
      </w:r>
      <w:r w:rsidRPr="00C43355">
        <w:rPr>
          <w:rFonts w:ascii="Times New Roman" w:hAnsi="Times New Roman"/>
          <w:sz w:val="24"/>
          <w:szCs w:val="24"/>
        </w:rPr>
        <w:t xml:space="preserve">и соответствует требованиям, установленным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Pr="00C43355">
        <w:rPr>
          <w:rFonts w:ascii="Times New Roman" w:hAnsi="Times New Roman"/>
          <w:sz w:val="24"/>
          <w:szCs w:val="24"/>
        </w:rPr>
        <w:t>ом.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5A4C01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52E2A" w:rsidRPr="00B52E2A" w:rsidRDefault="00B52E2A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2E2A">
        <w:rPr>
          <w:rFonts w:ascii="Times New Roman" w:hAnsi="Times New Roman"/>
          <w:sz w:val="24"/>
          <w:szCs w:val="24"/>
        </w:rPr>
        <w:t xml:space="preserve">Поставляемый Товар должен соответствовать действующим в </w:t>
      </w:r>
      <w:r>
        <w:rPr>
          <w:rFonts w:ascii="Times New Roman" w:hAnsi="Times New Roman"/>
          <w:sz w:val="24"/>
          <w:szCs w:val="24"/>
        </w:rPr>
        <w:t>Российской Федерации стандартам</w:t>
      </w:r>
      <w:r w:rsidRPr="00B52E2A">
        <w:rPr>
          <w:rFonts w:ascii="Times New Roman" w:hAnsi="Times New Roman"/>
          <w:sz w:val="24"/>
          <w:szCs w:val="24"/>
        </w:rPr>
        <w:t>, техническим регламентам, санитарным и фитосанитарным нормам.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52E2A" w:rsidRDefault="002D6F42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218"/>
      <w:bookmarkEnd w:id="9"/>
      <w:r>
        <w:rPr>
          <w:rFonts w:ascii="Times New Roman" w:hAnsi="Times New Roman" w:cs="Times New Roman"/>
          <w:sz w:val="24"/>
          <w:szCs w:val="24"/>
        </w:rPr>
        <w:t>5.4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B52E2A" w:rsidRPr="00B52E2A">
        <w:rPr>
          <w:rFonts w:ascii="Times New Roman" w:hAnsi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B6A89" w:rsidRPr="00B52E2A" w:rsidRDefault="00FB6A89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Товар составляет 1 (один) года с даты поставки Товара.</w:t>
      </w:r>
    </w:p>
    <w:p w:rsidR="005A4C01" w:rsidRPr="008670D0" w:rsidRDefault="005A4C01" w:rsidP="00B52E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5A4C01" w:rsidRPr="00BB01C8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2"/>
      <w:bookmarkEnd w:id="10"/>
      <w:r w:rsidRPr="00BB01C8">
        <w:rPr>
          <w:rFonts w:ascii="Times New Roman" w:hAnsi="Times New Roman" w:cs="Times New Roman"/>
          <w:sz w:val="24"/>
          <w:szCs w:val="24"/>
        </w:rPr>
        <w:t>5.5.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="00DD04F7" w:rsidRPr="00BB01C8">
        <w:rPr>
          <w:rFonts w:ascii="Times New Roman" w:hAnsi="Times New Roman" w:cs="Times New Roman"/>
          <w:sz w:val="24"/>
          <w:szCs w:val="24"/>
        </w:rPr>
        <w:t>ежащего качества новым, в срок 10</w:t>
      </w:r>
      <w:r w:rsidRPr="00BB01C8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письменного уведомления от Заказчика (в том числ</w:t>
      </w:r>
      <w:r w:rsidR="002509C9">
        <w:rPr>
          <w:rFonts w:ascii="Times New Roman" w:hAnsi="Times New Roman" w:cs="Times New Roman"/>
          <w:sz w:val="24"/>
          <w:szCs w:val="24"/>
        </w:rPr>
        <w:t>е посредством электронной почты</w:t>
      </w:r>
      <w:r w:rsidRPr="00BB01C8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оригинала).</w:t>
      </w:r>
      <w:r w:rsidR="00EC0513" w:rsidRPr="00BB01C8">
        <w:t xml:space="preserve"> </w:t>
      </w:r>
      <w:r w:rsidR="00EC0513" w:rsidRPr="00BB01C8">
        <w:rPr>
          <w:rFonts w:ascii="Times New Roman" w:hAnsi="Times New Roman" w:cs="Times New Roman"/>
          <w:sz w:val="24"/>
          <w:szCs w:val="24"/>
        </w:rPr>
        <w:t xml:space="preserve">В случае необходимости замены всего </w:t>
      </w:r>
      <w:r w:rsidR="00FC3721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EC0513" w:rsidRPr="00BB01C8">
        <w:rPr>
          <w:rFonts w:ascii="Times New Roman" w:hAnsi="Times New Roman" w:cs="Times New Roman"/>
          <w:sz w:val="24"/>
          <w:szCs w:val="24"/>
        </w:rPr>
        <w:t>Стороны согласовывают срок</w:t>
      </w:r>
      <w:r w:rsidR="00FC3721">
        <w:rPr>
          <w:rFonts w:ascii="Times New Roman" w:hAnsi="Times New Roman" w:cs="Times New Roman"/>
          <w:sz w:val="24"/>
          <w:szCs w:val="24"/>
        </w:rPr>
        <w:t>и замены отдельным соглашением.</w:t>
      </w:r>
    </w:p>
    <w:p w:rsidR="005A4C01" w:rsidRPr="00BB01C8" w:rsidRDefault="009A64D2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замены </w:t>
      </w:r>
      <w:r w:rsidR="005A4C01" w:rsidRPr="00BB01C8">
        <w:rPr>
          <w:rFonts w:ascii="Times New Roman" w:hAnsi="Times New Roman" w:cs="Times New Roman"/>
          <w:sz w:val="24"/>
          <w:szCs w:val="24"/>
        </w:rPr>
        <w:t xml:space="preserve">какой-либо части Товара, на такую замененную или отремонтированную </w:t>
      </w:r>
      <w:r w:rsidR="005A4C01" w:rsidRPr="00BB01C8">
        <w:rPr>
          <w:rFonts w:ascii="Times New Roman" w:hAnsi="Times New Roman" w:cs="Times New Roman"/>
          <w:sz w:val="24"/>
          <w:szCs w:val="24"/>
        </w:rPr>
        <w:lastRenderedPageBreak/>
        <w:t xml:space="preserve">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</w:t>
      </w:r>
      <w:hyperlink w:anchor="P218" w:history="1">
        <w:r w:rsidR="005A4C01" w:rsidRPr="00BB01C8">
          <w:rPr>
            <w:rFonts w:ascii="Times New Roman" w:hAnsi="Times New Roman" w:cs="Times New Roman"/>
            <w:sz w:val="24"/>
            <w:szCs w:val="24"/>
          </w:rPr>
          <w:t>пункте 5.4</w:t>
        </w:r>
      </w:hyperlink>
      <w:r w:rsidR="005A4C01" w:rsidRPr="00BB01C8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BB01C8">
        <w:rPr>
          <w:rFonts w:ascii="Times New Roman" w:hAnsi="Times New Roman" w:cs="Times New Roman"/>
          <w:sz w:val="24"/>
          <w:szCs w:val="24"/>
        </w:rPr>
        <w:t>.</w:t>
      </w:r>
    </w:p>
    <w:p w:rsidR="009B3851" w:rsidRPr="008670D0" w:rsidRDefault="005A4C01" w:rsidP="00867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1C8">
        <w:rPr>
          <w:rFonts w:ascii="Times New Roman" w:hAnsi="Times New Roman" w:cs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5A4C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226"/>
      <w:bookmarkEnd w:id="11"/>
      <w:r w:rsidRPr="00612CAB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полного (частичного) неисполнения условий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 непокрытой неустойкой.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31"/>
      <w:bookmarkEnd w:id="12"/>
      <w:r>
        <w:rPr>
          <w:rFonts w:ascii="Times New Roman" w:hAnsi="Times New Roman" w:cs="Times New Roman"/>
          <w:sz w:val="24"/>
          <w:szCs w:val="24"/>
        </w:rPr>
        <w:t>6.3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обязательств, предусмотренных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ом, начиная со дня, следующего после дня истечения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70D0">
        <w:rPr>
          <w:rFonts w:ascii="Times New Roman" w:hAnsi="Times New Roman" w:cs="Times New Roman"/>
          <w:sz w:val="24"/>
          <w:szCs w:val="24"/>
        </w:rPr>
        <w:t xml:space="preserve"> установленного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обязательс</w:t>
      </w:r>
      <w:r>
        <w:rPr>
          <w:rFonts w:ascii="Times New Roman" w:hAnsi="Times New Roman" w:cs="Times New Roman"/>
          <w:sz w:val="24"/>
          <w:szCs w:val="24"/>
        </w:rPr>
        <w:t>тв,</w:t>
      </w:r>
      <w:r w:rsidRPr="008670D0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Pr="00732347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Поставщиком обязательств, предусмотре</w:t>
      </w:r>
      <w:r>
        <w:rPr>
          <w:rFonts w:ascii="Times New Roman" w:hAnsi="Times New Roman"/>
          <w:sz w:val="24"/>
          <w:szCs w:val="24"/>
        </w:rPr>
        <w:t xml:space="preserve">нных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>, за исключением просрочки исполнения Поставщиком обязательств (в том числе гарантийного обязательс</w:t>
      </w:r>
      <w:r>
        <w:rPr>
          <w:rFonts w:ascii="Times New Roman" w:hAnsi="Times New Roman"/>
          <w:sz w:val="24"/>
          <w:szCs w:val="24"/>
        </w:rPr>
        <w:t xml:space="preserve">тва), предусмотренных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</w:t>
      </w:r>
      <w:r w:rsidRPr="00F7314B">
        <w:rPr>
          <w:rFonts w:ascii="Times New Roman" w:hAnsi="Times New Roman"/>
          <w:sz w:val="24"/>
          <w:szCs w:val="24"/>
        </w:rPr>
        <w:t>Правилами</w:t>
      </w:r>
      <w:r w:rsidRPr="00732347">
        <w:rPr>
          <w:rFonts w:ascii="Times New Roman" w:hAnsi="Times New Roman"/>
          <w:sz w:val="24"/>
          <w:szCs w:val="24"/>
        </w:rPr>
        <w:t xml:space="preserve"> определения размера штрафа, начисляемого в с</w:t>
      </w:r>
      <w:r>
        <w:rPr>
          <w:rFonts w:ascii="Times New Roman" w:hAnsi="Times New Roman"/>
          <w:sz w:val="24"/>
          <w:szCs w:val="24"/>
        </w:rPr>
        <w:t>лучае ненадлежащего исполнения з</w:t>
      </w:r>
      <w:r w:rsidRPr="00732347">
        <w:rPr>
          <w:rFonts w:ascii="Times New Roman" w:hAnsi="Times New Roman"/>
          <w:sz w:val="24"/>
          <w:szCs w:val="24"/>
        </w:rPr>
        <w:t xml:space="preserve"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</w:t>
      </w:r>
      <w:r w:rsidRPr="004C0F42">
        <w:rPr>
          <w:rFonts w:ascii="Times New Roman" w:hAnsi="Times New Roman"/>
          <w:sz w:val="24"/>
          <w:szCs w:val="24"/>
        </w:rPr>
        <w:t xml:space="preserve">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</w:t>
      </w:r>
      <w:r w:rsidR="00936ADF" w:rsidRPr="004C0F42">
        <w:rPr>
          <w:rFonts w:ascii="Times New Roman" w:hAnsi="Times New Roman"/>
          <w:sz w:val="24"/>
          <w:szCs w:val="24"/>
        </w:rPr>
        <w:t>–</w:t>
      </w:r>
      <w:r w:rsidRPr="004C0F42">
        <w:rPr>
          <w:rFonts w:ascii="Times New Roman" w:hAnsi="Times New Roman"/>
          <w:sz w:val="24"/>
          <w:szCs w:val="24"/>
        </w:rPr>
        <w:t xml:space="preserve"> Правила</w:t>
      </w:r>
      <w:r w:rsidR="00936ADF" w:rsidRPr="004C0F42">
        <w:rPr>
          <w:rFonts w:ascii="Times New Roman" w:hAnsi="Times New Roman"/>
          <w:sz w:val="24"/>
          <w:szCs w:val="24"/>
        </w:rPr>
        <w:t>)</w:t>
      </w:r>
      <w:r w:rsidRPr="004C0F42">
        <w:rPr>
          <w:rFonts w:ascii="Times New Roman" w:hAnsi="Times New Roman"/>
          <w:sz w:val="24"/>
          <w:szCs w:val="24"/>
        </w:rPr>
        <w:t>.</w:t>
      </w:r>
    </w:p>
    <w:p w:rsidR="00C91865" w:rsidRPr="0001608C" w:rsidRDefault="00C91865" w:rsidP="000A7F0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32347">
        <w:rPr>
          <w:rFonts w:ascii="Times New Roman" w:hAnsi="Times New Roman"/>
          <w:sz w:val="24"/>
          <w:szCs w:val="24"/>
        </w:rPr>
        <w:t>6.5. За каждый факт неисполнения или ненадлежащего исполнения Поставщиком обязательс</w:t>
      </w:r>
      <w:r>
        <w:rPr>
          <w:rFonts w:ascii="Times New Roman" w:hAnsi="Times New Roman"/>
          <w:sz w:val="24"/>
          <w:szCs w:val="24"/>
        </w:rPr>
        <w:t xml:space="preserve">тва, предусмотренного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Pr="00BD22B5">
        <w:rPr>
          <w:rFonts w:ascii="Times New Roman" w:hAnsi="Times New Roman"/>
          <w:sz w:val="24"/>
          <w:szCs w:val="24"/>
        </w:rPr>
        <w:t>Правилами</w:t>
      </w:r>
      <w:r w:rsidR="000A7F09">
        <w:rPr>
          <w:rFonts w:ascii="Times New Roman" w:hAnsi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обязательств Заказчиком, предусмотренных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уплату пени в размере одной трехсотой действующей на дату уплаты пеней ключевой ставки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670D0">
        <w:rPr>
          <w:rFonts w:ascii="Times New Roman" w:hAnsi="Times New Roman" w:cs="Times New Roman"/>
          <w:sz w:val="24"/>
          <w:szCs w:val="24"/>
        </w:rPr>
        <w:t xml:space="preserve">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C91865" w:rsidRPr="00F44B10" w:rsidRDefault="00C91865" w:rsidP="000A7F0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6.11. За каждый факт неисполнения Заказчиком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уплату штрафа. </w:t>
      </w:r>
      <w:r w:rsidRPr="00732347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</w:t>
      </w:r>
      <w:r w:rsidRPr="00F7314B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у.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</w:t>
      </w:r>
      <w:r w:rsidRPr="008670D0">
        <w:rPr>
          <w:rFonts w:ascii="Times New Roman" w:hAnsi="Times New Roman" w:cs="Times New Roman"/>
          <w:sz w:val="24"/>
          <w:szCs w:val="24"/>
        </w:rPr>
        <w:t>. Общая сумма начисленной неустойки (штрафов, пени) за неисполнение или ненадлежащее исполнение Поставщиком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865" w:rsidRDefault="00C91865" w:rsidP="00C91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64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Обеспечение исполнения </w:t>
      </w:r>
      <w:r w:rsidR="00B51111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866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865" w:rsidRPr="00866442" w:rsidRDefault="00C91865" w:rsidP="00146064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91865" w:rsidRDefault="00C151D2" w:rsidP="00C91865">
      <w:pPr>
        <w:pStyle w:val="ConsPlusNormal"/>
        <w:ind w:firstLine="540"/>
      </w:pPr>
      <w:bookmarkStart w:id="13" w:name="P303"/>
      <w:bookmarkEnd w:id="13"/>
      <w:r>
        <w:rPr>
          <w:rFonts w:ascii="Times New Roman" w:hAnsi="Times New Roman" w:cs="Times New Roman"/>
          <w:sz w:val="24"/>
          <w:szCs w:val="24"/>
        </w:rPr>
        <w:t>Не установлено</w:t>
      </w:r>
    </w:p>
    <w:p w:rsidR="00C91865" w:rsidRDefault="00C91865" w:rsidP="00C91865">
      <w:pPr>
        <w:pStyle w:val="ConsPlusNormal"/>
        <w:ind w:firstLine="540"/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left="1416" w:firstLine="708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VIII. Обеспечение гарантийных обязательств </w:t>
      </w:r>
    </w:p>
    <w:p w:rsidR="007F6FE0" w:rsidRDefault="007F6FE0" w:rsidP="009A64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D79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8.1. </w:t>
      </w:r>
      <w:r w:rsidR="009A64D2">
        <w:rPr>
          <w:rFonts w:ascii="Times New Roman" w:eastAsia="Times New Roman" w:hAnsi="Times New Roman" w:cs="Calibri"/>
          <w:sz w:val="24"/>
          <w:szCs w:val="24"/>
          <w:lang w:eastAsia="ru-RU"/>
        </w:rPr>
        <w:t>не установлено.</w:t>
      </w:r>
    </w:p>
    <w:p w:rsidR="004175FF" w:rsidRPr="007F6FE0" w:rsidRDefault="004175FF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IX. Исключительные права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10.1. Стороны не несут ответственность за полное или частичное неисполнение предусмотренных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10.2. В случае если надлежащее исполнение Стороной предусмотренных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10.3. В случае возникновения обстоятельств непреодолимой силы Стороны вправе расторгнуть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, и в этом случае ни одна из Сторон не вправе требовать возмещения убытков.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Рассмотрение и разрешение споров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11.1. Все споры и разногласия, которые могут возникнуть из настоящего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Сторонами, будут разрешаться путем переговоров, в том числе в претензионном порядке.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11.2. Претензия оформляется в письменной форме. В претензии перечисляются допущенные при исполнении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со ссылкой на соответствующие положения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11.3. Срок рассмотрения претензии не может превышать 10 (десяти)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11.4. При неурегулировании Сторонами спора в досудебном порядке, спор разрешается в судебном порядке в </w:t>
      </w:r>
      <w:r w:rsidRPr="007F6FE0">
        <w:rPr>
          <w:rFonts w:ascii="Times New Roman" w:eastAsia="Times New Roman" w:hAnsi="Times New Roman"/>
          <w:sz w:val="24"/>
          <w:szCs w:val="24"/>
        </w:rPr>
        <w:t>Арбитражном суде города Москвы.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 и порядок расторжения </w:t>
      </w:r>
      <w:r w:rsidR="00B5111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12.1.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вступает в силу с момента его подписания обеими Сторонами и действует </w:t>
      </w:r>
      <w:r w:rsidR="00A675D6" w:rsidRPr="00DB666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D707C1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72C" w:rsidRPr="00DB666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175FF" w:rsidRPr="00DB666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B6668" w:rsidRPr="00DB666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56BD6" w:rsidRPr="00DB666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B6668" w:rsidRPr="00DB6668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E56BD6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72C" w:rsidRPr="00DB666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418C">
        <w:rPr>
          <w:rFonts w:ascii="Times New Roman" w:eastAsia="Times New Roman" w:hAnsi="Times New Roman"/>
          <w:sz w:val="24"/>
          <w:szCs w:val="24"/>
          <w:lang w:eastAsia="ru-RU"/>
        </w:rPr>
        <w:t>026</w:t>
      </w: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г. Окон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чание срока действия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у, в том числе гарантийных обязательств Поставщика.</w:t>
      </w:r>
    </w:p>
    <w:p w:rsidR="00C91865" w:rsidRPr="007F6FE0" w:rsidRDefault="007F6FE0" w:rsidP="00C918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12.2. 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Расторжение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0" w:history="1">
        <w:r w:rsidR="00C91865"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частями 9</w:t>
        </w:r>
      </w:hyperlink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1" w:history="1">
        <w:r w:rsidR="00C91865"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23 статьи 95</w:t>
        </w:r>
      </w:hyperlink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</w:t>
      </w:r>
    </w:p>
    <w:p w:rsidR="00C91865" w:rsidRDefault="00C91865" w:rsidP="00C91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2597" w:rsidRPr="007F6FE0" w:rsidRDefault="00D32597" w:rsidP="00C918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FE0" w:rsidRPr="00511117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111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X</w:t>
      </w:r>
      <w:r w:rsidRPr="0051111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5111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I. Прочие положения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13.1. Во всем, что не предусмотрено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путем заключения Сторонами в письменной форме дополнительных соглашений к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у, которые являются его неотъемлемой частью.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13.4. Изменение условий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его исполнении не допускается, за исключением случаев предусмотренных </w:t>
      </w:r>
      <w:hyperlink r:id="rId12" w:history="1">
        <w:r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95</w:t>
        </w:r>
      </w:hyperlink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  <w:r w:rsidR="00B94ADE" w:rsidRPr="00B94ADE">
        <w:t xml:space="preserve"> </w:t>
      </w:r>
      <w:r w:rsidR="00B94ADE" w:rsidRPr="00B94ADE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при исполнении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контракта, предметом которого является поставка радиоэлектронной продукции, включенной в реестр, не допускается замена такой радиоэлектронной продукции по основаниям, предусмотренным частью 7 статьи 95 указанного Федерального закона, на радиоэлектронную продукцию, не содержащуюся в перечне и не включенную в реестр.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13.5. При исполнении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прав и обязанностей по настоящему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у правопреемнику Поставщика осуществляется путем заключения соответствующего дополнительного соглашения к настоящему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13.6. Стороны обязуются обеспечить конфиденциальность сведений, относящихся к предмету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13.7.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XI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Перечень приложений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.1. Неотъемлемой частью настоящего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FD775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следующие приложения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3C42">
        <w:rPr>
          <w:rFonts w:ascii="Times New Roman" w:hAnsi="Times New Roman"/>
          <w:sz w:val="24"/>
          <w:szCs w:val="24"/>
          <w:lang w:eastAsia="ar-SA"/>
        </w:rPr>
        <w:t xml:space="preserve">Приложение №1 – </w:t>
      </w:r>
      <w:r w:rsidR="00EF7928" w:rsidRPr="00EF7928">
        <w:rPr>
          <w:rFonts w:ascii="Times New Roman" w:hAnsi="Times New Roman"/>
          <w:sz w:val="24"/>
          <w:szCs w:val="24"/>
          <w:lang w:eastAsia="ar-SA"/>
        </w:rPr>
        <w:t>Техническое задание</w:t>
      </w:r>
      <w:r w:rsidR="00963C42">
        <w:rPr>
          <w:rFonts w:ascii="Times New Roman" w:hAnsi="Times New Roman"/>
          <w:sz w:val="24"/>
          <w:szCs w:val="24"/>
          <w:lang w:eastAsia="ar-SA"/>
        </w:rPr>
        <w:t>;</w:t>
      </w:r>
    </w:p>
    <w:p w:rsidR="005644DF" w:rsidRDefault="005644DF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№ 2 - Спецификация</w:t>
      </w:r>
    </w:p>
    <w:p w:rsidR="00963C42" w:rsidRPr="007F6FE0" w:rsidRDefault="00963C42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XV. Адреса и банковские реквизиты Сторон</w:t>
      </w:r>
    </w:p>
    <w:p w:rsidR="005A4C01" w:rsidRPr="008670D0" w:rsidRDefault="005A4C01">
      <w:pPr>
        <w:pStyle w:val="ConsPlusNormal"/>
        <w:jc w:val="both"/>
      </w:pPr>
    </w:p>
    <w:tbl>
      <w:tblPr>
        <w:tblW w:w="10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633"/>
      </w:tblGrid>
      <w:tr w:rsidR="005A4C01" w:rsidRPr="008670D0" w:rsidTr="003307A4">
        <w:trPr>
          <w:trHeight w:val="20"/>
        </w:trPr>
        <w:tc>
          <w:tcPr>
            <w:tcW w:w="4740" w:type="dxa"/>
          </w:tcPr>
          <w:p w:rsidR="005A4C01" w:rsidRPr="008670D0" w:rsidRDefault="005A4C01" w:rsidP="00044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633" w:type="dxa"/>
          </w:tcPr>
          <w:p w:rsidR="005A4C01" w:rsidRPr="008670D0" w:rsidRDefault="005A4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3307A4" w:rsidRPr="008670D0" w:rsidTr="003307A4">
        <w:trPr>
          <w:gridAfter w:val="1"/>
          <w:wAfter w:w="5633" w:type="dxa"/>
          <w:trHeight w:val="20"/>
        </w:trPr>
        <w:tc>
          <w:tcPr>
            <w:tcW w:w="4740" w:type="dxa"/>
          </w:tcPr>
          <w:p w:rsidR="003307A4" w:rsidRPr="008670D0" w:rsidRDefault="00EF7928" w:rsidP="0004400F">
            <w:pPr>
              <w:spacing w:after="0" w:line="240" w:lineRule="auto"/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ИНИОН РАН</w:t>
            </w:r>
          </w:p>
        </w:tc>
      </w:tr>
      <w:tr w:rsidR="008A0740" w:rsidRPr="008670D0" w:rsidTr="003307A4">
        <w:trPr>
          <w:trHeight w:val="20"/>
        </w:trPr>
        <w:tc>
          <w:tcPr>
            <w:tcW w:w="4740" w:type="dxa"/>
          </w:tcPr>
          <w:p w:rsidR="009C5CF5" w:rsidRPr="009C5CF5" w:rsidRDefault="009C5CF5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="00EF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117997, г. Москва, Нахимовский проспект, 51/21</w:t>
            </w:r>
          </w:p>
          <w:p w:rsidR="009C5CF5" w:rsidRPr="009C5CF5" w:rsidRDefault="00EF7928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7727083108</w:t>
            </w:r>
            <w:r w:rsidR="009C5CF5"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5CF5" w:rsidRPr="009C5CF5" w:rsidRDefault="00EF7928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772801001</w:t>
            </w:r>
            <w:r w:rsidR="009C5CF5"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5CE6" w:rsidRPr="000F5CE6" w:rsidRDefault="000F5CE6" w:rsidP="000F5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740" w:rsidRPr="000F5CE6" w:rsidRDefault="008A0740" w:rsidP="000F5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</w:tcPr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Email: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ОКПО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ОКПД2 ОКАТО ОКТМО ОКВЭД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ОГРНИП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7838" w:rsidRPr="003307A4" w:rsidRDefault="006C7838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C01" w:rsidRPr="008670D0" w:rsidTr="003307A4">
        <w:trPr>
          <w:trHeight w:val="20"/>
        </w:trPr>
        <w:tc>
          <w:tcPr>
            <w:tcW w:w="4740" w:type="dxa"/>
            <w:vAlign w:val="center"/>
          </w:tcPr>
          <w:p w:rsidR="00AA6C64" w:rsidRDefault="00085936" w:rsidP="000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_________________/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859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C01" w:rsidRPr="008670D0" w:rsidRDefault="005A4C01" w:rsidP="00A91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vAlign w:val="center"/>
          </w:tcPr>
          <w:p w:rsidR="00085936" w:rsidRPr="000F5CE6" w:rsidRDefault="00C6372C" w:rsidP="00AA6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1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85936"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85936" w:rsidRPr="000F5CE6" w:rsidRDefault="00085936" w:rsidP="00A91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6" w:rsidRPr="008670D0" w:rsidTr="003307A4">
        <w:trPr>
          <w:trHeight w:val="20"/>
        </w:trPr>
        <w:tc>
          <w:tcPr>
            <w:tcW w:w="4740" w:type="dxa"/>
            <w:vAlign w:val="center"/>
          </w:tcPr>
          <w:p w:rsidR="00085936" w:rsidRPr="00085936" w:rsidRDefault="00085936" w:rsidP="0008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vAlign w:val="center"/>
          </w:tcPr>
          <w:p w:rsidR="00085936" w:rsidRDefault="00085936" w:rsidP="0008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C01" w:rsidRPr="008670D0" w:rsidRDefault="005A4C01">
      <w:pPr>
        <w:pStyle w:val="ConsPlusNormal"/>
        <w:jc w:val="both"/>
      </w:pPr>
    </w:p>
    <w:p w:rsidR="00CA7004" w:rsidRDefault="00CA7004" w:rsidP="00CA7004">
      <w:pPr>
        <w:pStyle w:val="ConsPlusNormal"/>
        <w:ind w:left="6946"/>
        <w:contextualSpacing/>
        <w:sectPr w:rsidR="00CA7004" w:rsidSect="0004400F">
          <w:pgSz w:w="11906" w:h="16838"/>
          <w:pgMar w:top="709" w:right="424" w:bottom="1134" w:left="1134" w:header="708" w:footer="708" w:gutter="0"/>
          <w:cols w:space="708"/>
          <w:docGrid w:linePitch="360"/>
        </w:sectPr>
      </w:pPr>
    </w:p>
    <w:p w:rsidR="006F6822" w:rsidRPr="00BC44CF" w:rsidRDefault="006F6822" w:rsidP="00BC44CF">
      <w:pPr>
        <w:pStyle w:val="ConsPlusNormal"/>
        <w:ind w:left="11766"/>
        <w:contextualSpacing/>
        <w:rPr>
          <w:rFonts w:ascii="Times New Roman" w:hAnsi="Times New Roman"/>
          <w:sz w:val="20"/>
        </w:rPr>
      </w:pPr>
      <w:r w:rsidRPr="00BC44CF">
        <w:rPr>
          <w:rFonts w:ascii="Times New Roman" w:hAnsi="Times New Roman"/>
          <w:sz w:val="20"/>
        </w:rPr>
        <w:lastRenderedPageBreak/>
        <w:t xml:space="preserve">Приложение № 1 </w:t>
      </w:r>
    </w:p>
    <w:p w:rsidR="006F6822" w:rsidRPr="00BC44CF" w:rsidRDefault="006F6822" w:rsidP="00BC44CF">
      <w:pPr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B51111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у № </w:t>
      </w:r>
      <w:r w:rsidR="003307A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</w:t>
      </w:r>
    </w:p>
    <w:p w:rsidR="006F6822" w:rsidRPr="00BC44CF" w:rsidRDefault="006F6822" w:rsidP="00BC44CF">
      <w:pPr>
        <w:shd w:val="clear" w:color="auto" w:fill="FFFFFF"/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от «____» ______________ 20</w:t>
      </w:r>
      <w:r w:rsidR="00C1773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991D62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2318F7" w:rsidRPr="002318F7" w:rsidRDefault="002318F7" w:rsidP="002318F7">
      <w:pPr>
        <w:spacing w:after="160" w:line="259" w:lineRule="auto"/>
      </w:pPr>
    </w:p>
    <w:p w:rsidR="007A39EC" w:rsidRPr="007A39EC" w:rsidRDefault="007A39EC" w:rsidP="007A3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7A39E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Техническое задание на закупку блоков питания ARPJ-SP-421400-PFC Arligh (или эквивалент)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11039"/>
      </w:tblGrid>
      <w:tr w:rsidR="007A39EC" w:rsidRPr="007A39EC" w:rsidTr="007A39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  <w:jc w:val="center"/>
              <w:rPr>
                <w:b/>
                <w:bCs/>
              </w:rPr>
            </w:pPr>
            <w:r w:rsidRPr="007A39EC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  <w:jc w:val="center"/>
              <w:rPr>
                <w:b/>
                <w:bCs/>
              </w:rPr>
            </w:pPr>
            <w:r w:rsidRPr="007A39EC">
              <w:rPr>
                <w:b/>
                <w:bCs/>
              </w:rPr>
              <w:t>Требование/значение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Тип устройства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Источник питания постоянного тока (AC/DC) со стабилизацией выходного тока, с гальванической развязкой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Питание светодиодных светильников и мощных LED-модулей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Максимальная выходная мощность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60 Вт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Выходной ток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1400 мА (1,4 А)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Диапазон выходного напряжения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21–42 В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Входное напряжение (номинальное)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220–240 В AC</w:t>
            </w:r>
            <w:bookmarkStart w:id="14" w:name="_GoBack"/>
            <w:bookmarkEnd w:id="14"/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Допустимый диапазон входного напряжения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198–264 В AC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Входная частота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47–63 Гц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Коэффициент мощности (PF)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Не менее 0,9 (наличие встроенного корректора коэффициента мощности — PFC)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КПД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Не менее 86 %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Пусковой ток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Не более 35 А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Коэффициент пульсации выходного напряжения/тока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Менее 0,3 %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Степень пылевлагозащиты корпуса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IP67 (герметичное исполнение для внутреннего и наружного применения)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lastRenderedPageBreak/>
              <w:t>Материал корпуса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Ударопрочный пластик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Класс электробезопасности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II (двойная изоляция, без заземляющего контакта)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Диапазон рабочих температур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От −20 °C до +45 °C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Тип подключения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Провода (без разъёмов)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Габариты (Д × Ш × В), не более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170 × 50 × 40 мм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Вес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Не более 0,5 кг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Особенности конструкции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— герметичная заливка электронных компонентов компаундом; — защита от короткого замыкания, перегрузки и перегрева; — отсутствие вентиляторов (пассивное охлаждение)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Количество единиц для закупки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10 шт.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Состояние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Новое, не бывшее в эксплуатации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Комплектация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Блок питания, паспорт изделия на русском языке, сертификат соответствия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Гарантия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Не менее 5 лет</w:t>
            </w:r>
          </w:p>
        </w:tc>
      </w:tr>
      <w:tr w:rsidR="007A39EC" w:rsidRPr="007A39EC" w:rsidTr="007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rPr>
                <w:b/>
                <w:bCs/>
              </w:rPr>
              <w:t>Требования к упаковке</w:t>
            </w:r>
          </w:p>
        </w:tc>
        <w:tc>
          <w:tcPr>
            <w:tcW w:w="0" w:type="auto"/>
            <w:vAlign w:val="center"/>
            <w:hideMark/>
          </w:tcPr>
          <w:p w:rsidR="007A39EC" w:rsidRPr="007A39EC" w:rsidRDefault="007A39EC" w:rsidP="007A39EC">
            <w:pPr>
              <w:spacing w:after="160" w:line="259" w:lineRule="auto"/>
            </w:pPr>
            <w:r w:rsidRPr="007A39EC">
              <w:t>Индивидуальная заводская упаковка, обеспечивающая сохранность при транспортировке и хранении</w:t>
            </w:r>
          </w:p>
        </w:tc>
      </w:tr>
    </w:tbl>
    <w:p w:rsidR="00FC1FD8" w:rsidRPr="00FC1FD8" w:rsidRDefault="00FC1FD8" w:rsidP="00FC1FD8">
      <w:pPr>
        <w:spacing w:after="160" w:line="259" w:lineRule="auto"/>
      </w:pPr>
    </w:p>
    <w:p w:rsidR="00BC44CF" w:rsidRDefault="00BC44CF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</w:p>
    <w:p w:rsidR="00EF28DD" w:rsidRPr="00EF28DD" w:rsidRDefault="00EF28DD" w:rsidP="00EF28DD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 w:rsidRPr="00EF28DD">
        <w:rPr>
          <w:rFonts w:ascii="Times New Roman" w:hAnsi="Times New Roman"/>
          <w:sz w:val="24"/>
          <w:szCs w:val="24"/>
        </w:rPr>
        <w:t>1.</w:t>
      </w:r>
      <w:r w:rsidRPr="00EF28DD">
        <w:rPr>
          <w:rFonts w:ascii="Times New Roman" w:hAnsi="Times New Roman"/>
          <w:sz w:val="24"/>
          <w:szCs w:val="24"/>
        </w:rPr>
        <w:tab/>
        <w:t xml:space="preserve">Состояние товара: новый (не бывший в употреблении, ремонте, не восстановленный).  </w:t>
      </w:r>
    </w:p>
    <w:p w:rsidR="00EF28DD" w:rsidRPr="00EF28DD" w:rsidRDefault="00EF28DD" w:rsidP="00EF28DD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 w:rsidRPr="00EF28DD">
        <w:rPr>
          <w:rFonts w:ascii="Times New Roman" w:hAnsi="Times New Roman"/>
          <w:sz w:val="24"/>
          <w:szCs w:val="24"/>
        </w:rPr>
        <w:t>2.</w:t>
      </w:r>
      <w:r w:rsidRPr="00EF28DD">
        <w:rPr>
          <w:rFonts w:ascii="Times New Roman" w:hAnsi="Times New Roman"/>
          <w:sz w:val="24"/>
          <w:szCs w:val="24"/>
        </w:rPr>
        <w:tab/>
        <w:t xml:space="preserve">Соответствие стандартам: товар должен соответствовать требованиям технических регламентов, ГОСТ и иных документов, предусмотренных законодательством РФ о техническом регулировании.  </w:t>
      </w:r>
    </w:p>
    <w:p w:rsidR="00EF28DD" w:rsidRPr="00EF28DD" w:rsidRDefault="00EF28DD" w:rsidP="00EF28DD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 w:rsidRPr="00EF28DD">
        <w:rPr>
          <w:rFonts w:ascii="Times New Roman" w:hAnsi="Times New Roman"/>
          <w:sz w:val="24"/>
          <w:szCs w:val="24"/>
        </w:rPr>
        <w:t>4.</w:t>
      </w:r>
      <w:r w:rsidRPr="00EF28DD">
        <w:rPr>
          <w:rFonts w:ascii="Times New Roman" w:hAnsi="Times New Roman"/>
          <w:sz w:val="24"/>
          <w:szCs w:val="24"/>
        </w:rPr>
        <w:tab/>
        <w:t xml:space="preserve">Маркировка: наличие сертификатов соответствия.  </w:t>
      </w:r>
    </w:p>
    <w:p w:rsidR="00E8527B" w:rsidRDefault="00EF28DD" w:rsidP="00EF28DD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 w:rsidRPr="00EF28DD">
        <w:rPr>
          <w:rFonts w:ascii="Times New Roman" w:hAnsi="Times New Roman"/>
          <w:sz w:val="24"/>
          <w:szCs w:val="24"/>
        </w:rPr>
        <w:t>5.</w:t>
      </w:r>
      <w:r w:rsidRPr="00EF28DD">
        <w:rPr>
          <w:rFonts w:ascii="Times New Roman" w:hAnsi="Times New Roman"/>
          <w:sz w:val="24"/>
          <w:szCs w:val="24"/>
        </w:rPr>
        <w:tab/>
        <w:t>Упаковка: обеспечение сохранности товара при транспортировке и хранении.</w:t>
      </w:r>
      <w:r w:rsidR="00D5021D">
        <w:rPr>
          <w:rFonts w:ascii="Times New Roman" w:hAnsi="Times New Roman"/>
          <w:sz w:val="24"/>
          <w:szCs w:val="24"/>
        </w:rPr>
        <w:t xml:space="preserve">. </w:t>
      </w:r>
    </w:p>
    <w:p w:rsidR="0047370D" w:rsidRDefault="0047370D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осуществляется Поставщиком по адресу нахождения Заказчика: г. Москва, Нахимовский проспект, 51/21</w:t>
      </w:r>
    </w:p>
    <w:p w:rsidR="00BC44CF" w:rsidRPr="008670D0" w:rsidRDefault="00BC44CF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  <w:gridCol w:w="4395"/>
      </w:tblGrid>
      <w:tr w:rsidR="008670D0" w:rsidRPr="008670D0" w:rsidTr="00A917D8">
        <w:trPr>
          <w:trHeight w:val="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7D8" w:rsidRDefault="00085936" w:rsidP="00085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__</w:t>
            </w:r>
            <w:r w:rsidR="00E53536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3307A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917D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6822" w:rsidRPr="00D707C1" w:rsidRDefault="006F6822" w:rsidP="00A917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F6822" w:rsidRPr="008670D0" w:rsidRDefault="006F6822" w:rsidP="006F68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Поставщик</w:t>
            </w:r>
          </w:p>
          <w:p w:rsidR="006F6822" w:rsidRPr="008670D0" w:rsidRDefault="006F6822" w:rsidP="006F6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822" w:rsidRPr="008670D0" w:rsidRDefault="006F6822" w:rsidP="006F6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5FD" w:rsidRPr="000F5CE6" w:rsidRDefault="00010D41" w:rsidP="007A2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7A2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A25FD"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F6822" w:rsidRPr="00D707C1" w:rsidRDefault="006F6822" w:rsidP="007A25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2229B4" w:rsidRDefault="002229B4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</w:p>
    <w:p w:rsidR="00EF7928" w:rsidRPr="00BC44CF" w:rsidRDefault="00EF7928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  <w:r w:rsidRPr="00BC44CF">
        <w:rPr>
          <w:rFonts w:ascii="Times New Roman" w:hAnsi="Times New Roman"/>
          <w:sz w:val="20"/>
        </w:rPr>
        <w:t xml:space="preserve"> </w:t>
      </w:r>
    </w:p>
    <w:p w:rsidR="00EF7928" w:rsidRPr="00BC44CF" w:rsidRDefault="00FB6A89" w:rsidP="00EF7928">
      <w:pPr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Контракту</w:t>
      </w:r>
      <w:r w:rsidR="00EF7928"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№ </w:t>
      </w:r>
      <w:r w:rsidR="00EF7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</w:t>
      </w:r>
    </w:p>
    <w:p w:rsidR="00EF7928" w:rsidRPr="00BC44CF" w:rsidRDefault="00EF7928" w:rsidP="00EF7928">
      <w:pPr>
        <w:shd w:val="clear" w:color="auto" w:fill="FFFFFF"/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от «____» ______________ 20</w:t>
      </w:r>
      <w:r w:rsidR="00991D62"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="00FB6A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EF7928" w:rsidRPr="008670D0" w:rsidRDefault="00EF7928" w:rsidP="00EF7928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</w:p>
    <w:p w:rsidR="00EF7928" w:rsidRPr="008670D0" w:rsidRDefault="00EF7928" w:rsidP="00EF7928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  <w:r w:rsidRPr="00B420D7">
        <w:rPr>
          <w:rFonts w:ascii="Times New Roman" w:hAnsi="Times New Roman"/>
          <w:b/>
          <w:spacing w:val="9"/>
          <w:sz w:val="24"/>
          <w:szCs w:val="24"/>
        </w:rPr>
        <w:t>Спецификация</w:t>
      </w:r>
    </w:p>
    <w:p w:rsidR="00EF7928" w:rsidRDefault="00EF7928" w:rsidP="00EF7928">
      <w:pPr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EF7928" w:rsidRPr="00FC3721" w:rsidRDefault="00EF7928" w:rsidP="00EF792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BE0570">
        <w:rPr>
          <w:rFonts w:ascii="Times New Roman" w:hAnsi="Times New Roman" w:cs="Times New Roman"/>
          <w:sz w:val="24"/>
          <w:szCs w:val="24"/>
        </w:rPr>
        <w:t>, включая НДС __</w:t>
      </w:r>
      <w:r w:rsidRPr="004B7323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EF7928" w:rsidRDefault="00EF7928" w:rsidP="00EF7928">
      <w:pPr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  <w:gridCol w:w="4395"/>
      </w:tblGrid>
      <w:tr w:rsidR="00EF7928" w:rsidRPr="008670D0" w:rsidTr="00165D70">
        <w:trPr>
          <w:trHeight w:val="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:rsidR="00EF7928" w:rsidRPr="008670D0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EF7928" w:rsidRPr="008670D0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_______________/________________/</w:t>
            </w:r>
          </w:p>
          <w:p w:rsidR="00EF7928" w:rsidRPr="00D707C1" w:rsidRDefault="00EF7928" w:rsidP="00165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F7928" w:rsidRPr="008670D0" w:rsidRDefault="00EF7928" w:rsidP="00165D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:rsidR="00EF7928" w:rsidRPr="008670D0" w:rsidRDefault="00EF7928" w:rsidP="0016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Pr="008670D0" w:rsidRDefault="00EF7928" w:rsidP="0016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Pr="000F5CE6" w:rsidRDefault="00EF7928" w:rsidP="00165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</w:t>
            </w:r>
            <w:r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F7928" w:rsidRPr="00D707C1" w:rsidRDefault="00EF7928" w:rsidP="00165D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7928" w:rsidRPr="008670D0" w:rsidRDefault="00EF7928" w:rsidP="006F6822">
      <w:pPr>
        <w:tabs>
          <w:tab w:val="left" w:pos="6372"/>
        </w:tabs>
        <w:rPr>
          <w:lang w:eastAsia="ru-RU"/>
        </w:rPr>
      </w:pPr>
    </w:p>
    <w:sectPr w:rsidR="00EF7928" w:rsidRPr="008670D0" w:rsidSect="00BC44CF">
      <w:pgSz w:w="16838" w:h="11906" w:orient="landscape"/>
      <w:pgMar w:top="709" w:right="70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CDD" w:rsidRDefault="003A1CDD" w:rsidP="006F6822">
      <w:pPr>
        <w:spacing w:after="0" w:line="240" w:lineRule="auto"/>
      </w:pPr>
      <w:r>
        <w:separator/>
      </w:r>
    </w:p>
  </w:endnote>
  <w:endnote w:type="continuationSeparator" w:id="0">
    <w:p w:rsidR="003A1CDD" w:rsidRDefault="003A1CDD" w:rsidP="006F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CDD" w:rsidRDefault="003A1CDD" w:rsidP="006F6822">
      <w:pPr>
        <w:spacing w:after="0" w:line="240" w:lineRule="auto"/>
      </w:pPr>
      <w:r>
        <w:separator/>
      </w:r>
    </w:p>
  </w:footnote>
  <w:footnote w:type="continuationSeparator" w:id="0">
    <w:p w:rsidR="003A1CDD" w:rsidRDefault="003A1CDD" w:rsidP="006F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BBE"/>
    <w:multiLevelType w:val="multilevel"/>
    <w:tmpl w:val="5A1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11D65"/>
    <w:multiLevelType w:val="multilevel"/>
    <w:tmpl w:val="DD4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B2604"/>
    <w:multiLevelType w:val="hybridMultilevel"/>
    <w:tmpl w:val="EF2E7D1C"/>
    <w:lvl w:ilvl="0" w:tplc="489E462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9A66E3F"/>
    <w:multiLevelType w:val="hybridMultilevel"/>
    <w:tmpl w:val="22BE2E04"/>
    <w:lvl w:ilvl="0" w:tplc="B0C066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AC6254C"/>
    <w:multiLevelType w:val="multilevel"/>
    <w:tmpl w:val="14B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F461E"/>
    <w:multiLevelType w:val="multilevel"/>
    <w:tmpl w:val="6F7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C01"/>
    <w:rsid w:val="00002CB5"/>
    <w:rsid w:val="00010D41"/>
    <w:rsid w:val="00011328"/>
    <w:rsid w:val="00012181"/>
    <w:rsid w:val="000145D1"/>
    <w:rsid w:val="00015E8B"/>
    <w:rsid w:val="00017242"/>
    <w:rsid w:val="00021FEF"/>
    <w:rsid w:val="0002497D"/>
    <w:rsid w:val="0002721B"/>
    <w:rsid w:val="000420EE"/>
    <w:rsid w:val="0004400F"/>
    <w:rsid w:val="00045084"/>
    <w:rsid w:val="00046C9D"/>
    <w:rsid w:val="000503C1"/>
    <w:rsid w:val="00050FEB"/>
    <w:rsid w:val="00054FD1"/>
    <w:rsid w:val="000620C8"/>
    <w:rsid w:val="00062B11"/>
    <w:rsid w:val="00073E2B"/>
    <w:rsid w:val="0007623A"/>
    <w:rsid w:val="00081B47"/>
    <w:rsid w:val="00082446"/>
    <w:rsid w:val="00085936"/>
    <w:rsid w:val="00091334"/>
    <w:rsid w:val="00095AB5"/>
    <w:rsid w:val="000A088F"/>
    <w:rsid w:val="000A1E48"/>
    <w:rsid w:val="000A7F09"/>
    <w:rsid w:val="000B0657"/>
    <w:rsid w:val="000D38C6"/>
    <w:rsid w:val="000D3C6C"/>
    <w:rsid w:val="000D7A01"/>
    <w:rsid w:val="000E0628"/>
    <w:rsid w:val="000F3459"/>
    <w:rsid w:val="000F3F09"/>
    <w:rsid w:val="000F3F61"/>
    <w:rsid w:val="000F49D9"/>
    <w:rsid w:val="000F5CE6"/>
    <w:rsid w:val="000F76E7"/>
    <w:rsid w:val="0010147C"/>
    <w:rsid w:val="00101558"/>
    <w:rsid w:val="00103446"/>
    <w:rsid w:val="0010396D"/>
    <w:rsid w:val="00126A6A"/>
    <w:rsid w:val="0012720E"/>
    <w:rsid w:val="00131425"/>
    <w:rsid w:val="00143014"/>
    <w:rsid w:val="00146064"/>
    <w:rsid w:val="001541E9"/>
    <w:rsid w:val="00163ACF"/>
    <w:rsid w:val="00165D70"/>
    <w:rsid w:val="001664AB"/>
    <w:rsid w:val="00167C58"/>
    <w:rsid w:val="00172207"/>
    <w:rsid w:val="0017250B"/>
    <w:rsid w:val="001773A2"/>
    <w:rsid w:val="00180E94"/>
    <w:rsid w:val="0018556B"/>
    <w:rsid w:val="001B0F0E"/>
    <w:rsid w:val="001B2DD5"/>
    <w:rsid w:val="001C181D"/>
    <w:rsid w:val="001C201F"/>
    <w:rsid w:val="001C2F9D"/>
    <w:rsid w:val="001C5267"/>
    <w:rsid w:val="001C5BF1"/>
    <w:rsid w:val="001D3A2A"/>
    <w:rsid w:val="001D5256"/>
    <w:rsid w:val="001D79E3"/>
    <w:rsid w:val="001E0A8F"/>
    <w:rsid w:val="001E34DF"/>
    <w:rsid w:val="001E5C6B"/>
    <w:rsid w:val="001F4D92"/>
    <w:rsid w:val="001F5B37"/>
    <w:rsid w:val="001F5DD3"/>
    <w:rsid w:val="001F7719"/>
    <w:rsid w:val="00222467"/>
    <w:rsid w:val="002229B4"/>
    <w:rsid w:val="002318F7"/>
    <w:rsid w:val="00231F52"/>
    <w:rsid w:val="002450A8"/>
    <w:rsid w:val="002509C9"/>
    <w:rsid w:val="00251E9E"/>
    <w:rsid w:val="002555F1"/>
    <w:rsid w:val="0025618A"/>
    <w:rsid w:val="00264705"/>
    <w:rsid w:val="00276F4E"/>
    <w:rsid w:val="00283F1D"/>
    <w:rsid w:val="00284648"/>
    <w:rsid w:val="00284761"/>
    <w:rsid w:val="00294F83"/>
    <w:rsid w:val="002974D8"/>
    <w:rsid w:val="002A0697"/>
    <w:rsid w:val="002D5580"/>
    <w:rsid w:val="002D67DE"/>
    <w:rsid w:val="002D6F42"/>
    <w:rsid w:val="002E13D1"/>
    <w:rsid w:val="002E275E"/>
    <w:rsid w:val="0030762E"/>
    <w:rsid w:val="00320C02"/>
    <w:rsid w:val="003307A4"/>
    <w:rsid w:val="00330ACC"/>
    <w:rsid w:val="00332FC0"/>
    <w:rsid w:val="0033763A"/>
    <w:rsid w:val="0034072F"/>
    <w:rsid w:val="003422E0"/>
    <w:rsid w:val="0035458B"/>
    <w:rsid w:val="00357EAF"/>
    <w:rsid w:val="003642CF"/>
    <w:rsid w:val="0036618C"/>
    <w:rsid w:val="0037049D"/>
    <w:rsid w:val="003777DA"/>
    <w:rsid w:val="00381E79"/>
    <w:rsid w:val="003922D7"/>
    <w:rsid w:val="003939F4"/>
    <w:rsid w:val="003A1C88"/>
    <w:rsid w:val="003A1CDD"/>
    <w:rsid w:val="003A6003"/>
    <w:rsid w:val="003C4405"/>
    <w:rsid w:val="003D7311"/>
    <w:rsid w:val="003E0336"/>
    <w:rsid w:val="003E121B"/>
    <w:rsid w:val="003E1630"/>
    <w:rsid w:val="003E612E"/>
    <w:rsid w:val="003E6C2E"/>
    <w:rsid w:val="003E77AF"/>
    <w:rsid w:val="003F4727"/>
    <w:rsid w:val="00401242"/>
    <w:rsid w:val="00417037"/>
    <w:rsid w:val="004171AE"/>
    <w:rsid w:val="004175FF"/>
    <w:rsid w:val="004222FC"/>
    <w:rsid w:val="00425712"/>
    <w:rsid w:val="0043658A"/>
    <w:rsid w:val="0043763B"/>
    <w:rsid w:val="0045160C"/>
    <w:rsid w:val="00451CCA"/>
    <w:rsid w:val="004548A7"/>
    <w:rsid w:val="00457861"/>
    <w:rsid w:val="004610D1"/>
    <w:rsid w:val="00465E61"/>
    <w:rsid w:val="00471910"/>
    <w:rsid w:val="0047370D"/>
    <w:rsid w:val="00473D10"/>
    <w:rsid w:val="00477BAE"/>
    <w:rsid w:val="004819DC"/>
    <w:rsid w:val="00482D85"/>
    <w:rsid w:val="0048348C"/>
    <w:rsid w:val="00487369"/>
    <w:rsid w:val="00491832"/>
    <w:rsid w:val="00494BF0"/>
    <w:rsid w:val="004960BB"/>
    <w:rsid w:val="0049629B"/>
    <w:rsid w:val="004970B6"/>
    <w:rsid w:val="00497959"/>
    <w:rsid w:val="004A269E"/>
    <w:rsid w:val="004A26C8"/>
    <w:rsid w:val="004A34D3"/>
    <w:rsid w:val="004A40F2"/>
    <w:rsid w:val="004B0322"/>
    <w:rsid w:val="004B2DB2"/>
    <w:rsid w:val="004B558C"/>
    <w:rsid w:val="004B7323"/>
    <w:rsid w:val="004C0F42"/>
    <w:rsid w:val="004C65C4"/>
    <w:rsid w:val="004D1946"/>
    <w:rsid w:val="004D747D"/>
    <w:rsid w:val="004F0FC1"/>
    <w:rsid w:val="005000F7"/>
    <w:rsid w:val="0050014F"/>
    <w:rsid w:val="00504504"/>
    <w:rsid w:val="00505197"/>
    <w:rsid w:val="00511117"/>
    <w:rsid w:val="00511238"/>
    <w:rsid w:val="00511C74"/>
    <w:rsid w:val="00512339"/>
    <w:rsid w:val="00522142"/>
    <w:rsid w:val="00522F80"/>
    <w:rsid w:val="0052607F"/>
    <w:rsid w:val="00530BB0"/>
    <w:rsid w:val="005412E2"/>
    <w:rsid w:val="00542B3D"/>
    <w:rsid w:val="005433AB"/>
    <w:rsid w:val="00544B23"/>
    <w:rsid w:val="005536F9"/>
    <w:rsid w:val="005542CB"/>
    <w:rsid w:val="005561FD"/>
    <w:rsid w:val="0055632B"/>
    <w:rsid w:val="00560F51"/>
    <w:rsid w:val="005644DF"/>
    <w:rsid w:val="005738D2"/>
    <w:rsid w:val="005742CF"/>
    <w:rsid w:val="00574711"/>
    <w:rsid w:val="0057703B"/>
    <w:rsid w:val="005847EC"/>
    <w:rsid w:val="0059454D"/>
    <w:rsid w:val="005A05DE"/>
    <w:rsid w:val="005A3352"/>
    <w:rsid w:val="005A4C01"/>
    <w:rsid w:val="005B1040"/>
    <w:rsid w:val="005B7591"/>
    <w:rsid w:val="005C0944"/>
    <w:rsid w:val="005C2277"/>
    <w:rsid w:val="005D0278"/>
    <w:rsid w:val="005D39DB"/>
    <w:rsid w:val="005D6309"/>
    <w:rsid w:val="005E29D6"/>
    <w:rsid w:val="005E2E20"/>
    <w:rsid w:val="005F4859"/>
    <w:rsid w:val="00612CAB"/>
    <w:rsid w:val="00613E24"/>
    <w:rsid w:val="00626516"/>
    <w:rsid w:val="00632029"/>
    <w:rsid w:val="00641A0A"/>
    <w:rsid w:val="00645579"/>
    <w:rsid w:val="00647AAE"/>
    <w:rsid w:val="00650923"/>
    <w:rsid w:val="00651A7C"/>
    <w:rsid w:val="0065295B"/>
    <w:rsid w:val="006529F3"/>
    <w:rsid w:val="00661623"/>
    <w:rsid w:val="00667166"/>
    <w:rsid w:val="00670A60"/>
    <w:rsid w:val="00671E99"/>
    <w:rsid w:val="00673446"/>
    <w:rsid w:val="00680E5D"/>
    <w:rsid w:val="00685C12"/>
    <w:rsid w:val="0069462D"/>
    <w:rsid w:val="00694A41"/>
    <w:rsid w:val="00694C2C"/>
    <w:rsid w:val="006A01AA"/>
    <w:rsid w:val="006A272B"/>
    <w:rsid w:val="006A4432"/>
    <w:rsid w:val="006A6213"/>
    <w:rsid w:val="006B1FE3"/>
    <w:rsid w:val="006C147C"/>
    <w:rsid w:val="006C7838"/>
    <w:rsid w:val="006E0FA6"/>
    <w:rsid w:val="006E418C"/>
    <w:rsid w:val="006E5AF8"/>
    <w:rsid w:val="006E609B"/>
    <w:rsid w:val="006F266A"/>
    <w:rsid w:val="006F2694"/>
    <w:rsid w:val="006F6822"/>
    <w:rsid w:val="006F78E0"/>
    <w:rsid w:val="00707D9F"/>
    <w:rsid w:val="00711B22"/>
    <w:rsid w:val="007142A9"/>
    <w:rsid w:val="00717F43"/>
    <w:rsid w:val="007216B2"/>
    <w:rsid w:val="007220C7"/>
    <w:rsid w:val="00731349"/>
    <w:rsid w:val="00732347"/>
    <w:rsid w:val="007375D1"/>
    <w:rsid w:val="00740B39"/>
    <w:rsid w:val="007655E0"/>
    <w:rsid w:val="007678A2"/>
    <w:rsid w:val="007723F5"/>
    <w:rsid w:val="0078339B"/>
    <w:rsid w:val="00791F2B"/>
    <w:rsid w:val="007A131A"/>
    <w:rsid w:val="007A25FD"/>
    <w:rsid w:val="007A3278"/>
    <w:rsid w:val="007A39EC"/>
    <w:rsid w:val="007C23E3"/>
    <w:rsid w:val="007D2B66"/>
    <w:rsid w:val="007D4E41"/>
    <w:rsid w:val="007E1E98"/>
    <w:rsid w:val="007E1FE6"/>
    <w:rsid w:val="007E2D86"/>
    <w:rsid w:val="007F073C"/>
    <w:rsid w:val="007F22D3"/>
    <w:rsid w:val="007F22D9"/>
    <w:rsid w:val="007F3F58"/>
    <w:rsid w:val="007F46CE"/>
    <w:rsid w:val="007F6FE0"/>
    <w:rsid w:val="0080080F"/>
    <w:rsid w:val="0080779A"/>
    <w:rsid w:val="00812C62"/>
    <w:rsid w:val="008306D8"/>
    <w:rsid w:val="00834830"/>
    <w:rsid w:val="00834ABC"/>
    <w:rsid w:val="00836AAA"/>
    <w:rsid w:val="008440A5"/>
    <w:rsid w:val="00850431"/>
    <w:rsid w:val="00852115"/>
    <w:rsid w:val="008537A9"/>
    <w:rsid w:val="008613A5"/>
    <w:rsid w:val="008617AE"/>
    <w:rsid w:val="0086183C"/>
    <w:rsid w:val="00864EE7"/>
    <w:rsid w:val="008670D0"/>
    <w:rsid w:val="0087063E"/>
    <w:rsid w:val="008706BD"/>
    <w:rsid w:val="00880150"/>
    <w:rsid w:val="00885755"/>
    <w:rsid w:val="00895AC2"/>
    <w:rsid w:val="008A0740"/>
    <w:rsid w:val="008A0D00"/>
    <w:rsid w:val="008A701B"/>
    <w:rsid w:val="008B10C8"/>
    <w:rsid w:val="008C184B"/>
    <w:rsid w:val="008D0745"/>
    <w:rsid w:val="008E0FC5"/>
    <w:rsid w:val="008E1481"/>
    <w:rsid w:val="008E3871"/>
    <w:rsid w:val="008E5071"/>
    <w:rsid w:val="008E7996"/>
    <w:rsid w:val="008F57B5"/>
    <w:rsid w:val="008F7889"/>
    <w:rsid w:val="009010C7"/>
    <w:rsid w:val="009038F3"/>
    <w:rsid w:val="0091310B"/>
    <w:rsid w:val="009246FD"/>
    <w:rsid w:val="009304CC"/>
    <w:rsid w:val="0093156C"/>
    <w:rsid w:val="00931CDF"/>
    <w:rsid w:val="00933FAC"/>
    <w:rsid w:val="00936220"/>
    <w:rsid w:val="00936ADF"/>
    <w:rsid w:val="00941A43"/>
    <w:rsid w:val="00950066"/>
    <w:rsid w:val="00956B89"/>
    <w:rsid w:val="009600FB"/>
    <w:rsid w:val="00963C42"/>
    <w:rsid w:val="0096447B"/>
    <w:rsid w:val="00965A7E"/>
    <w:rsid w:val="00970B38"/>
    <w:rsid w:val="00971BA8"/>
    <w:rsid w:val="00975D9C"/>
    <w:rsid w:val="00977BED"/>
    <w:rsid w:val="00991D62"/>
    <w:rsid w:val="00992CF7"/>
    <w:rsid w:val="00993035"/>
    <w:rsid w:val="00994102"/>
    <w:rsid w:val="009A35E6"/>
    <w:rsid w:val="009A64D2"/>
    <w:rsid w:val="009B285E"/>
    <w:rsid w:val="009B3851"/>
    <w:rsid w:val="009B4FDE"/>
    <w:rsid w:val="009B68B8"/>
    <w:rsid w:val="009B7904"/>
    <w:rsid w:val="009C129E"/>
    <w:rsid w:val="009C1620"/>
    <w:rsid w:val="009C4C88"/>
    <w:rsid w:val="009C5130"/>
    <w:rsid w:val="009C5A8D"/>
    <w:rsid w:val="009C5CF5"/>
    <w:rsid w:val="009D3EA3"/>
    <w:rsid w:val="009E3A71"/>
    <w:rsid w:val="009E63BC"/>
    <w:rsid w:val="009F2895"/>
    <w:rsid w:val="009F2EEF"/>
    <w:rsid w:val="009F6751"/>
    <w:rsid w:val="00A002C6"/>
    <w:rsid w:val="00A00990"/>
    <w:rsid w:val="00A0101C"/>
    <w:rsid w:val="00A045DD"/>
    <w:rsid w:val="00A146BC"/>
    <w:rsid w:val="00A15B95"/>
    <w:rsid w:val="00A24E3E"/>
    <w:rsid w:val="00A30EA5"/>
    <w:rsid w:val="00A338E0"/>
    <w:rsid w:val="00A355DD"/>
    <w:rsid w:val="00A37594"/>
    <w:rsid w:val="00A52A96"/>
    <w:rsid w:val="00A62EBB"/>
    <w:rsid w:val="00A64372"/>
    <w:rsid w:val="00A64E74"/>
    <w:rsid w:val="00A675D6"/>
    <w:rsid w:val="00A749BE"/>
    <w:rsid w:val="00A77AED"/>
    <w:rsid w:val="00A77F58"/>
    <w:rsid w:val="00A818BD"/>
    <w:rsid w:val="00A82F52"/>
    <w:rsid w:val="00A84D8F"/>
    <w:rsid w:val="00A84F9B"/>
    <w:rsid w:val="00A917D8"/>
    <w:rsid w:val="00A960B4"/>
    <w:rsid w:val="00AA0161"/>
    <w:rsid w:val="00AA4374"/>
    <w:rsid w:val="00AA4B11"/>
    <w:rsid w:val="00AA58A6"/>
    <w:rsid w:val="00AA68F5"/>
    <w:rsid w:val="00AA6C64"/>
    <w:rsid w:val="00AB18EF"/>
    <w:rsid w:val="00AB6AC0"/>
    <w:rsid w:val="00AB6EE7"/>
    <w:rsid w:val="00AC0B05"/>
    <w:rsid w:val="00AC3BA3"/>
    <w:rsid w:val="00AD70B7"/>
    <w:rsid w:val="00AD74C9"/>
    <w:rsid w:val="00AE15F2"/>
    <w:rsid w:val="00AE3216"/>
    <w:rsid w:val="00AF0E95"/>
    <w:rsid w:val="00AF65D0"/>
    <w:rsid w:val="00B00C20"/>
    <w:rsid w:val="00B00EBA"/>
    <w:rsid w:val="00B01BE3"/>
    <w:rsid w:val="00B237D5"/>
    <w:rsid w:val="00B24748"/>
    <w:rsid w:val="00B24DB6"/>
    <w:rsid w:val="00B30D24"/>
    <w:rsid w:val="00B4022F"/>
    <w:rsid w:val="00B41838"/>
    <w:rsid w:val="00B420D7"/>
    <w:rsid w:val="00B463A0"/>
    <w:rsid w:val="00B46F8C"/>
    <w:rsid w:val="00B504F8"/>
    <w:rsid w:val="00B51111"/>
    <w:rsid w:val="00B52E2A"/>
    <w:rsid w:val="00B551B3"/>
    <w:rsid w:val="00B6063E"/>
    <w:rsid w:val="00B622D4"/>
    <w:rsid w:val="00B659A0"/>
    <w:rsid w:val="00B66C12"/>
    <w:rsid w:val="00B708B7"/>
    <w:rsid w:val="00B737EE"/>
    <w:rsid w:val="00B7544D"/>
    <w:rsid w:val="00B836B9"/>
    <w:rsid w:val="00B87A0C"/>
    <w:rsid w:val="00B94ADE"/>
    <w:rsid w:val="00B96A8A"/>
    <w:rsid w:val="00BA01FB"/>
    <w:rsid w:val="00BA52D3"/>
    <w:rsid w:val="00BB01C8"/>
    <w:rsid w:val="00BC0071"/>
    <w:rsid w:val="00BC1D07"/>
    <w:rsid w:val="00BC24FF"/>
    <w:rsid w:val="00BC35A4"/>
    <w:rsid w:val="00BC44CF"/>
    <w:rsid w:val="00BC52D8"/>
    <w:rsid w:val="00BC65D2"/>
    <w:rsid w:val="00BE0570"/>
    <w:rsid w:val="00BF2421"/>
    <w:rsid w:val="00C018DB"/>
    <w:rsid w:val="00C134C5"/>
    <w:rsid w:val="00C147CE"/>
    <w:rsid w:val="00C151D2"/>
    <w:rsid w:val="00C17739"/>
    <w:rsid w:val="00C32AC5"/>
    <w:rsid w:val="00C34F82"/>
    <w:rsid w:val="00C36F25"/>
    <w:rsid w:val="00C43355"/>
    <w:rsid w:val="00C43AB6"/>
    <w:rsid w:val="00C44369"/>
    <w:rsid w:val="00C44E8A"/>
    <w:rsid w:val="00C521A2"/>
    <w:rsid w:val="00C53970"/>
    <w:rsid w:val="00C558D0"/>
    <w:rsid w:val="00C57965"/>
    <w:rsid w:val="00C6372C"/>
    <w:rsid w:val="00C80033"/>
    <w:rsid w:val="00C87014"/>
    <w:rsid w:val="00C87038"/>
    <w:rsid w:val="00C91865"/>
    <w:rsid w:val="00C93FD6"/>
    <w:rsid w:val="00CA0D1B"/>
    <w:rsid w:val="00CA3F54"/>
    <w:rsid w:val="00CA57EF"/>
    <w:rsid w:val="00CA6541"/>
    <w:rsid w:val="00CA6943"/>
    <w:rsid w:val="00CA6D8E"/>
    <w:rsid w:val="00CA7004"/>
    <w:rsid w:val="00CB7046"/>
    <w:rsid w:val="00CC5E2E"/>
    <w:rsid w:val="00CC7BC4"/>
    <w:rsid w:val="00CE6CAC"/>
    <w:rsid w:val="00CF01F2"/>
    <w:rsid w:val="00CF0EB1"/>
    <w:rsid w:val="00CF25DA"/>
    <w:rsid w:val="00CF5983"/>
    <w:rsid w:val="00D011B4"/>
    <w:rsid w:val="00D02D80"/>
    <w:rsid w:val="00D0759A"/>
    <w:rsid w:val="00D102CB"/>
    <w:rsid w:val="00D10587"/>
    <w:rsid w:val="00D1193B"/>
    <w:rsid w:val="00D15A61"/>
    <w:rsid w:val="00D2162E"/>
    <w:rsid w:val="00D2215F"/>
    <w:rsid w:val="00D2565E"/>
    <w:rsid w:val="00D25B94"/>
    <w:rsid w:val="00D32597"/>
    <w:rsid w:val="00D33B6B"/>
    <w:rsid w:val="00D35B1B"/>
    <w:rsid w:val="00D40855"/>
    <w:rsid w:val="00D46B2F"/>
    <w:rsid w:val="00D5021D"/>
    <w:rsid w:val="00D51321"/>
    <w:rsid w:val="00D53F1E"/>
    <w:rsid w:val="00D54C4E"/>
    <w:rsid w:val="00D562CC"/>
    <w:rsid w:val="00D566C7"/>
    <w:rsid w:val="00D60573"/>
    <w:rsid w:val="00D605CF"/>
    <w:rsid w:val="00D62923"/>
    <w:rsid w:val="00D62DDB"/>
    <w:rsid w:val="00D64E64"/>
    <w:rsid w:val="00D667F0"/>
    <w:rsid w:val="00D66B30"/>
    <w:rsid w:val="00D707C1"/>
    <w:rsid w:val="00D81327"/>
    <w:rsid w:val="00D8247F"/>
    <w:rsid w:val="00D82FEB"/>
    <w:rsid w:val="00D83138"/>
    <w:rsid w:val="00D8530C"/>
    <w:rsid w:val="00D865E3"/>
    <w:rsid w:val="00DA06E6"/>
    <w:rsid w:val="00DA3782"/>
    <w:rsid w:val="00DA3FE3"/>
    <w:rsid w:val="00DB114A"/>
    <w:rsid w:val="00DB6668"/>
    <w:rsid w:val="00DB6792"/>
    <w:rsid w:val="00DB77BF"/>
    <w:rsid w:val="00DC4CA4"/>
    <w:rsid w:val="00DD04F7"/>
    <w:rsid w:val="00DD7BBD"/>
    <w:rsid w:val="00DE673F"/>
    <w:rsid w:val="00DF0A4A"/>
    <w:rsid w:val="00DF3A5C"/>
    <w:rsid w:val="00DF4A94"/>
    <w:rsid w:val="00DF6494"/>
    <w:rsid w:val="00DF7545"/>
    <w:rsid w:val="00E01B53"/>
    <w:rsid w:val="00E07CD5"/>
    <w:rsid w:val="00E142E6"/>
    <w:rsid w:val="00E40392"/>
    <w:rsid w:val="00E42082"/>
    <w:rsid w:val="00E44627"/>
    <w:rsid w:val="00E46A73"/>
    <w:rsid w:val="00E46C48"/>
    <w:rsid w:val="00E503C5"/>
    <w:rsid w:val="00E53536"/>
    <w:rsid w:val="00E56BD6"/>
    <w:rsid w:val="00E6349B"/>
    <w:rsid w:val="00E8527B"/>
    <w:rsid w:val="00E9374D"/>
    <w:rsid w:val="00EB0928"/>
    <w:rsid w:val="00EB1055"/>
    <w:rsid w:val="00EB4E21"/>
    <w:rsid w:val="00EC0513"/>
    <w:rsid w:val="00EC14E4"/>
    <w:rsid w:val="00EC7EB9"/>
    <w:rsid w:val="00ED7E08"/>
    <w:rsid w:val="00EE5FA4"/>
    <w:rsid w:val="00EE7417"/>
    <w:rsid w:val="00EF182B"/>
    <w:rsid w:val="00EF28DD"/>
    <w:rsid w:val="00EF5479"/>
    <w:rsid w:val="00EF7928"/>
    <w:rsid w:val="00F11A98"/>
    <w:rsid w:val="00F166CE"/>
    <w:rsid w:val="00F2762E"/>
    <w:rsid w:val="00F341E6"/>
    <w:rsid w:val="00F351D9"/>
    <w:rsid w:val="00F35CEE"/>
    <w:rsid w:val="00F43934"/>
    <w:rsid w:val="00F715E4"/>
    <w:rsid w:val="00F7678D"/>
    <w:rsid w:val="00F91A2E"/>
    <w:rsid w:val="00F92CD1"/>
    <w:rsid w:val="00FA2530"/>
    <w:rsid w:val="00FA2E4A"/>
    <w:rsid w:val="00FB324E"/>
    <w:rsid w:val="00FB4C13"/>
    <w:rsid w:val="00FB64A0"/>
    <w:rsid w:val="00FB69A7"/>
    <w:rsid w:val="00FB6A65"/>
    <w:rsid w:val="00FB6A89"/>
    <w:rsid w:val="00FC1FD8"/>
    <w:rsid w:val="00FC3721"/>
    <w:rsid w:val="00FC4042"/>
    <w:rsid w:val="00FD775F"/>
    <w:rsid w:val="00FF4492"/>
    <w:rsid w:val="00FF5107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1C761-BDA5-4392-AC52-1CE3B4B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C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A4C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A4C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5A4C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5A4C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5A4C0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5A4C0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A4C01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737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6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F682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F6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F6822"/>
    <w:rPr>
      <w:sz w:val="22"/>
      <w:szCs w:val="22"/>
      <w:lang w:eastAsia="en-US"/>
    </w:rPr>
  </w:style>
  <w:style w:type="character" w:customStyle="1" w:styleId="fontstyle01">
    <w:name w:val="fontstyle01"/>
    <w:rsid w:val="000859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617AE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7F46CE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8537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37A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537A9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37A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537A9"/>
    <w:rPr>
      <w:b/>
      <w:bCs/>
      <w:lang w:eastAsia="en-US"/>
    </w:rPr>
  </w:style>
  <w:style w:type="paragraph" w:customStyle="1" w:styleId="a80">
    <w:name w:val="a8"/>
    <w:basedOn w:val="a"/>
    <w:rsid w:val="00EF7928"/>
    <w:pPr>
      <w:spacing w:after="0" w:line="259" w:lineRule="auto"/>
    </w:pPr>
    <w:rPr>
      <w:rFonts w:ascii="Arial" w:eastAsia="Arial" w:hAnsi="Arial" w:cs="Arial"/>
      <w:lang w:eastAsia="ru-RU"/>
    </w:rPr>
  </w:style>
  <w:style w:type="table" w:styleId="af0">
    <w:name w:val="Table Grid"/>
    <w:basedOn w:val="a1"/>
    <w:uiPriority w:val="39"/>
    <w:rsid w:val="005644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FC1FD8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FC1FD8"/>
    <w:rPr>
      <w:lang w:eastAsia="en-US"/>
    </w:rPr>
  </w:style>
  <w:style w:type="character" w:styleId="af3">
    <w:name w:val="footnote reference"/>
    <w:uiPriority w:val="99"/>
    <w:semiHidden/>
    <w:unhideWhenUsed/>
    <w:rsid w:val="00FC1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FCB9E5094EC2B5C5F9F0AA003C98CBAFE1521D7726EA2A4404314D102B15F84338AF563ED4CF9477CE015FA8667B7BE76BFAD4EF8D401925B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CB9E5094EC2B5C5F9F0AA003C98CBAFE1521D7726EA2A4404314D102B15F85138F75A3DD5D69C73DB570EED23B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136F-EE72-4583-83E0-DDADDB48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4253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28440</CharactersWithSpaces>
  <SharedDoc>false</SharedDoc>
  <HLinks>
    <vt:vector size="48" baseType="variant">
      <vt:variant>
        <vt:i4>7798883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consultantplus://offline/ref=B5FCB9E5094EC2B5C5F9F0AA003C98CBAFE1521D7726EA2A4404314D102B15F84338AF563ED4CB9D7ACE015FA8667B7BE76BFAD4EF8D401925B2J</vt:lpwstr>
      </vt:variant>
      <vt:variant>
        <vt:lpwstr/>
      </vt:variant>
      <vt:variant>
        <vt:i4>7798892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consultantplus://offline/ref=B5FCB9E5094EC2B5C5F9F0AA003C98CBAFE1521D7726EA2A4404314D102B15F84338AF563ED4CB9973CE015FA8667B7BE76BFAD4EF8D401925B2J</vt:lpwstr>
      </vt:variant>
      <vt:variant>
        <vt:lpwstr/>
      </vt:variant>
      <vt:variant>
        <vt:i4>7798881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consultantplus://offline/ref=B5FCB9E5094EC2B5C5F9F0AA003C98CBAFE1521D7726EA2A4404314D102B15F84338AF563ED4CF9477CE015FA8667B7BE76BFAD4EF8D401925B2J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consultantplus://offline/ref=B5FCB9E5094EC2B5C5F9F0AA003C98CBAFE1521D7726EA2A4404314D102B15F85138F75A3DD5D69C73DB570EED23BAJ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consultantplus://offline/ref=B5FCB9E5094EC2B5C5F9F0AA003C98CBAFE1521D7726EA2A4404314D102B15F85138F75A3DD5D69C73DB570EED23BAJ</vt:lpwstr>
      </vt:variant>
      <vt:variant>
        <vt:lpwstr/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Shishova</dc:creator>
  <cp:keywords/>
  <cp:lastModifiedBy>Vladimir</cp:lastModifiedBy>
  <cp:revision>9</cp:revision>
  <cp:lastPrinted>2020-09-24T12:16:00Z</cp:lastPrinted>
  <dcterms:created xsi:type="dcterms:W3CDTF">2026-04-29T11:03:00Z</dcterms:created>
  <dcterms:modified xsi:type="dcterms:W3CDTF">2026-07-01T05:42:00Z</dcterms:modified>
</cp:coreProperties>
</file>