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0" w:right="-13"/>
        <w:jc w:val="center"/>
        <w:rPr>
          <w:b/>
        </w:rPr>
      </w:pPr>
      <w:r>
        <w:rPr>
          <w:b/>
        </w:rPr>
        <w:t>ТЕХНИЧЕСКОЕ ЗАДАНИЕ</w:t>
      </w:r>
    </w:p>
    <w:p>
      <w:pPr>
        <w:pStyle w:val="Normal"/>
        <w:tabs>
          <w:tab w:val="clear" w:pos="708"/>
          <w:tab w:val="left" w:pos="990" w:leader="none"/>
          <w:tab w:val="left" w:pos="9921" w:leader="none"/>
        </w:tabs>
        <w:jc w:val="center"/>
        <w:rPr>
          <w:b/>
          <w:bCs/>
          <w:highlight w:val="none"/>
        </w:rPr>
      </w:pPr>
      <w:r>
        <w:rPr>
          <w:b/>
        </w:rPr>
        <w:t>Оказание услуг по проведению экспертизы технического состояния объектов нефинансовых активов  (с выдачей акта экспертизы) в целях последующего списания имущества.</w:t>
      </w:r>
    </w:p>
    <w:p>
      <w:pPr>
        <w:pStyle w:val="Normal"/>
        <w:tabs>
          <w:tab w:val="clear" w:pos="708"/>
          <w:tab w:val="left" w:pos="990" w:leader="none"/>
          <w:tab w:val="left" w:pos="9921" w:leader="none"/>
        </w:tabs>
        <w:jc w:val="center"/>
        <w:rPr>
          <w:b/>
          <w:bCs/>
        </w:rPr>
      </w:pPr>
      <w:r>
        <w:rPr>
          <w:b/>
          <w:bCs/>
        </w:rPr>
      </w:r>
    </w:p>
    <w:p>
      <w:pPr>
        <w:pStyle w:val="Normal"/>
        <w:tabs>
          <w:tab w:val="clear" w:pos="708"/>
          <w:tab w:val="left" w:pos="990" w:leader="none"/>
          <w:tab w:val="left" w:pos="9921" w:leader="none"/>
        </w:tabs>
        <w:jc w:val="center"/>
        <w:rPr>
          <w:b/>
          <w:bCs/>
        </w:rPr>
      </w:pPr>
      <w:r>
        <w:rPr>
          <w:b/>
          <w:bCs/>
        </w:rPr>
      </w:r>
    </w:p>
    <w:p>
      <w:pPr>
        <w:pStyle w:val="Normal"/>
        <w:spacing w:before="0" w:after="0"/>
        <w:ind w:firstLine="283" w:left="0" w:right="0"/>
        <w:contextualSpacing/>
        <w:jc w:val="both"/>
        <w:rPr>
          <w:sz w:val="22"/>
          <w:szCs w:val="22"/>
          <w:highlight w:val="none"/>
        </w:rPr>
      </w:pPr>
      <w:r>
        <w:rPr>
          <w:b/>
          <w:sz w:val="22"/>
          <w:szCs w:val="22"/>
        </w:rPr>
        <w:t>1. Предмет закупки:</w:t>
      </w:r>
      <w:r>
        <w:rPr>
          <w:sz w:val="22"/>
          <w:szCs w:val="22"/>
        </w:rPr>
        <w:t xml:space="preserve"> </w:t>
      </w:r>
      <w:r>
        <w:rPr>
          <w:rFonts w:eastAsia="Times New Roman" w:cs="Times New Roman"/>
          <w:b w:val="false"/>
          <w:sz w:val="22"/>
          <w:szCs w:val="22"/>
        </w:rPr>
        <w:t xml:space="preserve">Оказание услуг по проведению экспертизы технического состояния объектов нефинансовых активов (с выдачей акта экспертизы) в целях последующего списания имущества. </w:t>
      </w:r>
    </w:p>
    <w:p>
      <w:pPr>
        <w:pStyle w:val="Normal"/>
        <w:spacing w:before="0" w:after="0"/>
        <w:ind w:firstLine="283" w:left="0" w:right="0"/>
        <w:contextualSpacing/>
        <w:jc w:val="both"/>
        <w:rPr>
          <w:sz w:val="22"/>
          <w:szCs w:val="22"/>
          <w:highlight w:val="white"/>
        </w:rPr>
      </w:pPr>
      <w:r>
        <w:rPr>
          <w:rFonts w:eastAsia="Calibri"/>
          <w:b/>
        </w:rPr>
        <w:t xml:space="preserve"> </w:t>
      </w:r>
      <w:r>
        <w:rPr>
          <w:b/>
          <w:sz w:val="22"/>
          <w:szCs w:val="22"/>
        </w:rPr>
        <w:t xml:space="preserve">2. Код по ОКПД: </w:t>
      </w:r>
      <w:r>
        <w:rPr>
          <w:b/>
          <w:sz w:val="22"/>
          <w:szCs w:val="22"/>
          <w:highlight w:val="white"/>
        </w:rPr>
        <w:t>71.20.19.190</w:t>
      </w:r>
    </w:p>
    <w:p>
      <w:pPr>
        <w:pStyle w:val="Normal"/>
        <w:spacing w:before="0" w:after="0"/>
        <w:ind w:firstLine="283" w:left="0" w:right="0"/>
        <w:contextualSpacing/>
        <w:jc w:val="both"/>
        <w:rPr>
          <w:sz w:val="22"/>
          <w:szCs w:val="22"/>
          <w:highlight w:val="none"/>
        </w:rPr>
      </w:pPr>
      <w:r>
        <w:rPr>
          <w:b/>
          <w:sz w:val="22"/>
          <w:szCs w:val="22"/>
        </w:rPr>
        <w:t xml:space="preserve">3. </w:t>
      </w:r>
      <w:r>
        <w:rPr>
          <w:b/>
          <w:bCs/>
          <w:sz w:val="22"/>
          <w:szCs w:val="22"/>
        </w:rPr>
        <w:t>Место оказания услуг</w:t>
      </w:r>
      <w:r>
        <w:rPr>
          <w:b/>
          <w:sz w:val="22"/>
          <w:szCs w:val="22"/>
        </w:rPr>
        <w:t xml:space="preserve">: </w:t>
      </w:r>
      <w:r>
        <w:rPr>
          <w:bCs/>
          <w:sz w:val="22"/>
          <w:szCs w:val="22"/>
        </w:rPr>
        <w:t xml:space="preserve">Россия, </w:t>
      </w:r>
      <w:r>
        <w:rPr>
          <w:sz w:val="22"/>
          <w:szCs w:val="22"/>
        </w:rPr>
        <w:t>Красноярский край, 660021, г. Красноярск, ул. Дубровинского, д. 114, пом. 2.</w:t>
      </w:r>
    </w:p>
    <w:p>
      <w:pPr>
        <w:pStyle w:val="Normal"/>
        <w:spacing w:before="0" w:after="0"/>
        <w:ind w:firstLine="283" w:left="0" w:right="0"/>
        <w:contextualSpacing/>
        <w:jc w:val="both"/>
        <w:rPr>
          <w:sz w:val="22"/>
          <w:szCs w:val="22"/>
          <w:highlight w:val="none"/>
        </w:rPr>
      </w:pPr>
      <w:r>
        <w:rPr>
          <w:b/>
          <w:sz w:val="22"/>
          <w:szCs w:val="22"/>
        </w:rPr>
        <w:t xml:space="preserve">4. </w:t>
      </w:r>
      <w:r>
        <w:rPr>
          <w:rFonts w:eastAsia="Times New Roman" w:cs="Times New Roman"/>
          <w:b/>
          <w:sz w:val="22"/>
          <w:szCs w:val="22"/>
        </w:rPr>
        <w:t>Сроки оказания услуг</w:t>
      </w:r>
      <w:r>
        <w:rPr>
          <w:rFonts w:eastAsia="Times New Roman" w:cs="Times New Roman"/>
          <w:sz w:val="22"/>
          <w:szCs w:val="22"/>
        </w:rPr>
        <w:t>: в течение 10 (десяти) рабочих дней с момента заключения Контракта.</w:t>
      </w:r>
    </w:p>
    <w:p>
      <w:pPr>
        <w:pStyle w:val="Normal"/>
        <w:spacing w:before="0" w:after="0"/>
        <w:ind w:firstLine="283" w:left="0" w:right="0"/>
        <w:contextualSpacing/>
        <w:jc w:val="both"/>
        <w:rPr>
          <w:sz w:val="22"/>
          <w:szCs w:val="22"/>
          <w:highlight w:val="none"/>
        </w:rPr>
      </w:pPr>
      <w:r>
        <w:rPr>
          <w:b/>
          <w:bCs/>
          <w:sz w:val="22"/>
          <w:szCs w:val="22"/>
        </w:rPr>
        <w:t xml:space="preserve">5. </w:t>
      </w:r>
      <w:r>
        <w:rPr>
          <w:rFonts w:eastAsia="Times New Roman" w:cs="Times New Roman"/>
          <w:b/>
          <w:sz w:val="22"/>
          <w:szCs w:val="22"/>
        </w:rPr>
        <w:t>Цель оказания услуг:</w:t>
      </w:r>
      <w:r>
        <w:rPr>
          <w:rFonts w:eastAsia="Times New Roman" w:cs="Times New Roman"/>
          <w:sz w:val="22"/>
          <w:szCs w:val="22"/>
        </w:rPr>
        <w:t xml:space="preserve"> оценка технического состояния оборудования Заказчика на предмет ремонтопригодности и целесообразности его дальнейшей эксплуатации.</w:t>
      </w:r>
    </w:p>
    <w:p>
      <w:pPr>
        <w:pStyle w:val="Normal"/>
        <w:ind w:firstLine="283" w:left="0" w:right="0"/>
        <w:jc w:val="both"/>
        <w:rPr>
          <w:rFonts w:ascii="Times New Roman" w:hAnsi="Times New Roman" w:cs="Times New Roman"/>
          <w:sz w:val="22"/>
          <w:szCs w:val="22"/>
          <w:highlight w:val="none"/>
        </w:rPr>
      </w:pPr>
      <w:r>
        <w:rPr>
          <w:rFonts w:eastAsia="Times New Roman" w:cs="Times New Roman"/>
          <w:b/>
          <w:bCs/>
          <w:sz w:val="22"/>
          <w:szCs w:val="22"/>
        </w:rPr>
        <w:t>6. Объем оказываемых услуг (объектов подлежащих технической экспертизе):</w:t>
      </w:r>
      <w:r>
        <w:rPr>
          <w:rFonts w:eastAsia="Times New Roman" w:cs="Times New Roman"/>
          <w:b w:val="false"/>
          <w:sz w:val="22"/>
          <w:szCs w:val="22"/>
          <w:highlight w:val="white"/>
        </w:rPr>
        <w:t xml:space="preserve"> </w:t>
      </w:r>
      <w:r>
        <w:rPr>
          <w:rFonts w:eastAsia="Times New Roman" w:cs="Times New Roman"/>
          <w:b/>
          <w:bCs/>
          <w:sz w:val="22"/>
          <w:szCs w:val="22"/>
          <w:highlight w:val="white"/>
        </w:rPr>
        <w:t xml:space="preserve">350 </w:t>
      </w:r>
      <w:r>
        <w:rPr>
          <w:rFonts w:eastAsia="Times New Roman" w:cs="Times New Roman"/>
          <w:b w:val="false"/>
          <w:sz w:val="22"/>
          <w:szCs w:val="22"/>
          <w:highlight w:val="white"/>
        </w:rPr>
        <w:t>штук</w:t>
      </w:r>
      <w:r>
        <w:rPr>
          <w:rFonts w:eastAsia="Times New Roman" w:cs="Times New Roman"/>
          <w:b w:val="false"/>
          <w:sz w:val="22"/>
          <w:szCs w:val="22"/>
        </w:rPr>
        <w:t xml:space="preserve"> .</w:t>
      </w:r>
    </w:p>
    <w:p>
      <w:pPr>
        <w:pStyle w:val="Normal"/>
        <w:widowControl/>
        <w:ind w:firstLine="283" w:left="0" w:right="0"/>
        <w:jc w:val="both"/>
        <w:rPr>
          <w:rFonts w:ascii="Times New Roman" w:hAnsi="Times New Roman" w:cs="Times New Roman"/>
          <w:b/>
          <w:sz w:val="25"/>
          <w:szCs w:val="25"/>
        </w:rPr>
      </w:pPr>
      <w:r>
        <w:rPr>
          <w:rFonts w:eastAsia="Times New Roman" w:cs="Times New Roman"/>
          <w:b w:val="false"/>
          <w:bCs w:val="false"/>
          <w:sz w:val="22"/>
          <w:szCs w:val="22"/>
        </w:rPr>
        <w:t xml:space="preserve">Наименование, количество и данные оборудования для проведения экспертизы технического состояния </w:t>
      </w:r>
      <w:r>
        <w:rPr>
          <w:rFonts w:eastAsia="Times New Roman" w:cs="Times New Roman"/>
          <w:sz w:val="22"/>
          <w:szCs w:val="22"/>
        </w:rPr>
        <w:t>приведены в таблице</w:t>
      </w:r>
      <w:r>
        <w:rPr>
          <w:rFonts w:eastAsia="Times New Roman" w:cs="Times New Roman"/>
          <w:b w:val="false"/>
          <w:bCs w:val="false"/>
          <w:sz w:val="22"/>
          <w:szCs w:val="22"/>
        </w:rPr>
        <w:t>:</w:t>
      </w:r>
    </w:p>
    <w:p>
      <w:pPr>
        <w:pStyle w:val="Normal"/>
        <w:ind w:firstLine="708" w:left="0" w:right="0"/>
        <w:jc w:val="both"/>
        <w:rPr>
          <w:b/>
          <w:bCs/>
          <w:highlight w:val="none"/>
        </w:rPr>
      </w:pPr>
      <w:r>
        <w:rPr>
          <w:rFonts w:eastAsia="Calibri"/>
          <w:b/>
        </w:rPr>
        <w:t xml:space="preserve">  </w:t>
      </w:r>
      <w:r>
        <w:rPr>
          <w:rFonts w:eastAsia="Calibri"/>
          <w:b/>
        </w:rPr>
        <w:t>Перечень объектов, подлежащ</w:t>
      </w:r>
      <w:r>
        <w:rPr>
          <w:rFonts w:eastAsia="Calibri"/>
          <w:b/>
        </w:rPr>
        <w:t>их</w:t>
      </w:r>
      <w:r>
        <w:rPr>
          <w:rFonts w:eastAsia="Calibri"/>
          <w:b/>
        </w:rPr>
        <w:t xml:space="preserve"> экспертизе в целях </w:t>
      </w:r>
      <w:r>
        <w:rPr>
          <w:b/>
          <w:bCs/>
        </w:rPr>
        <w:t>последующего списания:</w:t>
      </w:r>
    </w:p>
    <w:tbl>
      <w:tblPr>
        <w:tblW w:w="1002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
        <w:gridCol w:w="4960"/>
        <w:gridCol w:w="1843"/>
        <w:gridCol w:w="992"/>
        <w:gridCol w:w="1560"/>
      </w:tblGrid>
      <w:tr>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w:t>
            </w:r>
          </w:p>
          <w:p>
            <w:pPr>
              <w:pStyle w:val="Normal"/>
              <w:spacing w:before="0" w:after="0"/>
              <w:contextualSpacing/>
              <w:jc w:val="center"/>
              <w:rPr>
                <w:sz w:val="21"/>
                <w:szCs w:val="21"/>
              </w:rPr>
            </w:pPr>
            <w:r>
              <w:rPr>
                <w:sz w:val="21"/>
                <w:szCs w:val="21"/>
              </w:rPr>
              <w:t>пп</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Наименование</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Инвентарный №</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Кол-</w:t>
            </w:r>
          </w:p>
          <w:p>
            <w:pPr>
              <w:pStyle w:val="Normal"/>
              <w:spacing w:before="0" w:after="0"/>
              <w:contextualSpacing/>
              <w:jc w:val="center"/>
              <w:rPr>
                <w:sz w:val="21"/>
                <w:szCs w:val="21"/>
              </w:rPr>
            </w:pPr>
            <w:r>
              <w:rPr>
                <w:sz w:val="21"/>
                <w:szCs w:val="21"/>
              </w:rPr>
              <w:t>во</w:t>
            </w:r>
          </w:p>
          <w:p>
            <w:pPr>
              <w:pStyle w:val="Normal"/>
              <w:spacing w:before="0" w:after="0"/>
              <w:contextualSpacing/>
              <w:jc w:val="center"/>
              <w:rPr>
                <w:sz w:val="21"/>
                <w:szCs w:val="21"/>
              </w:rPr>
            </w:pPr>
            <w:r>
              <w:rPr>
                <w:sz w:val="21"/>
                <w:szCs w:val="21"/>
              </w:rPr>
              <w:t>(шт)</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spacing w:before="0" w:after="0"/>
              <w:contextualSpacing/>
              <w:jc w:val="center"/>
              <w:rPr>
                <w:sz w:val="21"/>
                <w:szCs w:val="21"/>
              </w:rPr>
            </w:pPr>
            <w:r>
              <w:rPr>
                <w:sz w:val="21"/>
                <w:szCs w:val="21"/>
              </w:rPr>
              <w:t>Дата ввода</w:t>
            </w:r>
          </w:p>
        </w:tc>
      </w:tr>
      <w:tr>
        <w:trPr>
          <w:trHeight w:val="242"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A420(JPG,USB)</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1010406594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1010612311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фотоаппарат CANON PowerShot A530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1010406611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1010407278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Panasonic</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1010407632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Диктофон AIWA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1010401373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01.05.2003</w:t>
            </w:r>
          </w:p>
        </w:tc>
      </w:tr>
      <w:tr>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Шарп</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1010400016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Canon PowerShot A460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1010407467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PENTAX OPTIO EGO</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1010404972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721"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1010407053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721"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1010406453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Система подвижных карт</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1010609779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20.12.2006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Видеомагнитофон</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1010407596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1010406457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Canon PowerShot A460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1010407009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Диктофон</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1010403883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диктофон OLYMPUS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Подвижный экран</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1010609754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20.12.2006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фотоаппатат CANON</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1010406744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диктофон OLYMPUS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1010406731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Видеомагнитофон Шарп</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1010400017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1010407516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1010406806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Планшет 2760*2120 карта края зал. переговоров</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1010601115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01.07.2003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ЖК Телевизоры 32 Sony KLV-32S550AR G00160000889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1010407420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1010406781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1010406899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1010406546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диктофон "OLYMPUS VN-120 PC"</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1010407174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1010406512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Сотовый телефон аппарат Nokia X Dual sim</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1013408849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19.12.2014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1010406757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1010406522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1010406498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1010407357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Сотовый телефон Simens А40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1010401171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1010406983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Nikon CoolPix(JPG,10 Mb,USB)</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1010407024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cs="Times New Roman"/>
                <w:sz w:val="22"/>
                <w:szCs w:val="22"/>
              </w:rPr>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1010406769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1010406454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ЖК Телевизоры 32 Sony KLV-32S550AR G00160000889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1010407028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Цифровой фотоаппарат CANON PowerShot A530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1010405638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CANON PowerShot A530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1010406648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Сanon PowerShot A590IS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1010407237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Canon PowerShot A480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1010405552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A530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1010406865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49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1010407213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rFonts w:cs="Times New Roman"/>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МикрофонLogitech USB Desktop Microphone</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i w:val="false"/>
                <w:strike w:val="false"/>
                <w:dstrike w:val="false"/>
                <w:color w:val="000000"/>
                <w:position w:val="0"/>
                <w:sz w:val="22"/>
                <w:sz w:val="22"/>
                <w:szCs w:val="22"/>
                <w:u w:val="none"/>
                <w:vertAlign w:val="baseli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b/>
                <w:bCs/>
                <w:sz w:val="22"/>
                <w:szCs w:val="22"/>
              </w:rPr>
            </w:pPr>
            <w:r>
              <w:rPr>
                <w:rFonts w:eastAsia="Times New Roman" w:cs="Times New Roman"/>
                <w:b/>
                <w:bCs/>
                <w:sz w:val="22"/>
                <w:szCs w:val="22"/>
              </w:rPr>
              <w:t>9</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28.08.2009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Печатная машина Olivetti</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1010612187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01.01.2005</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LG 21Q 92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1010401904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1010406996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цифровой фотоаппарат CANON</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1010406743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Микрофон для магнитофона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i w:val="false"/>
                <w:strike w:val="false"/>
                <w:dstrike w:val="false"/>
                <w:color w:val="000000"/>
                <w:position w:val="0"/>
                <w:sz w:val="22"/>
                <w:sz w:val="22"/>
                <w:szCs w:val="22"/>
                <w:u w:val="none"/>
                <w:vertAlign w:val="baseli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Телевизор Панасоник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1010400019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01.01.1995</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Фотоаппарат Canon PowerShot A430 с зар/уст и к/пам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1010406922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Диктофон Цифровой Ritmi[ RR-150 4 Gb (запись до 68ч)</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i w:val="false"/>
                <w:strike w:val="false"/>
                <w:dstrike w:val="false"/>
                <w:color w:val="000000"/>
                <w:position w:val="0"/>
                <w:sz w:val="22"/>
                <w:sz w:val="22"/>
                <w:szCs w:val="22"/>
                <w:u w:val="none"/>
                <w:vertAlign w:val="baseli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4</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25.05.2018</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59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Видео экран</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1010611694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60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Фотокамера Sony DSC-Y90 Dlack</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1013408722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b w:val="false"/>
                <w:i w:val="false"/>
                <w:i w:val="false"/>
                <w:strike w:val="false"/>
                <w:dstrike w:val="false"/>
                <w:color w:val="000000"/>
                <w:sz w:val="22"/>
                <w:szCs w:val="22"/>
                <w:u w:val="none"/>
              </w:rPr>
            </w:pPr>
            <w:r>
              <w:rPr>
                <w:rFonts w:eastAsia="Times New Roman" w:cs="Times New Roman"/>
                <w:b w:val="false"/>
                <w:i w:val="false"/>
                <w:strike w:val="false"/>
                <w:dstrike w:val="false"/>
                <w:color w:val="000000"/>
                <w:sz w:val="22"/>
                <w:szCs w:val="22"/>
                <w:u w:val="none"/>
              </w:rPr>
              <w:t>61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Планшет</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b w:val="false"/>
                <w:i w:val="false"/>
                <w:strike w:val="false"/>
                <w:dstrike w:val="false"/>
                <w:color w:val="000000"/>
                <w:position w:val="0"/>
                <w:sz w:val="22"/>
                <w:sz w:val="22"/>
                <w:szCs w:val="22"/>
                <w:u w:val="none"/>
                <w:vertAlign w:val="baseline"/>
              </w:rPr>
              <w:t>1010609743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2"/>
                <w:szCs w:val="22"/>
              </w:rPr>
            </w:pPr>
            <w:r>
              <w:rPr>
                <w:rFonts w:eastAsia="Times New Roman" w:cs="Times New Roman"/>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b w:val="false"/>
                <w:i w:val="false"/>
                <w:i w:val="false"/>
                <w:strike w:val="false"/>
                <w:dstrike w:val="false"/>
                <w:color w:val="000000"/>
                <w:sz w:val="22"/>
                <w:szCs w:val="22"/>
                <w:u w:val="none"/>
              </w:rPr>
            </w:pPr>
            <w:r>
              <w:rPr>
                <w:rFonts w:eastAsia="Times New Roman" w:cs="Times New Roman"/>
                <w:b w:val="false"/>
                <w:i w:val="false"/>
                <w:strike w:val="false"/>
                <w:dstrike w:val="false"/>
                <w:color w:val="000000"/>
                <w:sz w:val="22"/>
                <w:szCs w:val="22"/>
                <w:u w:val="none"/>
              </w:rPr>
              <w:t>18.12.2006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Пылесос</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1013600183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10.12.2013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Обогреватель VITESSE VS-887</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16.12.2013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Обогреватель VITESSE VS-873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2</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16.12.2013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Микроволновая печь СВЧ Samsung ME711KR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1013600189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highlight w:val="none"/>
              </w:rPr>
            </w:pPr>
            <w:r>
              <w:rPr>
                <w:sz w:val="22"/>
                <w:szCs w:val="22"/>
              </w:rPr>
              <w:t>16.12.2013</w:t>
            </w:r>
          </w:p>
          <w:p>
            <w:pPr>
              <w:pStyle w:val="Normal"/>
              <w:jc w:val="center"/>
              <w:rPr>
                <w:sz w:val="22"/>
                <w:szCs w:val="22"/>
              </w:rPr>
            </w:pPr>
            <w:r>
              <w:rPr>
                <w:sz w:val="22"/>
                <w:szCs w:val="22"/>
              </w:rPr>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Микроволновая печь СВЧ Samsung ME711KR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1013600192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highlight w:val="none"/>
              </w:rPr>
            </w:pPr>
            <w:r>
              <w:rPr>
                <w:sz w:val="22"/>
                <w:szCs w:val="22"/>
              </w:rPr>
              <w:t>16.12.2013</w:t>
            </w:r>
          </w:p>
          <w:p>
            <w:pPr>
              <w:pStyle w:val="Normal"/>
              <w:jc w:val="center"/>
              <w:rPr>
                <w:sz w:val="22"/>
                <w:szCs w:val="22"/>
              </w:rPr>
            </w:pPr>
            <w:r>
              <w:rPr>
                <w:sz w:val="22"/>
                <w:szCs w:val="22"/>
              </w:rPr>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67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Чайник Bosch TWK 60088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3</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highlight w:val="none"/>
              </w:rPr>
            </w:pPr>
            <w:r>
              <w:rPr>
                <w:sz w:val="22"/>
                <w:szCs w:val="22"/>
              </w:rPr>
              <w:t>16.12.2013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68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Весы электронные</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1010403880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69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Льдогенератор СВ 184</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Мармит EVK-7/В</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1010401188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Мармит вторых блюд ПМЭС 70-60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Мармит первых блюд ПМЭС 70-2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1010401186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Брошюровочная машина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1010406684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Бумагосверлильная машина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26.01.2003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1010401925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1010402103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30.01.2004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79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1010401940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1010401947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1010401948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1010401951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Переплетная машина Velobind VB951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1010402205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26.05.2004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Уничтожитель бумаг HSM 225.2c</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1010401623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Уничтожитель бумаги</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1010401921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25.07.2003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1010405554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89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1010406481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1010406598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1010406986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Шредер Fellowes PS-60,авт.,5,8мм,12лст.,скрепки-ск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1010407455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Счетчик банкнот</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1010400642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15.06.2001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Счетчик купюр LAUREL-700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1010400559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01.01.2001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Кухонная машина УКМ-0.1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30.05.2003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Миксер 5КРМ 50WН</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Мясорубка TS22-FTS136(380B)</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Мукопросеиватель"Каскад"</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99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Пароконвектомат НММ 6/11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Печь MWЗ-245 G В/N</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Печь ХПЭ-500 41нер.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1010401587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Плита эл.</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1010401369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28.04.2003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Плита электрическая ES-47/1 22576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Жарочная поверхность YZ-47/P-L</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1010401196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Приемник Garmin eTrex Legend</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1010407160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Кухонный процессор R 302 Plus/L</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Станок брошюровочно переплетный М168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1010404642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22.08.2007</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Тестомес ТММ-140 с дежой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109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Уничтожитель документов</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1010407634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05.08.2003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Фритюрница 2*5л RF 5DS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Шкаф расстоечный ШРЭ-2.1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1010401378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30.05.2003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Шкаф холодильный 601л.стекл.дверь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Шкаф холодильный S-147</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1010401202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/GASTAR/SP3240A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10.07.2009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ELENBERG FS-4006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6</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ELENBERG FS-4026RC</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6</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POLARIS PSF 40 RC Mobile</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5</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119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Вентилятор Scarlett SC-1178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5</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21.09.2009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Scarlett SC-1167</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GENERAL NY 23 LA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7</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Светильник Camelion KD 017C белый на струбцине</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3</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СВЧ Elenberg MS-1400 M</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СВЧ LG MS 1724 U</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129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24.01.2019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/Gastar/024JI</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/GASTAR/987JD</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ЧАСЫ НАСТЕННЫЕ /GASTAR/M704DM</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Эл.чайник Binatone</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Электр.пишущая машинка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Braun WK210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BRAUN WK 210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02.12.2010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SCARLET SC-1022 сталь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SCARLETT SC-1025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139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Электрочайник SCARLETT SC-1026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31.12.2011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Дрель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Бензокоса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1010611204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08.06.2009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 TITANIUM</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1010609742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12.12.2006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 KRUPS Compact Espresseria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1010611747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Ангел-36DT</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1010609244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22.09.2005</w:t>
            </w:r>
          </w:p>
        </w:tc>
      </w:tr>
      <w:tr>
        <w:trPr>
          <w:trHeight w:val="153"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1010601148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12.04.2004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1010601149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12.04.2004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 CHW-4020 Hot/Gold Sung An</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1010601100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07.05.2003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 EVER COOL AW-2000P(mini)</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1010601099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07.05.2003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149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Кулер водонагреватель "Партнер"SO-501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07.05.2003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 WBF-1000 (серая вставка)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1010611258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01.07.2009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 WBF-210LA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1010611477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13.10.2009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1010611617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21.12.2009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CHW-4020Hot/Gold An(белый)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1010611701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Водонагреватель "Био Фемели"ЦИА-1000S золотой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1010612123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"Гелиос"</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3</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"TESY"</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"Шиваки"</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1010605267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Polaris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1010605321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159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Polaris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1010605322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масляный 9секций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1010605197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масляный 9секций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1010605196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1010611537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17.11.2009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Тонометр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Тонометр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1010605257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Печь "Жарки"</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3</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1010600089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29.04.1999</w:t>
            </w:r>
          </w:p>
        </w:tc>
      </w:tr>
      <w:tr>
        <w:trPr>
          <w:trHeight w:val="212"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1010605908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169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1010605905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1010605909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2</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1010605913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1010605895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1010605890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 DAEWOO 4125G</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1010600275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31.01.2001</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1010605889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Bimatek</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215"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179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Samsung</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b/>
                <w:bCs/>
                <w:sz w:val="22"/>
                <w:szCs w:val="22"/>
              </w:rPr>
              <w:t>4</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для оргтехники ЗМ</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val="false"/>
                <w:bCs w:val="false"/>
                <w:sz w:val="22"/>
                <w:szCs w:val="22"/>
              </w:rPr>
              <w:t>1010611797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Станок сверлильный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1010601025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26.12.2002</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Стенд МН-11 (подставка под пароконвектомату к инв.1010401199)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1010601068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14.01.2003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Сушилка для рук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1010604838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Сушилка для рук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1010605027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Сушилка для рук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1010605026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1010600601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09.01.2002</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1010603245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1010603244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189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1010603242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sz w:val="22"/>
                <w:szCs w:val="22"/>
              </w:rPr>
            </w:pPr>
            <w:r>
              <w:rPr>
                <w:sz w:val="22"/>
                <w:szCs w:val="22"/>
              </w:rPr>
              <w:t>Холодильник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1010609385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12.12.2005</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1010609403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21.12.2005</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Б-523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1010601088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Б-523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1010601086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30.04.2003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Б-523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1010601091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30.04.2003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30.04.2003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Б-6 Дзержинский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1010601095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30.04.2003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Б-6 Кежма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1010601093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199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Б10 Боготол</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1010600680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07.08.2002</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Б10 Лесосибирск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1010600679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07.08.2002</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1010601117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16.07.2003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1010601118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16.07.2003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1010601225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25.08.2004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Бирюса-6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1010601223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25.08.2004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1010601224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25.08.2004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Богучаны</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1010600123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30.10.1999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двухкамерный Stinol</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1010601255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30.11.2004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209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Енисейск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1010600133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01.12.1999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Зеленогорск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28.10.1999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Шушенский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1010600117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27.10.1999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1010611948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1010612282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Чайник Siemens</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2</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Чайник Tefal</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2</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Чайник электрический Scarlett SC 229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b/>
                <w:bCs/>
                <w:sz w:val="22"/>
                <w:szCs w:val="22"/>
              </w:rPr>
            </w:pPr>
            <w:r>
              <w:rPr>
                <w:b/>
                <w:bCs/>
                <w:sz w:val="22"/>
                <w:szCs w:val="22"/>
              </w:rPr>
              <w:t>3</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01.06.2009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Фотоаппарат Цифровая камера Sony SLT-A58 K</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1013408768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14.06.2013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Samsung</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1010611947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219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Машинка полировочная</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1010601123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1010605297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Karcher K-3001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1010601274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1010600585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THOMSON 788511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1010601024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1010611544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Перфоратор SRD-600 Stomer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1010406296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1010600251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1010611536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Машина для сшивания бумаг</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1010401939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229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Karcher K-3001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1010601275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Норильск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1010603238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Холодильник Бирюса 10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1010612387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DELONGI 7009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1010600619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1010606667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Пылесос LG 3312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1010601055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Перфоратор МЕТАВО UHE 22 MULTI</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1010601040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масляный 9секций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1010605248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Кофеварка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1010606666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1010612065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239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Обогреватель масляный De Longhi 771225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1010611539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1010605903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Брошюровщик FELLWES GALAXY-E,электрическая перфора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1010405873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1010605914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sz w:val="22"/>
                <w:szCs w:val="22"/>
              </w:rPr>
            </w:pPr>
            <w:r>
              <w:rPr>
                <w:sz w:val="22"/>
                <w:szCs w:val="22"/>
              </w:rPr>
              <w:t>Радиатор маслянный UFESA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val="false"/>
                <w:i w:val="false"/>
                <w:strike w:val="false"/>
                <w:dstrike w:val="false"/>
                <w:color w:val="000000"/>
                <w:sz w:val="22"/>
                <w:szCs w:val="22"/>
                <w:u w:val="none"/>
              </w:rPr>
              <w:t>1010605225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Сушилка для рук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1010605029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Сушилка для рук</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1010605028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Холодильник Емельяново</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1010600118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Пылесос CONTI-402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1010600302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Пылесос LG 3600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1010605600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249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Перфоратор GBH 2-26 RE 0611251708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1010609365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Поломоечная машина WAP SSE350</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1010600621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Обогреватель масляный De Longhi 771225</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1010611541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Обогреватель масляный DELONGI 7009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1010600620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Микроволновая печь</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1010605917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Косилка DBC 4002829485712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1010600644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Пылесос</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eastAsia="Times New Roman" w:cs="Times New Roman"/>
                <w:b w:val="false"/>
                <w:i w:val="false"/>
                <w:i w:val="false"/>
                <w:strike w:val="false"/>
                <w:dstrike w:val="false"/>
                <w:color w:val="000000"/>
                <w:sz w:val="24"/>
                <w:szCs w:val="24"/>
                <w:u w:val="none"/>
              </w:rPr>
            </w:pPr>
            <w:r>
              <w:rPr>
                <w:rFonts w:eastAsia="Times New Roman" w:cs="Times New Roman"/>
                <w:b/>
                <w:bCs/>
                <w:i w:val="false"/>
                <w:strike w:val="false"/>
                <w:dstrike w:val="false"/>
                <w:color w:val="000000"/>
                <w:sz w:val="22"/>
                <w:szCs w:val="22"/>
                <w:u w:val="none"/>
              </w:rPr>
              <w:t>б/н</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Перфоратор</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1010605870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Радиатор масляный 9секций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1010605247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Печь СВЧ</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1010606069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259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jc w:val="left"/>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Радиатор масляный 9секций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rFonts w:ascii="Times New Roman" w:hAnsi="Times New Roman" w:cs="Times New Roman"/>
                <w:sz w:val="24"/>
                <w:szCs w:val="24"/>
              </w:rPr>
            </w:pPr>
            <w:r>
              <w:rPr>
                <w:rFonts w:eastAsia="Times New Roman" w:cs="Times New Roman"/>
                <w:b w:val="false"/>
                <w:i w:val="false"/>
                <w:strike w:val="false"/>
                <w:dstrike w:val="false"/>
                <w:color w:val="000000"/>
                <w:position w:val="0"/>
                <w:sz w:val="22"/>
                <w:sz w:val="22"/>
                <w:szCs w:val="22"/>
                <w:u w:val="none"/>
                <w:vertAlign w:val="baseline"/>
              </w:rPr>
              <w:t>1010605246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sz w:val="22"/>
                <w:szCs w:val="22"/>
              </w:rPr>
            </w:pPr>
            <w:r>
              <w:rPr>
                <w:sz w:val="22"/>
                <w:szCs w:val="22"/>
              </w:rPr>
              <w:t>-</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Midea MSE-09HR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1010611734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30.04.2010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1010611256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28.07.2009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Toshiba</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1010601135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30.10.2003</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Toshiba RAS-13</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1010606752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31.12.2004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(каб.206)</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1010601211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(каб.214)</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1010601204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pPr>
            <w:r>
              <w:rPr/>
              <w:t>266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(каб.214а)</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1010601203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267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(каб.308)</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1010601208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268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(каб.412)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1010601213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269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(каб.501)</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1010601214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17.08.2004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CS-A18СТР напольно-поталочный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1010601256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30.11.2004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CS-A24BKP/CU-A24BKP настенный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1010601249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30.11.2004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CS-A24BKP/CU-F24BKP настенны</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1010601252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30.11.2004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PANASONIC CS-A34BB4P/CU (каб.109)</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1010601180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06.05.2004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1010609694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1010609695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1010609697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279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1010609735</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1010609734</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1010609733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1010609729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1010609727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1010609726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GC/GU-S 18 HR General climate</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1010610899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10.07.2008</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General ClimateGC/GU - S 18HR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1010610819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23.05.2008</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288</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LG P-08lH колонный</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1010601251</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30.11.2004</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289</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5.3G-R2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1010609702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290</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клим.система  МВ 2.6S-R2</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1010609719</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11.12.2006</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291</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General ClimateGC/GU -S 12 HR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1010610822</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23.05.2008</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292</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кассетного типа General Climate GC/GU-4C48HR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1010611043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24.03.2009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293</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1010611236</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28.07.2009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294</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1010611238</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28.07.2009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295</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Pioneer</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1010611243</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28.07.2009</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296</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LG S07 LHP</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1010612367</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29.02.2008</w:t>
            </w:r>
          </w:p>
        </w:tc>
      </w:tr>
      <w:tr>
        <w:trPr>
          <w:trHeight w:val="58" w:hRule="atLeast"/>
        </w:trPr>
        <w:tc>
          <w:tcPr>
            <w:tcW w:w="67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pPr>
            <w:r>
              <w:rPr/>
              <w:t>297</w:t>
            </w:r>
          </w:p>
        </w:tc>
        <w:tc>
          <w:tcPr>
            <w:tcW w:w="496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rPr>
                <w14:ligatures w14:val="none"/>
              </w:rPr>
            </w:pPr>
            <w:r>
              <w:rPr>
                <w:sz w:val="22"/>
                <w:szCs w:val="22"/>
              </w:rPr>
              <w:t>Кондиционер DAIKIN FT50C/R50C</w:t>
            </w:r>
          </w:p>
        </w:tc>
        <w:tc>
          <w:tcPr>
            <w:tcW w:w="184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1013600030</w:t>
            </w:r>
          </w:p>
        </w:tc>
        <w:tc>
          <w:tcPr>
            <w:tcW w:w="99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14:ligatures w14:val="none"/>
              </w:rPr>
            </w:pPr>
            <w:r>
              <w:rPr>
                <w:sz w:val="22"/>
                <w:szCs w:val="22"/>
              </w:rPr>
              <w:t>1</w:t>
            </w:r>
          </w:p>
        </w:tc>
        <w:tc>
          <w:tcPr>
            <w:tcW w:w="156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14:ligatures w14:val="none"/>
              </w:rPr>
            </w:pPr>
            <w:r>
              <w:rPr>
                <w:sz w:val="22"/>
                <w:szCs w:val="22"/>
              </w:rPr>
              <w:t>25.09.2012</w:t>
            </w:r>
          </w:p>
        </w:tc>
      </w:tr>
    </w:tbl>
    <w:p>
      <w:pPr>
        <w:pStyle w:val="Web"/>
        <w:spacing w:before="0" w:after="0"/>
        <w:ind w:firstLine="283" w:left="0" w:right="0"/>
        <w:jc w:val="both"/>
        <w:rPr>
          <w:rFonts w:ascii="Times New Roman" w:hAnsi="Times New Roman" w:eastAsia="Times New Roman" w:cs="Times New Roman"/>
          <w:b/>
          <w:bCs/>
          <w:sz w:val="22"/>
          <w:szCs w:val="22"/>
          <w:highlight w:val="none"/>
        </w:rPr>
      </w:pPr>
      <w:r>
        <w:rPr>
          <w:rFonts w:eastAsia="Times New Roman" w:cs="Times New Roman" w:ascii="Times New Roman" w:hAnsi="Times New Roman"/>
          <w:b/>
          <w:bCs/>
          <w:sz w:val="22"/>
          <w:szCs w:val="22"/>
        </w:rPr>
      </w:r>
    </w:p>
    <w:p>
      <w:pPr>
        <w:pStyle w:val="Web"/>
        <w:spacing w:before="0" w:after="0"/>
        <w:ind w:firstLine="283" w:left="0" w:right="0"/>
        <w:jc w:val="both"/>
        <w:rPr>
          <w:rFonts w:ascii="Times New Roman" w:hAnsi="Times New Roman" w:eastAsia="Times New Roman" w:cs="Times New Roman"/>
          <w:b/>
          <w:bCs/>
          <w:sz w:val="22"/>
          <w:szCs w:val="22"/>
          <w:highlight w:val="none"/>
        </w:rPr>
      </w:pPr>
      <w:r>
        <w:rPr>
          <w:rFonts w:eastAsia="Times New Roman" w:cs="Times New Roman" w:ascii="Times New Roman" w:hAnsi="Times New Roman"/>
          <w:b/>
          <w:sz w:val="22"/>
          <w:szCs w:val="22"/>
        </w:rPr>
        <w:t>7</w:t>
      </w:r>
      <w:r>
        <w:rPr>
          <w:rFonts w:eastAsia="Times New Roman" w:cs="Times New Roman" w:ascii="Times New Roman" w:hAnsi="Times New Roman"/>
          <w:b/>
          <w:sz w:val="22"/>
          <w:szCs w:val="22"/>
        </w:rPr>
        <w:t xml:space="preserve">. Общие требования по оказанию услуг: </w:t>
      </w:r>
    </w:p>
    <w:p>
      <w:pPr>
        <w:pStyle w:val="Web"/>
        <w:spacing w:before="0" w:after="0"/>
        <w:ind w:firstLine="283" w:left="0" w:right="0"/>
        <w:jc w:val="both"/>
        <w:rPr>
          <w:rFonts w:ascii="Times New Roman" w:hAnsi="Times New Roman" w:cs="Times New Roman"/>
          <w:sz w:val="25"/>
          <w:szCs w:val="25"/>
        </w:rPr>
      </w:pPr>
      <w:r>
        <w:rPr>
          <w:rFonts w:eastAsia="Times New Roman" w:cs="Times New Roman" w:ascii="Times New Roman" w:hAnsi="Times New Roman"/>
          <w:sz w:val="22"/>
          <w:szCs w:val="22"/>
        </w:rPr>
        <w:t>Исполнитель обязан оказать услуги по проведению экспертизы технического состояния объектов.</w:t>
      </w:r>
    </w:p>
    <w:p>
      <w:pPr>
        <w:pStyle w:val="Web"/>
        <w:spacing w:before="0" w:after="0"/>
        <w:ind w:firstLine="283" w:left="0" w:right="0"/>
        <w:jc w:val="both"/>
        <w:rPr>
          <w:rFonts w:ascii="Times New Roman" w:hAnsi="Times New Roman" w:cs="Times New Roman"/>
          <w:b/>
          <w:bCs/>
          <w:sz w:val="25"/>
          <w:szCs w:val="25"/>
        </w:rPr>
      </w:pPr>
      <w:r>
        <w:rPr>
          <w:rFonts w:eastAsia="Times New Roman" w:cs="Times New Roman" w:ascii="Times New Roman" w:hAnsi="Times New Roman"/>
          <w:b/>
          <w:bCs/>
          <w:sz w:val="22"/>
          <w:szCs w:val="22"/>
        </w:rPr>
        <w:t xml:space="preserve">Услуги по Контракту выполняются с выездом специалиста Исполнителя на место оказываемых услуг: </w:t>
      </w:r>
      <w:r>
        <w:rPr>
          <w:rFonts w:eastAsia="Times New Roman" w:cs="Times New Roman" w:ascii="Times New Roman" w:hAnsi="Times New Roman"/>
          <w:bCs/>
          <w:sz w:val="22"/>
          <w:szCs w:val="22"/>
        </w:rPr>
        <w:t xml:space="preserve">Россия, </w:t>
      </w:r>
      <w:r>
        <w:rPr>
          <w:rFonts w:eastAsia="Times New Roman" w:cs="Times New Roman" w:ascii="Times New Roman" w:hAnsi="Times New Roman"/>
          <w:sz w:val="22"/>
          <w:szCs w:val="22"/>
        </w:rPr>
        <w:t>Красноярский край, 660021, г. Красноярск, ул. Дубровинского, д. 114, пом. 2.</w:t>
      </w:r>
    </w:p>
    <w:p>
      <w:pPr>
        <w:pStyle w:val="Web"/>
        <w:spacing w:before="0" w:after="0"/>
        <w:ind w:firstLine="283" w:left="0" w:right="0"/>
        <w:jc w:val="both"/>
        <w:rPr>
          <w:rFonts w:ascii="Times New Roman" w:hAnsi="Times New Roman" w:cs="Times New Roman"/>
          <w:sz w:val="22"/>
          <w:szCs w:val="22"/>
        </w:rPr>
      </w:pPr>
      <w:r>
        <w:rPr>
          <w:rFonts w:ascii="Times New Roman" w:hAnsi="Times New Roman"/>
          <w:sz w:val="22"/>
          <w:szCs w:val="22"/>
        </w:rPr>
        <w:t xml:space="preserve">Оказание услуг осуществляется Исполнителем в рабочие дни: с понедельника по четверг с 08-00 часов до 17-00 часов, пятница с 08-00 часов до 15-45 часов, обед с 12-00 часов до 12-45 часов по местному времени. </w:t>
      </w:r>
    </w:p>
    <w:p>
      <w:pPr>
        <w:pStyle w:val="Web"/>
        <w:spacing w:before="0" w:after="0"/>
        <w:ind w:firstLine="283" w:left="0" w:right="0"/>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После проведения диагностики на каждый объект оборудования должен быть составлен акт технической экспертизы с заключением о ремонтопригодности и целесообразности его дальнейшего использования.  </w:t>
      </w:r>
    </w:p>
    <w:p>
      <w:pPr>
        <w:pStyle w:val="Web"/>
        <w:spacing w:before="0" w:after="0"/>
        <w:ind w:firstLine="283" w:left="0" w:right="0"/>
        <w:jc w:val="both"/>
        <w:rPr>
          <w:rFonts w:ascii="Times New Roman" w:hAnsi="Times New Roman" w:cs="Times New Roman"/>
          <w:sz w:val="22"/>
          <w:szCs w:val="22"/>
        </w:rPr>
      </w:pPr>
      <w:r>
        <w:rPr>
          <w:rFonts w:eastAsia="Times New Roman" w:cs="Times New Roman" w:ascii="Times New Roman" w:hAnsi="Times New Roman"/>
          <w:sz w:val="22"/>
          <w:szCs w:val="22"/>
        </w:rPr>
        <w:t>По завершении работы Исполнитель должен передать Заказчику акты технической экспертизы с содержанием результата оказанных Исполнителем услуг.</w:t>
      </w:r>
    </w:p>
    <w:p>
      <w:pPr>
        <w:pStyle w:val="Normal"/>
        <w:widowControl/>
        <w:ind w:firstLine="283" w:left="0" w:right="0"/>
        <w:jc w:val="both"/>
        <w:rPr>
          <w:rFonts w:ascii="Times New Roman" w:hAnsi="Times New Roman" w:cs="Times New Roman"/>
          <w:sz w:val="25"/>
          <w:szCs w:val="25"/>
        </w:rPr>
      </w:pPr>
      <w:r>
        <w:rPr>
          <w:rFonts w:eastAsia="Times New Roman" w:cs="Times New Roman"/>
          <w:b/>
          <w:sz w:val="22"/>
          <w:szCs w:val="22"/>
        </w:rPr>
        <w:t>8</w:t>
      </w:r>
      <w:r>
        <w:rPr>
          <w:rFonts w:eastAsia="Times New Roman" w:cs="Times New Roman"/>
          <w:b/>
          <w:sz w:val="22"/>
          <w:szCs w:val="22"/>
        </w:rPr>
        <w:t>. Порядок оказания услуг</w:t>
      </w:r>
    </w:p>
    <w:p>
      <w:pPr>
        <w:pStyle w:val="Normal"/>
        <w:ind w:firstLine="283" w:left="0" w:right="0"/>
        <w:jc w:val="both"/>
        <w:rPr>
          <w:rFonts w:ascii="Times New Roman" w:hAnsi="Times New Roman" w:cs="Times New Roman"/>
          <w:sz w:val="25"/>
          <w:szCs w:val="25"/>
        </w:rPr>
      </w:pPr>
      <w:r>
        <w:rPr>
          <w:rFonts w:eastAsia="Times New Roman" w:cs="Times New Roman"/>
          <w:sz w:val="22"/>
          <w:szCs w:val="22"/>
        </w:rPr>
        <w:t>Услуги по проведению экспертизы технического состояния оборудования</w:t>
      </w:r>
      <w:r>
        <w:rPr>
          <w:rStyle w:val="tendersubject1"/>
          <w:rFonts w:eastAsia="Times New Roman" w:cs="Times New Roman"/>
          <w:b w:val="false"/>
          <w:sz w:val="22"/>
          <w:szCs w:val="22"/>
        </w:rPr>
        <w:t xml:space="preserve"> </w:t>
      </w:r>
      <w:r>
        <w:rPr>
          <w:rFonts w:eastAsia="Times New Roman" w:cs="Times New Roman"/>
          <w:sz w:val="22"/>
          <w:szCs w:val="22"/>
        </w:rPr>
        <w:t xml:space="preserve">осуществляются Исполнителем в объеме и в сроки, определенные настоящим Техническим заданием. </w:t>
      </w:r>
    </w:p>
    <w:p>
      <w:pPr>
        <w:pStyle w:val="Normal"/>
        <w:ind w:firstLine="283" w:left="0" w:right="0"/>
        <w:jc w:val="both"/>
        <w:rPr>
          <w:rFonts w:ascii="Times New Roman" w:hAnsi="Times New Roman" w:cs="Times New Roman"/>
          <w:sz w:val="25"/>
          <w:szCs w:val="25"/>
        </w:rPr>
      </w:pPr>
      <w:r>
        <w:rPr>
          <w:rFonts w:eastAsia="Times New Roman" w:cs="Times New Roman"/>
          <w:sz w:val="22"/>
          <w:szCs w:val="22"/>
        </w:rPr>
        <w:t>Исполнитель обеспечивает выполнение всех требований, указанных в разделе «Общие требования» настоящего Технического задания.</w:t>
      </w:r>
    </w:p>
    <w:p>
      <w:pPr>
        <w:pStyle w:val="ConsPlusNormal1"/>
        <w:widowControl/>
        <w:ind w:firstLine="283" w:left="0" w:right="0"/>
        <w:jc w:val="both"/>
        <w:rPr>
          <w:rFonts w:ascii="Times New Roman" w:hAnsi="Times New Roman" w:cs="Times New Roman"/>
          <w:sz w:val="25"/>
          <w:szCs w:val="25"/>
        </w:rPr>
      </w:pPr>
      <w:r>
        <w:rPr>
          <w:rFonts w:eastAsia="Times New Roman" w:cs="Times New Roman" w:ascii="Times New Roman" w:hAnsi="Times New Roman"/>
          <w:sz w:val="22"/>
          <w:szCs w:val="22"/>
        </w:rPr>
        <w:t>В процессе экспертизы должна быть проведена полная диагностика оборудования, направленная на выявление всех дефектов, поломок и повреждений, по причине которых она не может быть использована для дальнейшей работы.</w:t>
      </w:r>
    </w:p>
    <w:p>
      <w:pPr>
        <w:pStyle w:val="Normal"/>
        <w:ind w:firstLine="283" w:left="0" w:right="0"/>
        <w:jc w:val="both"/>
        <w:rPr>
          <w:rFonts w:ascii="Times New Roman" w:hAnsi="Times New Roman" w:cs="Times New Roman"/>
          <w:sz w:val="25"/>
          <w:szCs w:val="25"/>
          <w:highlight w:val="none"/>
        </w:rPr>
      </w:pPr>
      <w:r>
        <w:rPr>
          <w:rFonts w:eastAsia="Times New Roman" w:cs="Times New Roman"/>
          <w:sz w:val="22"/>
          <w:szCs w:val="22"/>
        </w:rPr>
        <w:t>Акт экспертизы технического состояния должен содержать сведения об организации, проводившей экспертизу, основные сведения об объекте экспертизы, должно быть отражено техническое состояние его конкретных узлов, по результатам осмотра должен быть сделан вывод о возможности ремонта и дальнейшей эксплуатации данного объекта, заверенный подписью сотрудника Исполнителя, заключение и рекомендации о целесообразности его ремонта или списания, Ф.И.О., должности сотрудников, составивших Акт, и их подписи, заверенные печатью организации Исполнителя.</w:t>
      </w:r>
    </w:p>
    <w:p>
      <w:pPr>
        <w:pStyle w:val="Normal"/>
        <w:widowControl/>
        <w:ind w:firstLine="283" w:left="0" w:right="0"/>
        <w:rPr>
          <w:rFonts w:ascii="Times New Roman" w:hAnsi="Times New Roman" w:cs="Times New Roman"/>
          <w:b/>
          <w:sz w:val="25"/>
          <w:szCs w:val="25"/>
        </w:rPr>
      </w:pPr>
      <w:r>
        <w:rPr>
          <w:rFonts w:eastAsia="Times New Roman" w:cs="Times New Roman"/>
          <w:b/>
          <w:sz w:val="22"/>
          <w:szCs w:val="22"/>
        </w:rPr>
        <w:t>9.</w:t>
      </w:r>
      <w:r>
        <w:rPr>
          <w:rFonts w:eastAsia="Times New Roman" w:cs="Times New Roman"/>
          <w:b/>
          <w:sz w:val="22"/>
          <w:szCs w:val="22"/>
        </w:rPr>
        <w:t xml:space="preserve"> Гарантии качества услуг</w:t>
      </w:r>
    </w:p>
    <w:p>
      <w:pPr>
        <w:pStyle w:val="Normal"/>
        <w:ind w:firstLine="283" w:left="0" w:right="0"/>
        <w:jc w:val="both"/>
        <w:rPr>
          <w:rFonts w:ascii="Times New Roman" w:hAnsi="Times New Roman" w:eastAsia="Times New Roman" w:cs="Times New Roman"/>
          <w:sz w:val="22"/>
          <w:szCs w:val="22"/>
          <w:highlight w:val="none"/>
        </w:rPr>
      </w:pPr>
      <w:r>
        <w:rPr>
          <w:rFonts w:eastAsia="Times New Roman" w:cs="Times New Roman"/>
          <w:sz w:val="22"/>
          <w:szCs w:val="22"/>
        </w:rPr>
        <w:t>Исполнитель обязан гарантировать качество оказания всех услуг, предусмотренных настоящим Техническим заданием, их соответствие действующим стандартам и техническим регламентам на данный вид услуг.</w:t>
      </w:r>
    </w:p>
    <w:p>
      <w:pPr>
        <w:pStyle w:val="Normal"/>
        <w:ind w:firstLine="283" w:left="0" w:right="0"/>
        <w:jc w:val="both"/>
        <w:rPr>
          <w:rFonts w:ascii="Times New Roman" w:hAnsi="Times New Roman" w:eastAsia="Times New Roman" w:cs="Times New Roman"/>
          <w:sz w:val="22"/>
          <w:szCs w:val="22"/>
          <w:highlight w:val="none"/>
        </w:rPr>
      </w:pPr>
      <w:r>
        <w:rPr>
          <w:rFonts w:eastAsia="Times New Roman" w:cs="Times New Roman"/>
          <w:sz w:val="22"/>
          <w:szCs w:val="22"/>
        </w:rPr>
      </w:r>
    </w:p>
    <w:p>
      <w:pPr>
        <w:pStyle w:val="Normal"/>
        <w:ind w:firstLine="283" w:left="0" w:right="0"/>
        <w:jc w:val="both"/>
        <w:rPr>
          <w:rFonts w:ascii="Times New Roman" w:hAnsi="Times New Roman" w:eastAsia="Times New Roman" w:cs="Times New Roman"/>
          <w:sz w:val="22"/>
          <w:szCs w:val="22"/>
          <w:highlight w:val="none"/>
        </w:rPr>
      </w:pPr>
      <w:r>
        <w:rPr>
          <w:rFonts w:eastAsia="Times New Roman" w:cs="Times New Roman"/>
          <w:sz w:val="22"/>
          <w:szCs w:val="22"/>
        </w:rPr>
      </w:r>
    </w:p>
    <w:p>
      <w:pPr>
        <w:pStyle w:val="Normal"/>
        <w:ind w:firstLine="283" w:left="0" w:right="0"/>
        <w:jc w:val="both"/>
        <w:rPr>
          <w:rFonts w:ascii="Times New Roman" w:hAnsi="Times New Roman" w:eastAsia="Times New Roman" w:cs="Times New Roman"/>
          <w:sz w:val="22"/>
          <w:szCs w:val="22"/>
          <w:highlight w:val="none"/>
        </w:rPr>
      </w:pPr>
      <w:r>
        <w:rPr>
          <w:rFonts w:eastAsia="Times New Roman" w:cs="Times New Roman"/>
          <w:sz w:val="22"/>
          <w:szCs w:val="22"/>
        </w:rPr>
      </w:r>
    </w:p>
    <w:p>
      <w:pPr>
        <w:pStyle w:val="Normal"/>
        <w:ind w:firstLine="283" w:left="0" w:right="0"/>
        <w:jc w:val="both"/>
        <w:rPr>
          <w:rFonts w:ascii="Times New Roman" w:hAnsi="Times New Roman" w:eastAsia="Times New Roman" w:cs="Times New Roman"/>
          <w:sz w:val="22"/>
          <w:szCs w:val="22"/>
          <w:highlight w:val="none"/>
        </w:rPr>
      </w:pPr>
      <w:r>
        <w:rPr>
          <w:rFonts w:eastAsia="Times New Roman" w:cs="Times New Roman"/>
          <w:sz w:val="22"/>
          <w:szCs w:val="22"/>
        </w:rPr>
      </w:r>
    </w:p>
    <w:p>
      <w:pPr>
        <w:pStyle w:val="Normal"/>
        <w:ind w:firstLine="283" w:left="0" w:right="0"/>
        <w:jc w:val="both"/>
        <w:rPr>
          <w:rFonts w:ascii="Times New Roman" w:hAnsi="Times New Roman" w:eastAsia="Times New Roman" w:cs="Times New Roman"/>
          <w:sz w:val="22"/>
          <w:szCs w:val="22"/>
          <w:highlight w:val="none"/>
        </w:rPr>
      </w:pPr>
      <w:r>
        <w:rPr>
          <w:rFonts w:eastAsia="Times New Roman" w:cs="Times New Roman"/>
          <w:sz w:val="22"/>
          <w:szCs w:val="22"/>
        </w:rPr>
      </w:r>
    </w:p>
    <w:p>
      <w:pPr>
        <w:pStyle w:val="Normal"/>
        <w:ind w:firstLine="283" w:left="0" w:right="0"/>
        <w:jc w:val="both"/>
        <w:rPr>
          <w:rFonts w:ascii="Times New Roman" w:hAnsi="Times New Roman" w:eastAsia="Times New Roman" w:cs="Times New Roman"/>
          <w:sz w:val="22"/>
          <w:szCs w:val="22"/>
          <w:highlight w:val="none"/>
        </w:rPr>
      </w:pPr>
      <w:r>
        <w:rPr>
          <w:rFonts w:eastAsia="Times New Roman" w:cs="Times New Roman"/>
          <w:sz w:val="22"/>
          <w:szCs w:val="22"/>
        </w:rPr>
      </w:r>
    </w:p>
    <w:p>
      <w:pPr>
        <w:pStyle w:val="Normal"/>
        <w:ind w:firstLine="283" w:left="0" w:right="0"/>
        <w:jc w:val="both"/>
        <w:rPr>
          <w:rFonts w:ascii="Times New Roman" w:hAnsi="Times New Roman" w:eastAsia="Times New Roman" w:cs="Times New Roman"/>
          <w:sz w:val="22"/>
          <w:szCs w:val="22"/>
          <w:highlight w:val="none"/>
        </w:rPr>
      </w:pPr>
      <w:r>
        <w:rPr/>
      </w:r>
    </w:p>
    <w:sectPr>
      <w:headerReference w:type="even" r:id="rId2"/>
      <w:headerReference w:type="default" r:id="rId3"/>
      <w:headerReference w:type="first" r:id="rId4"/>
      <w:type w:val="nextPage"/>
      <w:pgSz w:w="11906" w:h="16838"/>
      <w:pgMar w:left="1135" w:right="850" w:gutter="0" w:header="708" w:top="765" w:footer="0" w:bottom="124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roman"/>
    <w:pitch w:val="default"/>
  </w:font>
  <w:font w:name="Consultant">
    <w:charset w:val="01"/>
    <w:family w:val="roman"/>
    <w:pitch w:val="default"/>
  </w:font>
  <w:font w:name="Tahoma">
    <w:charset w:val="01"/>
    <w:family w:val="roman"/>
    <w:pitch w:val="default"/>
  </w:font>
  <w:font w:name="PT Astra Serif">
    <w:charset w:val="01"/>
    <w:family w:val="roman"/>
    <w:pitch w:val="default"/>
  </w:font>
  <w:font w:name="Courier New">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sz w:val="24"/>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ind w:hanging="0" w:left="0" w:right="0"/>
      <w:jc w:val="left"/>
    </w:pPr>
    <w:rPr>
      <w:rFonts w:eastAsia="Times New Roman" w:ascii="Times New Roman" w:hAnsi="Times New Roman" w:cs="Times New Roman"/>
      <w:color w:val="auto"/>
      <w:kern w:val="0"/>
      <w:sz w:val="24"/>
      <w:szCs w:val="24"/>
      <w:lang w:eastAsia="ru-RU" w:val="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EndnoteTextChar" w:customStyle="1">
    <w:name w:val="Endnote Text Char"/>
    <w:uiPriority w:val="99"/>
    <w:qFormat/>
    <w:rPr>
      <w:sz w:val="20"/>
    </w:rPr>
  </w:style>
  <w:style w:type="character" w:styleId="11" w:customStyle="1">
    <w:name w:val="Заголовок 1 Знак1"/>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21" w:customStyle="1">
    <w:name w:val="Цитата 2 Знак"/>
    <w:uiPriority w:val="29"/>
    <w:qFormat/>
    <w:rPr>
      <w:i/>
    </w:rPr>
  </w:style>
  <w:style w:type="character" w:styleId="Style5" w:customStyle="1">
    <w:name w:val="Выделенная цитата Знак"/>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Hyperlink">
    <w:name w:val="Hyperlink"/>
    <w:uiPriority w:val="99"/>
    <w:unhideWhenUsed/>
    <w:rPr>
      <w:color w:themeColor="hyperlink" w:val="0000FF"/>
      <w:u w:val="single"/>
    </w:rPr>
  </w:style>
  <w:style w:type="character" w:styleId="FootnoteTextChar" w:customStyle="1">
    <w:name w:val="Footnote Text Char"/>
    <w:uiPriority w:val="99"/>
    <w:qFormat/>
    <w:rPr>
      <w:sz w:val="18"/>
    </w:rPr>
  </w:style>
  <w:style w:type="character" w:styleId="Style6" w:customStyle="1">
    <w:name w:val="Текст концевой сноски Знак"/>
    <w:uiPriority w:val="99"/>
    <w:qFormat/>
    <w:rPr>
      <w:sz w:val="20"/>
    </w:rPr>
  </w:style>
  <w:style w:type="character" w:styleId="Style7">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ConsNormal" w:customStyle="1">
    <w:name w:val="ConsNormal Знак"/>
    <w:qFormat/>
    <w:rPr>
      <w:rFonts w:ascii="Consultant" w:hAnsi="Consultant" w:eastAsia="Arial"/>
      <w:sz w:val="28"/>
      <w:lang w:eastAsia="ar-SA"/>
    </w:rPr>
  </w:style>
  <w:style w:type="character" w:styleId="Style8" w:customStyle="1">
    <w:name w:val="Основной текст Знак"/>
    <w:basedOn w:val="DefaultParagraphFont"/>
    <w:qFormat/>
    <w:rPr>
      <w:rFonts w:eastAsia="Times New Roman"/>
      <w:szCs w:val="20"/>
      <w:lang w:eastAsia="ru-RU"/>
    </w:rPr>
  </w:style>
  <w:style w:type="character" w:styleId="Arial8" w:customStyle="1">
    <w:name w:val="Стиль (латиница) Arial 8 пт Синий"/>
    <w:uiPriority w:val="99"/>
    <w:qFormat/>
    <w:rPr>
      <w:rFonts w:ascii="Times New Roman" w:hAnsi="Times New Roman" w:cs="Times New Roman"/>
      <w:color w:val="0000FF"/>
      <w:sz w:val="24"/>
    </w:rPr>
  </w:style>
  <w:style w:type="character" w:styleId="ConsPlusNormal" w:customStyle="1">
    <w:name w:val="ConsPlusNormal Знак"/>
    <w:uiPriority w:val="99"/>
    <w:qFormat/>
    <w:rPr>
      <w:rFonts w:ascii="Arial" w:hAnsi="Arial" w:eastAsia="Times New Roman" w:cs="Arial"/>
      <w:sz w:val="20"/>
      <w:szCs w:val="20"/>
      <w:lang w:eastAsia="ru-RU"/>
    </w:rPr>
  </w:style>
  <w:style w:type="character" w:styleId="Style9" w:customStyle="1">
    <w:name w:val="Текст выноски Знак"/>
    <w:basedOn w:val="DefaultParagraphFont"/>
    <w:uiPriority w:val="99"/>
    <w:semiHidden/>
    <w:qFormat/>
    <w:rPr>
      <w:rFonts w:ascii="Tahoma" w:hAnsi="Tahoma" w:eastAsia="Times New Roman" w:cs="Tahoma"/>
      <w:sz w:val="16"/>
      <w:szCs w:val="16"/>
      <w:lang w:eastAsia="ru-RU"/>
    </w:rPr>
  </w:style>
  <w:style w:type="character" w:styleId="Style10" w:customStyle="1">
    <w:name w:val="Верхний колонтитул Знак"/>
    <w:basedOn w:val="DefaultParagraphFont"/>
    <w:uiPriority w:val="99"/>
    <w:qFormat/>
    <w:rPr>
      <w:rFonts w:eastAsia="Times New Roman"/>
      <w:szCs w:val="24"/>
      <w:lang w:eastAsia="ru-RU"/>
    </w:rPr>
  </w:style>
  <w:style w:type="character" w:styleId="Style11" w:customStyle="1">
    <w:name w:val="Нижний колонтитул Знак"/>
    <w:basedOn w:val="DefaultParagraphFont"/>
    <w:uiPriority w:val="99"/>
    <w:qFormat/>
    <w:rPr>
      <w:rFonts w:eastAsia="Times New Roman"/>
      <w:szCs w:val="24"/>
      <w:lang w:eastAsia="ru-RU"/>
    </w:rPr>
  </w:style>
  <w:style w:type="character" w:styleId="Style12" w:customStyle="1">
    <w:name w:val="Текст сноски Знак"/>
    <w:basedOn w:val="DefaultParagraphFont"/>
    <w:uiPriority w:val="99"/>
    <w:semiHidden/>
    <w:qFormat/>
    <w:rPr>
      <w:rFonts w:eastAsia="Times New Roman"/>
      <w:sz w:val="20"/>
      <w:szCs w:val="20"/>
      <w:lang w:eastAsia="ru-RU"/>
    </w:rPr>
  </w:style>
  <w:style w:type="character" w:styleId="Style13">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FontStyle13" w:customStyle="1">
    <w:name w:val="Font Style13"/>
    <w:qFormat/>
    <w:rPr>
      <w:rFonts w:ascii="Times New Roman" w:hAnsi="Times New Roman"/>
      <w:sz w:val="26"/>
    </w:rPr>
  </w:style>
  <w:style w:type="character" w:styleId="FontStyle70" w:customStyle="1">
    <w:name w:val="Font Style70"/>
    <w:qFormat/>
    <w:rPr>
      <w:rFonts w:ascii="Times New Roman" w:hAnsi="Times New Roman"/>
      <w:sz w:val="22"/>
    </w:rPr>
  </w:style>
  <w:style w:type="character" w:styleId="29" w:customStyle="1">
    <w:name w:val="Основной текст (2) + 9"/>
    <w:uiPriority w:val="99"/>
    <w:qFormat/>
    <w:rPr>
      <w:rFonts w:ascii="Times New Roman" w:hAnsi="Times New Roman"/>
      <w:color w:val="000000"/>
      <w:spacing w:val="0"/>
      <w:sz w:val="19"/>
      <w:u w:val="none"/>
      <w:lang w:val="ru-RU" w:eastAsia="ru-RU"/>
    </w:rPr>
  </w:style>
  <w:style w:type="character" w:styleId="Style14" w:customStyle="1">
    <w:name w:val="Обычный (веб) Знак"/>
    <w:uiPriority w:val="99"/>
    <w:qFormat/>
    <w:rPr>
      <w:rFonts w:eastAsia="Times New Roman"/>
      <w:szCs w:val="24"/>
      <w:lang w:eastAsia="ru-RU"/>
    </w:rPr>
  </w:style>
  <w:style w:type="character" w:styleId="ListParagraphChar" w:customStyle="1">
    <w:name w:val="List Paragraph Char"/>
    <w:qFormat/>
    <w:rPr>
      <w:szCs w:val="24"/>
    </w:rPr>
  </w:style>
  <w:style w:type="character" w:styleId="22" w:customStyle="1">
    <w:name w:val="Основной текст 2 Знак"/>
    <w:basedOn w:val="DefaultParagraphFont"/>
    <w:uiPriority w:val="99"/>
    <w:semiHidden/>
    <w:qFormat/>
    <w:rPr>
      <w:rFonts w:eastAsia="Times New Roman"/>
      <w:szCs w:val="24"/>
      <w:lang w:eastAsia="ru-RU"/>
    </w:rPr>
  </w:style>
  <w:style w:type="character" w:styleId="Style15" w:customStyle="1">
    <w:name w:val="Абзац списка Знак"/>
    <w:uiPriority w:val="34"/>
    <w:qFormat/>
    <w:rPr>
      <w:rFonts w:eastAsia="Times New Roman"/>
      <w:szCs w:val="24"/>
      <w:lang w:eastAsia="ru-RU"/>
    </w:rPr>
  </w:style>
  <w:style w:type="character" w:styleId="Style16" w:customStyle="1">
    <w:name w:val="Основной текст_"/>
    <w:basedOn w:val="DefaultParagraphFont"/>
    <w:qFormat/>
    <w:rPr>
      <w:sz w:val="34"/>
      <w:szCs w:val="34"/>
      <w:shd w:fill="FFFFFF" w:val="clear"/>
    </w:rPr>
  </w:style>
  <w:style w:type="character" w:styleId="1" w:customStyle="1">
    <w:name w:val="Заголовок 1 Знак"/>
    <w:qFormat/>
    <w:rPr>
      <w:b/>
      <w:bCs/>
      <w:sz w:val="36"/>
      <w:szCs w:val="36"/>
      <w:lang w:val="ru-RU"/>
    </w:rPr>
  </w:style>
  <w:style w:type="character" w:styleId="Style17" w:customStyle="1">
    <w:name w:val="Подзаголовок Знак"/>
    <w:basedOn w:val="DefaultParagraphFont"/>
    <w:qFormat/>
    <w:rPr>
      <w:rFonts w:eastAsia="Times New Roman"/>
      <w:b/>
      <w:bCs/>
      <w:szCs w:val="24"/>
      <w:lang w:eastAsia="ru-RU"/>
    </w:rPr>
  </w:style>
  <w:style w:type="character" w:styleId="Style18" w:customStyle="1">
    <w:name w:val="Название Знак"/>
    <w:basedOn w:val="DefaultParagraphFont"/>
    <w:qFormat/>
    <w:rPr>
      <w:rFonts w:eastAsia="Times New Roman"/>
      <w:b/>
      <w:bCs/>
      <w:szCs w:val="24"/>
      <w:lang w:eastAsia="ru-RU"/>
    </w:rPr>
  </w:style>
  <w:style w:type="character" w:styleId="12" w:customStyle="1">
    <w:name w:val="Строгий1"/>
    <w:uiPriority w:val="22"/>
    <w:qFormat/>
    <w:rPr>
      <w:b/>
      <w:bCs/>
    </w:rPr>
  </w:style>
  <w:style w:type="character" w:styleId="tendersubject1" w:customStyle="1">
    <w:name w:val="tendersubject1"/>
    <w:qFormat/>
    <w:rPr>
      <w:b/>
      <w:sz w:val="20"/>
    </w:rPr>
  </w:style>
  <w:style w:type="paragraph" w:styleId="Style19">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unhideWhenUsed/>
    <w:pPr>
      <w:spacing w:before="0" w:after="120"/>
      <w:jc w:val="both"/>
    </w:pPr>
    <w:rPr>
      <w:szCs w:val="20"/>
    </w:rPr>
  </w:style>
  <w:style w:type="paragraph" w:styleId="List">
    <w:name w:val="List"/>
    <w:basedOn w:val="BodyText"/>
    <w:semiHidden/>
    <w:unhideWhenUsed/>
    <w:pPr>
      <w:jc w:val="left"/>
    </w:pPr>
    <w:rPr>
      <w:rFonts w:cs="Calibri"/>
      <w:szCs w:val="24"/>
      <w:lang w:eastAsia="ar-SA"/>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NoSpacing">
    <w:name w:val="No Spacing"/>
    <w:uiPriority w:val="1"/>
    <w:qFormat/>
    <w:pPr>
      <w:widowControl/>
      <w:bidi w:val="0"/>
      <w:spacing w:before="0" w:after="0"/>
      <w:ind w:firstLine="709" w:left="0" w:right="0"/>
      <w:jc w:val="both"/>
    </w:pPr>
    <w:rPr>
      <w:rFonts w:ascii="Times New Roman" w:hAnsi="Times New Roman" w:eastAsia="Calibri" w:cs="Times New Roman" w:eastAsiaTheme="minorHAnsi"/>
      <w:color w:val="auto"/>
      <w:kern w:val="0"/>
      <w:sz w:val="24"/>
      <w:szCs w:val="22"/>
      <w:lang w:val="ru-RU" w:eastAsia="en-US" w:bidi="ar-SA"/>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EndnoteText">
    <w:name w:val="endnote text"/>
    <w:basedOn w:val="Normal"/>
    <w:uiPriority w:val="99"/>
    <w:semiHidden/>
    <w:unhideWhenUsed/>
    <w:pPr/>
    <w:rPr>
      <w:sz w:val="20"/>
    </w:rPr>
  </w:style>
  <w:style w:type="paragraph" w:styleId="TOC1">
    <w:name w:val="toc 1"/>
    <w:basedOn w:val="Normal"/>
    <w:uiPriority w:val="39"/>
    <w:unhideWhenUsed/>
    <w:pPr>
      <w:spacing w:before="0" w:after="57"/>
    </w:pPr>
    <w:rPr/>
  </w:style>
  <w:style w:type="paragraph" w:styleId="TOC2">
    <w:name w:val="toc 2"/>
    <w:basedOn w:val="Normal"/>
    <w:uiPriority w:val="39"/>
    <w:unhideWhenUsed/>
    <w:pPr>
      <w:spacing w:before="0" w:after="57"/>
      <w:ind w:left="283"/>
    </w:pPr>
    <w:rPr/>
  </w:style>
  <w:style w:type="paragraph" w:styleId="TOC3">
    <w:name w:val="toc 3"/>
    <w:basedOn w:val="Normal"/>
    <w:uiPriority w:val="39"/>
    <w:unhideWhenUsed/>
    <w:pPr>
      <w:spacing w:before="0" w:after="57"/>
      <w:ind w:left="567"/>
    </w:pPr>
    <w:rPr/>
  </w:style>
  <w:style w:type="paragraph" w:styleId="TOC4">
    <w:name w:val="toc 4"/>
    <w:basedOn w:val="Normal"/>
    <w:uiPriority w:val="39"/>
    <w:unhideWhenUsed/>
    <w:pPr>
      <w:spacing w:before="0" w:after="57"/>
      <w:ind w:left="850"/>
    </w:pPr>
    <w:rPr/>
  </w:style>
  <w:style w:type="paragraph" w:styleId="TOC5">
    <w:name w:val="toc 5"/>
    <w:basedOn w:val="Normal"/>
    <w:uiPriority w:val="39"/>
    <w:unhideWhenUsed/>
    <w:pPr>
      <w:spacing w:before="0" w:after="57"/>
      <w:ind w:left="1134"/>
    </w:pPr>
    <w:rPr/>
  </w:style>
  <w:style w:type="paragraph" w:styleId="TOC6">
    <w:name w:val="toc 6"/>
    <w:basedOn w:val="Normal"/>
    <w:uiPriority w:val="39"/>
    <w:unhideWhenUsed/>
    <w:pPr>
      <w:spacing w:before="0" w:after="57"/>
      <w:ind w:left="1417"/>
    </w:pPr>
    <w:rPr/>
  </w:style>
  <w:style w:type="paragraph" w:styleId="TOC7">
    <w:name w:val="toc 7"/>
    <w:basedOn w:val="Normal"/>
    <w:uiPriority w:val="39"/>
    <w:unhideWhenUsed/>
    <w:pPr>
      <w:spacing w:before="0" w:after="57"/>
      <w:ind w:left="1701"/>
    </w:pPr>
    <w:rPr/>
  </w:style>
  <w:style w:type="paragraph" w:styleId="TOC8">
    <w:name w:val="toc 8"/>
    <w:basedOn w:val="Normal"/>
    <w:uiPriority w:val="39"/>
    <w:unhideWhenUsed/>
    <w:pPr>
      <w:spacing w:before="0" w:after="57"/>
      <w:ind w:left="1984"/>
    </w:pPr>
    <w:rPr/>
  </w:style>
  <w:style w:type="paragraph" w:styleId="TOC9">
    <w:name w:val="toc 9"/>
    <w:basedOn w:val="Normal"/>
    <w:uiPriority w:val="39"/>
    <w:unhideWhenUsed/>
    <w:pPr>
      <w:spacing w:before="0" w:after="57"/>
      <w:ind w:left="2268"/>
    </w:pPr>
    <w:rPr/>
  </w:style>
  <w:style w:type="paragraph" w:styleId="IndexHeading">
    <w:name w:val="index heading"/>
    <w:basedOn w:val="Style19"/>
    <w:pPr/>
    <w:rPr/>
  </w:style>
  <w:style w:type="paragraph" w:styleId="TOCHeading">
    <w:name w:val="TOC Heading"/>
    <w:uiPriority w:val="39"/>
    <w:unhideWhenUsed/>
    <w:qFormat/>
    <w:pPr>
      <w:widowControl/>
      <w:bidi w:val="0"/>
      <w:spacing w:before="0" w:after="0"/>
      <w:ind w:firstLine="709" w:left="0" w:right="0"/>
      <w:jc w:val="both"/>
    </w:pPr>
    <w:rPr>
      <w:rFonts w:ascii="Times New Roman" w:hAnsi="Times New Roman" w:eastAsia="Calibri" w:cs="Times New Roman" w:eastAsiaTheme="minorHAnsi"/>
      <w:color w:val="auto"/>
      <w:kern w:val="0"/>
      <w:sz w:val="24"/>
      <w:szCs w:val="22"/>
      <w:lang w:val="ru-RU" w:eastAsia="en-US" w:bidi="ar-SA"/>
    </w:rPr>
  </w:style>
  <w:style w:type="paragraph" w:styleId="TableofFigures">
    <w:name w:val="table of figures"/>
    <w:basedOn w:val="Normal"/>
    <w:uiPriority w:val="99"/>
    <w:unhideWhenUsed/>
    <w:pPr/>
    <w:rPr/>
  </w:style>
  <w:style w:type="paragraph" w:styleId="ListParagraph">
    <w:name w:val="List Paragraph"/>
    <w:basedOn w:val="Normal"/>
    <w:uiPriority w:val="34"/>
    <w:qFormat/>
    <w:pPr>
      <w:spacing w:before="0" w:after="0"/>
      <w:ind w:left="720"/>
      <w:contextualSpacing/>
    </w:pPr>
    <w:rPr/>
  </w:style>
  <w:style w:type="paragraph" w:styleId="ConsPlusNormal1" w:customStyle="1">
    <w:name w:val="ConsPlusNormal"/>
    <w:uiPriority w:val="99"/>
    <w:qFormat/>
    <w:pPr>
      <w:widowControl w:val="false"/>
      <w:bidi w:val="0"/>
      <w:spacing w:before="0" w:after="0"/>
      <w:ind w:firstLine="720" w:left="0" w:right="0"/>
      <w:jc w:val="left"/>
    </w:pPr>
    <w:rPr>
      <w:rFonts w:ascii="Arial" w:hAnsi="Arial" w:eastAsia="Times New Roman" w:cs="Arial"/>
      <w:color w:val="auto"/>
      <w:kern w:val="0"/>
      <w:sz w:val="20"/>
      <w:szCs w:val="20"/>
      <w:lang w:eastAsia="ru-RU" w:val="ru-RU" w:bidi="ar-SA"/>
    </w:rPr>
  </w:style>
  <w:style w:type="paragraph" w:styleId="ConsNonformat" w:customStyle="1">
    <w:name w:val="ConsNonformat"/>
    <w:qFormat/>
    <w:pPr>
      <w:widowControl w:val="false"/>
      <w:bidi w:val="0"/>
      <w:spacing w:before="0" w:after="0"/>
      <w:ind w:hanging="0" w:left="0" w:right="0"/>
      <w:jc w:val="left"/>
    </w:pPr>
    <w:rPr>
      <w:rFonts w:ascii="Courier New" w:hAnsi="Courier New" w:eastAsia="Times New Roman" w:cs="Times New Roman"/>
      <w:color w:val="auto"/>
      <w:kern w:val="0"/>
      <w:sz w:val="20"/>
      <w:szCs w:val="20"/>
      <w:lang w:eastAsia="ru-RU" w:val="ru-RU" w:bidi="ar-SA"/>
    </w:rPr>
  </w:style>
  <w:style w:type="paragraph" w:styleId="ConsNormal1" w:customStyle="1">
    <w:name w:val="ConsNormal"/>
    <w:qFormat/>
    <w:pPr>
      <w:widowControl w:val="false"/>
      <w:bidi w:val="0"/>
      <w:spacing w:before="0" w:after="0"/>
      <w:ind w:firstLine="720" w:left="0" w:right="0"/>
      <w:jc w:val="left"/>
    </w:pPr>
    <w:rPr>
      <w:rFonts w:ascii="Consultant" w:hAnsi="Consultant" w:eastAsia="Arial" w:cs="Times New Roman"/>
      <w:color w:val="auto"/>
      <w:kern w:val="0"/>
      <w:sz w:val="28"/>
      <w:szCs w:val="22"/>
      <w:lang w:eastAsia="ar-SA" w:val="ru-RU" w:bidi="ar-SA"/>
    </w:rPr>
  </w:style>
  <w:style w:type="paragraph" w:styleId="BalloonText">
    <w:name w:val="Balloon Text"/>
    <w:basedOn w:val="Normal"/>
    <w:uiPriority w:val="99"/>
    <w:semiHidden/>
    <w:unhideWhenUsed/>
    <w:qFormat/>
    <w:pPr/>
    <w:rPr>
      <w:rFonts w:ascii="Tahoma" w:hAnsi="Tahoma" w:cs="Tahoma"/>
      <w:sz w:val="16"/>
      <w:szCs w:val="16"/>
    </w:rPr>
  </w:style>
  <w:style w:type="paragraph" w:styleId="Style21">
    <w:name w:val="Колонтитулы"/>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Normal0" w:customStyle="1">
    <w:name w:val="Normal_0"/>
    <w:qFormat/>
    <w:pPr>
      <w:widowControl/>
      <w:bidi w:val="0"/>
      <w:spacing w:before="0" w:after="0"/>
      <w:ind w:hanging="0" w:left="0" w:right="0"/>
      <w:jc w:val="left"/>
    </w:pPr>
    <w:rPr>
      <w:rFonts w:eastAsia="Times New Roman" w:ascii="Times New Roman" w:hAnsi="Times New Roman" w:cs="Times New Roman"/>
      <w:color w:val="auto"/>
      <w:kern w:val="0"/>
      <w:sz w:val="24"/>
      <w:szCs w:val="24"/>
      <w:lang w:eastAsia="ru-RU" w:val="ru-RU" w:bidi="ar-SA"/>
    </w:rPr>
  </w:style>
  <w:style w:type="paragraph" w:styleId="FootnoteText">
    <w:name w:val="footnote text"/>
    <w:basedOn w:val="Normal"/>
    <w:uiPriority w:val="99"/>
    <w:semiHidden/>
    <w:unhideWhenUsed/>
    <w:pPr/>
    <w:rPr>
      <w:sz w:val="20"/>
      <w:szCs w:val="20"/>
    </w:rPr>
  </w:style>
  <w:style w:type="paragraph" w:styleId="TextNormal" w:customStyle="1">
    <w:name w:val="Text Normal"/>
    <w:basedOn w:val="Normal"/>
    <w:qFormat/>
    <w:pPr>
      <w:widowControl w:val="false"/>
      <w:tabs>
        <w:tab w:val="clear" w:pos="708"/>
        <w:tab w:val="left" w:pos="0" w:leader="none"/>
      </w:tabs>
      <w:spacing w:before="0" w:after="120"/>
      <w:ind w:hanging="283" w:left="850" w:right="-1"/>
      <w:jc w:val="both"/>
    </w:pPr>
    <w:rPr>
      <w:rFonts w:ascii="Arial" w:hAnsi="Arial" w:cs="Arial"/>
      <w:sz w:val="22"/>
      <w:szCs w:val="22"/>
    </w:rPr>
  </w:style>
  <w:style w:type="paragraph" w:styleId="Style71" w:customStyle="1">
    <w:name w:val="Style7"/>
    <w:basedOn w:val="Normal"/>
    <w:qFormat/>
    <w:pPr>
      <w:widowControl w:val="false"/>
    </w:pPr>
    <w:rPr>
      <w:rFonts w:eastAsia="Arial" w:eastAsiaTheme="minorEastAsia"/>
    </w:rPr>
  </w:style>
  <w:style w:type="paragraph" w:styleId="Style111" w:customStyle="1">
    <w:name w:val="Style11"/>
    <w:basedOn w:val="Normal"/>
    <w:qFormat/>
    <w:pPr>
      <w:widowControl w:val="false"/>
      <w:spacing w:lineRule="exact" w:line="264"/>
    </w:pPr>
    <w:rPr>
      <w:rFonts w:eastAsia="Arial" w:eastAsiaTheme="minorEastAsia"/>
      <w:lang w:eastAsia="hi-IN" w:bidi="hi-IN"/>
    </w:rPr>
  </w:style>
  <w:style w:type="paragraph" w:styleId="NormalWeb">
    <w:name w:val="Normal (Web)"/>
    <w:basedOn w:val="Normal"/>
    <w:uiPriority w:val="99"/>
    <w:qFormat/>
    <w:pPr>
      <w:spacing w:beforeAutospacing="1" w:afterAutospacing="1"/>
    </w:pPr>
    <w:rPr/>
  </w:style>
  <w:style w:type="paragraph" w:styleId="13" w:customStyle="1">
    <w:name w:val="Абзац списка1"/>
    <w:basedOn w:val="Normal"/>
    <w:qFormat/>
    <w:pPr>
      <w:spacing w:before="0" w:after="0"/>
      <w:ind w:left="720"/>
      <w:contextualSpacing/>
    </w:pPr>
    <w:rPr>
      <w:rFonts w:eastAsia="Calibri" w:eastAsiaTheme="minorHAnsi"/>
      <w:lang w:eastAsia="en-US"/>
    </w:rPr>
  </w:style>
  <w:style w:type="paragraph" w:styleId="BodyText2">
    <w:name w:val="Body Text 2"/>
    <w:basedOn w:val="Normal"/>
    <w:uiPriority w:val="99"/>
    <w:semiHidden/>
    <w:unhideWhenUsed/>
    <w:qFormat/>
    <w:pPr>
      <w:spacing w:lineRule="auto" w:line="480" w:before="0" w:after="120"/>
    </w:pPr>
    <w:rPr/>
  </w:style>
  <w:style w:type="paragraph" w:styleId="Style81" w:customStyle="1">
    <w:name w:val="Style8"/>
    <w:basedOn w:val="Normal"/>
    <w:qFormat/>
    <w:pPr>
      <w:widowControl w:val="false"/>
      <w:spacing w:lineRule="exact" w:line="314"/>
      <w:ind w:firstLine="716"/>
      <w:jc w:val="both"/>
    </w:pPr>
    <w:rPr/>
  </w:style>
  <w:style w:type="paragraph" w:styleId="14" w:customStyle="1">
    <w:name w:val="Основной текст1"/>
    <w:basedOn w:val="Normal"/>
    <w:qFormat/>
    <w:pPr>
      <w:shd w:val="clear" w:color="auto" w:fill="FFFFFF"/>
      <w:spacing w:lineRule="atLeast" w:line="0"/>
    </w:pPr>
    <w:rPr>
      <w:rFonts w:eastAsia="Calibri" w:eastAsiaTheme="minorHAnsi"/>
      <w:sz w:val="34"/>
      <w:szCs w:val="34"/>
      <w:lang w:eastAsia="en-US"/>
    </w:rPr>
  </w:style>
  <w:style w:type="paragraph" w:styleId="Style22" w:customStyle="1">
    <w:name w:val="Условия контракта"/>
    <w:basedOn w:val="Normal"/>
    <w:qFormat/>
    <w:pPr>
      <w:tabs>
        <w:tab w:val="clear" w:pos="708"/>
        <w:tab w:val="left" w:pos="567" w:leader="none"/>
      </w:tabs>
      <w:spacing w:before="240" w:after="120"/>
      <w:ind w:hanging="567" w:left="567"/>
      <w:jc w:val="both"/>
    </w:pPr>
    <w:rPr>
      <w:rFonts w:ascii="Arial" w:hAnsi="Arial" w:eastAsia="Arial" w:cs="Mangal"/>
      <w:b/>
      <w:szCs w:val="20"/>
      <w:lang w:eastAsia="hi-IN" w:bidi="hi-IN"/>
    </w:rPr>
  </w:style>
  <w:style w:type="paragraph" w:styleId="Subtitle">
    <w:name w:val="Subtitle"/>
    <w:basedOn w:val="Normal"/>
    <w:qFormat/>
    <w:pPr>
      <w:spacing w:lineRule="auto" w:line="360" w:before="0" w:after="60"/>
      <w:jc w:val="center"/>
    </w:pPr>
    <w:rPr>
      <w:b/>
      <w:bCs/>
    </w:rPr>
  </w:style>
  <w:style w:type="paragraph" w:styleId="Title">
    <w:name w:val="Title"/>
    <w:basedOn w:val="Normal"/>
    <w:qFormat/>
    <w:pPr>
      <w:jc w:val="center"/>
    </w:pPr>
    <w:rPr>
      <w:b/>
      <w:bCs/>
    </w:rPr>
  </w:style>
  <w:style w:type="paragraph" w:styleId="Web" w:customStyle="1">
    <w:name w:val="Обычный (Web)"/>
    <w:qFormat/>
    <w:pPr>
      <w:keepNext w:val="false"/>
      <w:keepLines w:val="false"/>
      <w:pageBreakBefore w:val="false"/>
      <w:widowControl/>
      <w:pBdr/>
      <w:shd w:val="nil"/>
      <w:bidi w:val="0"/>
      <w:spacing w:lineRule="auto" w:line="240" w:beforeAutospacing="0" w:before="100" w:afterAutospacing="0" w:after="100"/>
      <w:ind w:hanging="0" w:left="0" w:right="0"/>
      <w:jc w:val="left"/>
    </w:pPr>
    <w:rPr>
      <w:rFonts w:ascii="Arial" w:hAnsi="Arial" w:eastAsia="Times New Roman" w:cs="Times New Roman"/>
      <w:b w:val="false"/>
      <w:bCs w:val="false"/>
      <w:i w:val="false"/>
      <w:iCs w:val="false"/>
      <w:caps w:val="false"/>
      <w:smallCaps w:val="false"/>
      <w:strike w:val="false"/>
      <w:dstrike w:val="false"/>
      <w:vanish w:val="false"/>
      <w:color w:val="auto"/>
      <w:spacing w:val="0"/>
      <w:kern w:val="0"/>
      <w:position w:val="0"/>
      <w:sz w:val="16"/>
      <w:sz w:val="16"/>
      <w:szCs w:val="24"/>
      <w:u w:val="none"/>
      <w:vertAlign w:val="baseline"/>
      <w:lang w:val="ru-RU" w:eastAsia="ru-RU" w:bidi="ar-SA"/>
      <w14:ligatures w14:val="none"/>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Style25"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DEA75-D15B-4B5D-AED1-F97C619A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LibreOffice/25.2.6.2$Linux_X86_64 LibreOffice_project/520$Build-2</Application>
  <AppVersion>15.0000</AppVersion>
  <Pages>8</Pages>
  <Words>2572</Words>
  <Characters>16404</Characters>
  <CharactersWithSpaces>17500</CharactersWithSpaces>
  <Paragraphs>1514</Paragraphs>
  <Company>gzakaz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2026-04-23T04:38:00Z</dcterms:created>
  <dc:creator>gz29</dc:creator>
  <dc:description/>
  <dc:language>ru-RU</dc:language>
  <cp:lastModifiedBy/>
  <dcterms:modified xsi:type="dcterms:W3CDTF">2026-08-03T14:09:51Z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