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widowControl w:val="false"/>
        <w:shd w:val="clear" w:fill="FFFFFF"/>
        <w:tabs>
          <w:tab w:val="clear" w:pos="720"/>
          <w:tab w:val="left" w:pos="0" w:leader="none"/>
          <w:tab w:val="left" w:pos="851" w:leader="none"/>
          <w:tab w:val="left" w:pos="993" w:leader="none"/>
        </w:tabs>
        <w:spacing w:before="0" w:after="0"/>
        <w:ind w:left="567" w:right="0" w:hanging="0"/>
        <w:jc w:val="right"/>
        <w:rPr>
          <w:rFonts w:ascii="Times New Roman" w:hAnsi="Times New Roman" w:cs="Times New Roman"/>
          <w:b/>
          <w:bCs/>
        </w:rPr>
      </w:pPr>
      <w:r>
        <w:rPr>
          <w:rFonts w:cs="Times New Roman"/>
          <w:b/>
          <w:bCs/>
        </w:rPr>
        <w:t xml:space="preserve">Приложение № 1 </w:t>
      </w:r>
    </w:p>
    <w:p>
      <w:pPr>
        <w:pStyle w:val="Normal"/>
        <w:widowControl w:val="false"/>
        <w:shd w:val="clear" w:fill="FFFFFF"/>
        <w:tabs>
          <w:tab w:val="clear" w:pos="720"/>
          <w:tab w:val="left" w:pos="0" w:leader="none"/>
          <w:tab w:val="left" w:pos="851" w:leader="none"/>
          <w:tab w:val="left" w:pos="993" w:leader="none"/>
        </w:tabs>
        <w:spacing w:before="0" w:after="0"/>
        <w:ind w:left="567" w:right="0" w:hanging="0"/>
        <w:jc w:val="right"/>
        <w:rPr>
          <w:sz w:val="22"/>
          <w:szCs w:val="22"/>
        </w:rPr>
      </w:pPr>
      <w:r>
        <w:rPr>
          <w:rFonts w:cs="Times New Roman"/>
          <w:b/>
          <w:bCs/>
          <w:sz w:val="22"/>
          <w:szCs w:val="22"/>
        </w:rPr>
        <w:t>к техническому заданию</w:t>
      </w:r>
    </w:p>
    <w:p>
      <w:pPr>
        <w:pStyle w:val="Standard"/>
        <w:tabs>
          <w:tab w:val="clear" w:pos="720"/>
          <w:tab w:val="left" w:pos="9921" w:leader="none"/>
        </w:tabs>
        <w:spacing w:lineRule="auto" w:line="252"/>
        <w:ind w:firstLine="709"/>
        <w:jc w:val="both"/>
        <w:rPr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 xml:space="preserve">1. </w:t>
      </w:r>
      <w:r>
        <w:rPr>
          <w:rFonts w:cs="Times New Roman" w:ascii="Times New Roman" w:hAnsi="Times New Roman"/>
          <w:bCs/>
          <w:sz w:val="20"/>
          <w:szCs w:val="20"/>
        </w:rPr>
        <w:t>Наименование объекта закупки:</w:t>
      </w:r>
      <w:r>
        <w:rPr>
          <w:rFonts w:cs="Times New Roman" w:ascii="Times New Roman" w:hAnsi="Times New Roman"/>
          <w:b/>
          <w:sz w:val="20"/>
          <w:szCs w:val="20"/>
        </w:rPr>
        <w:t xml:space="preserve"> Го и ЧС  </w:t>
      </w:r>
      <w:r>
        <w:rPr>
          <w:sz w:val="20"/>
          <w:szCs w:val="20"/>
        </w:rPr>
        <w:t xml:space="preserve"> прочие</w:t>
      </w:r>
      <w:r>
        <w:rPr>
          <w:rFonts w:cs="Times New Roman" w:ascii="Times New Roman" w:hAnsi="Times New Roman"/>
          <w:sz w:val="20"/>
          <w:szCs w:val="20"/>
        </w:rPr>
        <w:t xml:space="preserve"> (далее — Товар).</w:t>
      </w:r>
    </w:p>
    <w:p>
      <w:pPr>
        <w:pStyle w:val="Normal"/>
        <w:keepNext w:val="true"/>
        <w:keepLines/>
        <w:tabs>
          <w:tab w:val="clear" w:pos="720"/>
          <w:tab w:val="left" w:pos="851" w:leader="none"/>
          <w:tab w:val="left" w:pos="1021" w:leader="none"/>
        </w:tabs>
        <w:spacing w:before="0" w:after="0"/>
        <w:ind w:firstLine="709"/>
        <w:jc w:val="both"/>
        <w:rPr>
          <w:sz w:val="20"/>
          <w:szCs w:val="20"/>
        </w:rPr>
      </w:pPr>
      <w:r>
        <w:rPr>
          <w:b/>
          <w:sz w:val="20"/>
          <w:szCs w:val="20"/>
        </w:rPr>
        <w:t xml:space="preserve">2. </w:t>
      </w:r>
      <w:r>
        <w:rPr>
          <w:bCs/>
          <w:color w:val="000000"/>
          <w:sz w:val="20"/>
          <w:szCs w:val="20"/>
        </w:rPr>
        <w:t>Требования к отгрузке и доставке Товара:</w:t>
      </w:r>
      <w:r>
        <w:rPr>
          <w:b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 xml:space="preserve">Указанный </w:t>
      </w:r>
      <w:bookmarkStart w:id="0" w:name="_Hlk191452995"/>
      <w:r>
        <w:rPr>
          <w:color w:val="000000"/>
          <w:sz w:val="20"/>
          <w:szCs w:val="20"/>
        </w:rPr>
        <w:t>Товар</w:t>
      </w:r>
      <w:r>
        <w:rPr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 xml:space="preserve">должен быть доставлен </w:t>
      </w:r>
      <w:r>
        <w:rPr>
          <w:sz w:val="20"/>
          <w:szCs w:val="20"/>
        </w:rPr>
        <w:t>по адресу Заказчика:</w:t>
      </w:r>
      <w:r>
        <w:rPr>
          <w:color w:val="000000"/>
          <w:sz w:val="20"/>
          <w:szCs w:val="20"/>
        </w:rPr>
        <w:t xml:space="preserve"> </w:t>
      </w:r>
      <w:r>
        <w:rPr>
          <w:b/>
          <w:color w:val="000000"/>
          <w:sz w:val="20"/>
          <w:szCs w:val="20"/>
        </w:rPr>
        <w:t xml:space="preserve">186326, Республика Карелия, м. р-н Медвежьегорский, </w:t>
      </w:r>
      <w:r>
        <w:rPr>
          <w:b/>
          <w:bCs/>
          <w:spacing w:val="-10"/>
          <w:sz w:val="20"/>
          <w:szCs w:val="20"/>
        </w:rPr>
        <w:t>г.п. Повенецкое,</w:t>
      </w:r>
      <w:r>
        <w:rPr>
          <w:spacing w:val="-10"/>
          <w:sz w:val="20"/>
          <w:szCs w:val="20"/>
        </w:rPr>
        <w:t xml:space="preserve"> </w:t>
      </w:r>
      <w:r>
        <w:rPr>
          <w:b/>
          <w:color w:val="000000"/>
          <w:sz w:val="20"/>
          <w:szCs w:val="20"/>
        </w:rPr>
        <w:t>пгт. Повенец, склад / стройбаза (район шлюза №7)</w:t>
      </w:r>
      <w:r>
        <w:rPr>
          <w:b/>
          <w:color w:val="C00000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 xml:space="preserve">и разгружен за счет Поставщика </w:t>
      </w:r>
      <w:r>
        <w:rPr>
          <w:sz w:val="20"/>
          <w:szCs w:val="20"/>
        </w:rPr>
        <w:t>в помещении, указанном Заказчиком</w:t>
      </w:r>
      <w:r>
        <w:rPr>
          <w:color w:val="000000"/>
          <w:sz w:val="20"/>
          <w:szCs w:val="20"/>
        </w:rPr>
        <w:t xml:space="preserve"> по предварительному с ним согласованию</w:t>
      </w:r>
      <w:bookmarkEnd w:id="0"/>
      <w:r>
        <w:rPr>
          <w:color w:val="000000"/>
          <w:sz w:val="20"/>
          <w:szCs w:val="20"/>
        </w:rPr>
        <w:t>.</w:t>
      </w:r>
    </w:p>
    <w:p>
      <w:pPr>
        <w:pStyle w:val="Normal"/>
        <w:keepNext w:val="true"/>
        <w:keepLines/>
        <w:spacing w:before="0" w:after="0"/>
        <w:ind w:firstLine="709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Порядок погрузки-разгрузки и транспортировки должны исключать возможность механических повреждений поставляемого Товара. </w:t>
      </w:r>
    </w:p>
    <w:p>
      <w:pPr>
        <w:pStyle w:val="Standard"/>
        <w:tabs>
          <w:tab w:val="clear" w:pos="720"/>
          <w:tab w:val="left" w:pos="9921" w:leader="none"/>
        </w:tabs>
        <w:spacing w:lineRule="auto" w:line="252"/>
        <w:ind w:firstLine="709"/>
        <w:jc w:val="both"/>
        <w:rPr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 xml:space="preserve">3. </w:t>
      </w:r>
      <w:r>
        <w:rPr>
          <w:rFonts w:cs="Times New Roman" w:ascii="Times New Roman" w:hAnsi="Times New Roman"/>
          <w:bCs/>
          <w:sz w:val="20"/>
          <w:szCs w:val="20"/>
        </w:rPr>
        <w:t>Сроки поставки товара:</w:t>
      </w:r>
      <w:r>
        <w:rPr>
          <w:rFonts w:cs="Times New Roman" w:ascii="Times New Roman" w:hAnsi="Times New Roman"/>
          <w:sz w:val="20"/>
          <w:szCs w:val="20"/>
        </w:rPr>
        <w:t xml:space="preserve"> </w:t>
      </w:r>
      <w:r>
        <w:rPr>
          <w:rFonts w:cs="Times New Roman" w:ascii="Times New Roman" w:hAnsi="Times New Roman"/>
          <w:bCs/>
          <w:sz w:val="20"/>
          <w:szCs w:val="20"/>
        </w:rPr>
        <w:t xml:space="preserve">не позднее 15 ( пятнадцати) рабочих дней с даты заключения Контракта. </w:t>
      </w:r>
      <w:r>
        <w:rPr>
          <w:rFonts w:cs="Times New Roman" w:ascii="Times New Roman" w:hAnsi="Times New Roman"/>
          <w:sz w:val="20"/>
          <w:szCs w:val="20"/>
        </w:rPr>
        <w:t>Товар принимается в рабочие дни</w:t>
      </w:r>
      <w:r>
        <w:rPr>
          <w:rFonts w:cs="Times New Roman" w:ascii="Times New Roman" w:hAnsi="Times New Roman"/>
          <w:b/>
          <w:bCs/>
          <w:sz w:val="20"/>
          <w:szCs w:val="20"/>
        </w:rPr>
        <w:t xml:space="preserve"> </w:t>
      </w:r>
      <w:r>
        <w:rPr>
          <w:rFonts w:cs="Times New Roman" w:ascii="Times New Roman" w:hAnsi="Times New Roman"/>
          <w:sz w:val="20"/>
          <w:szCs w:val="20"/>
        </w:rPr>
        <w:t>с 8</w:t>
      </w:r>
      <w:r>
        <w:rPr>
          <w:rFonts w:cs="Times New Roman" w:ascii="Times New Roman" w:hAnsi="Times New Roman"/>
          <w:sz w:val="20"/>
          <w:szCs w:val="20"/>
          <w:vertAlign w:val="superscript"/>
        </w:rPr>
        <w:t>00</w:t>
      </w:r>
      <w:r>
        <w:rPr>
          <w:rFonts w:cs="Times New Roman" w:ascii="Times New Roman" w:hAnsi="Times New Roman"/>
          <w:sz w:val="20"/>
          <w:szCs w:val="20"/>
        </w:rPr>
        <w:t xml:space="preserve"> до 16</w:t>
      </w:r>
      <w:r>
        <w:rPr>
          <w:rFonts w:cs="Times New Roman" w:ascii="Times New Roman" w:hAnsi="Times New Roman"/>
          <w:sz w:val="20"/>
          <w:szCs w:val="20"/>
          <w:vertAlign w:val="superscript"/>
        </w:rPr>
        <w:t>15</w:t>
      </w:r>
      <w:r>
        <w:rPr>
          <w:rFonts w:cs="Times New Roman" w:ascii="Times New Roman" w:hAnsi="Times New Roman"/>
          <w:sz w:val="20"/>
          <w:szCs w:val="20"/>
        </w:rPr>
        <w:t>, перерыв с 12</w:t>
      </w:r>
      <w:r>
        <w:rPr>
          <w:rFonts w:cs="Times New Roman" w:ascii="Times New Roman" w:hAnsi="Times New Roman"/>
          <w:sz w:val="20"/>
          <w:szCs w:val="20"/>
          <w:vertAlign w:val="superscript"/>
        </w:rPr>
        <w:t>30</w:t>
      </w:r>
      <w:r>
        <w:rPr>
          <w:rFonts w:cs="Times New Roman" w:ascii="Times New Roman" w:hAnsi="Times New Roman"/>
          <w:sz w:val="20"/>
          <w:szCs w:val="20"/>
        </w:rPr>
        <w:t xml:space="preserve"> до 13</w:t>
      </w:r>
      <w:r>
        <w:rPr>
          <w:rFonts w:cs="Times New Roman" w:ascii="Times New Roman" w:hAnsi="Times New Roman"/>
          <w:sz w:val="20"/>
          <w:szCs w:val="20"/>
          <w:vertAlign w:val="superscript"/>
        </w:rPr>
        <w:t>30</w:t>
      </w:r>
      <w:r>
        <w:rPr>
          <w:rFonts w:cs="Times New Roman" w:ascii="Times New Roman" w:hAnsi="Times New Roman"/>
          <w:sz w:val="20"/>
          <w:szCs w:val="20"/>
        </w:rPr>
        <w:t xml:space="preserve">. </w:t>
      </w:r>
    </w:p>
    <w:p>
      <w:pPr>
        <w:pStyle w:val="Standard"/>
        <w:tabs>
          <w:tab w:val="clear" w:pos="720"/>
          <w:tab w:val="left" w:pos="9921" w:leader="none"/>
        </w:tabs>
        <w:spacing w:lineRule="auto" w:line="252"/>
        <w:ind w:firstLine="709"/>
        <w:jc w:val="both"/>
        <w:rPr>
          <w:sz w:val="20"/>
          <w:szCs w:val="20"/>
        </w:rPr>
      </w:pPr>
      <w:r>
        <w:rPr>
          <w:rFonts w:eastAsia="Times New Roman" w:cs="Times New Roman" w:ascii="Times New Roman" w:hAnsi="Times New Roman"/>
          <w:bCs/>
          <w:sz w:val="20"/>
          <w:szCs w:val="20"/>
          <w:lang w:eastAsia="ru-RU"/>
        </w:rPr>
        <w:t>В случае поставки Товара Заказчику в нерабочее время или выходные/праздничные дни – Товар приниматься не будет.</w:t>
      </w:r>
    </w:p>
    <w:p>
      <w:pPr>
        <w:pStyle w:val="Standard"/>
        <w:tabs>
          <w:tab w:val="clear" w:pos="720"/>
          <w:tab w:val="left" w:pos="9921" w:leader="none"/>
        </w:tabs>
        <w:ind w:firstLine="709"/>
        <w:jc w:val="both"/>
        <w:rPr>
          <w:sz w:val="20"/>
          <w:szCs w:val="20"/>
        </w:rPr>
      </w:pPr>
      <w:r>
        <w:rPr>
          <w:rFonts w:cs="Times New Roman" w:ascii="Times New Roman" w:hAnsi="Times New Roman"/>
          <w:b/>
          <w:bCs/>
          <w:sz w:val="20"/>
          <w:szCs w:val="20"/>
        </w:rPr>
        <w:t xml:space="preserve">4. </w:t>
      </w:r>
      <w:r>
        <w:rPr>
          <w:rFonts w:cs="Times New Roman" w:ascii="Times New Roman" w:hAnsi="Times New Roman"/>
          <w:sz w:val="20"/>
          <w:szCs w:val="20"/>
        </w:rPr>
        <w:t>Функциональные, технические и качественные характеристики, эксплуатационные характеристики объекта закупки:</w:t>
      </w:r>
    </w:p>
    <w:p>
      <w:pPr>
        <w:pStyle w:val="Standard"/>
        <w:tabs>
          <w:tab w:val="clear" w:pos="720"/>
          <w:tab w:val="left" w:pos="9921" w:leader="none"/>
        </w:tabs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tbl>
      <w:tblPr>
        <w:tblW w:w="10200" w:type="dxa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736"/>
        <w:gridCol w:w="8564"/>
        <w:gridCol w:w="900"/>
      </w:tblGrid>
      <w:tr>
        <w:trPr/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yle8"/>
              <w:widowControl w:val="false"/>
              <w:spacing w:before="0" w:after="160"/>
              <w:jc w:val="center"/>
              <w:rPr/>
            </w:pPr>
            <w:r>
              <w:rPr/>
              <w:t>№</w:t>
            </w:r>
          </w:p>
        </w:tc>
        <w:tc>
          <w:tcPr>
            <w:tcW w:w="8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yle8"/>
              <w:widowControl w:val="false"/>
              <w:spacing w:before="0" w:after="160"/>
              <w:jc w:val="center"/>
              <w:rPr/>
            </w:pPr>
            <w:r>
              <w:rPr/>
              <w:t>Наименование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8"/>
              <w:widowControl w:val="false"/>
              <w:spacing w:before="0" w:after="160"/>
              <w:jc w:val="center"/>
              <w:rPr/>
            </w:pPr>
            <w:r>
              <w:rPr/>
              <w:t>кол-во</w:t>
            </w:r>
          </w:p>
        </w:tc>
      </w:tr>
      <w:tr>
        <w:trPr/>
        <w:tc>
          <w:tcPr>
            <w:tcW w:w="73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8"/>
              <w:widowControl w:val="false"/>
              <w:spacing w:before="0" w:after="160"/>
              <w:jc w:val="center"/>
              <w:rPr/>
            </w:pPr>
            <w:r>
              <w:rPr/>
              <w:t>1</w:t>
            </w:r>
          </w:p>
        </w:tc>
        <w:tc>
          <w:tcPr>
            <w:tcW w:w="856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8"/>
              <w:widowControl w:val="false"/>
              <w:spacing w:before="0" w:after="160"/>
              <w:jc w:val="center"/>
              <w:rPr/>
            </w:pPr>
            <w:r>
              <w:rPr/>
              <w:t>Противогаз ГП-9 c маской МПГ-ИЗОД и фильтром ФПК ГП-9кБ-Оптим</w:t>
            </w:r>
          </w:p>
          <w:p>
            <w:pPr>
              <w:pStyle w:val="Style8"/>
              <w:widowControl w:val="false"/>
              <w:spacing w:before="0" w:after="160"/>
              <w:jc w:val="center"/>
              <w:rPr/>
            </w:pPr>
            <w:r>
              <w:rPr/>
              <w:t xml:space="preserve">Либо аналог выпуск противогаза  конец 2025-2026год производства и не менее ГП — 7 . </w:t>
            </w:r>
            <w:r>
              <w:rPr/>
              <w:t>вид противогаза, полумаска.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8"/>
              <w:widowControl w:val="false"/>
              <w:spacing w:before="0" w:after="160"/>
              <w:rPr/>
            </w:pPr>
            <w:r>
              <w:rPr/>
              <w:t>15</w:t>
            </w:r>
          </w:p>
        </w:tc>
      </w:tr>
      <w:tr>
        <w:trPr/>
        <w:tc>
          <w:tcPr>
            <w:tcW w:w="73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8"/>
              <w:widowControl w:val="false"/>
              <w:spacing w:before="0" w:after="160"/>
              <w:jc w:val="center"/>
              <w:rPr/>
            </w:pPr>
            <w:r>
              <w:rPr/>
              <w:t>2</w:t>
            </w:r>
          </w:p>
        </w:tc>
        <w:tc>
          <w:tcPr>
            <w:tcW w:w="856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8"/>
              <w:widowControl w:val="false"/>
              <w:spacing w:before="0" w:after="160"/>
              <w:jc w:val="center"/>
              <w:rPr/>
            </w:pPr>
            <w:r>
              <w:rPr/>
              <w:t>Респиратор У-2К FFP1 Исток (поролон), полумаска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8"/>
              <w:widowControl w:val="false"/>
              <w:spacing w:before="0" w:after="160"/>
              <w:rPr/>
            </w:pPr>
            <w:r>
              <w:rPr/>
              <w:t>15</w:t>
            </w:r>
          </w:p>
        </w:tc>
      </w:tr>
      <w:tr>
        <w:trPr/>
        <w:tc>
          <w:tcPr>
            <w:tcW w:w="73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8"/>
              <w:widowControl w:val="false"/>
              <w:spacing w:before="0" w:after="160"/>
              <w:jc w:val="center"/>
              <w:rPr/>
            </w:pPr>
            <w:r>
              <w:rPr/>
              <w:t>3</w:t>
            </w:r>
          </w:p>
        </w:tc>
        <w:tc>
          <w:tcPr>
            <w:tcW w:w="856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8"/>
              <w:widowControl w:val="false"/>
              <w:spacing w:before="0" w:after="160"/>
              <w:jc w:val="center"/>
              <w:rPr/>
            </w:pPr>
            <w:r>
              <w:rPr/>
              <w:t>Носилки эвакуационные бескаркасные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8"/>
              <w:widowControl w:val="false"/>
              <w:spacing w:before="0" w:after="160"/>
              <w:rPr/>
            </w:pPr>
            <w:r>
              <w:rPr/>
              <w:t>9</w:t>
            </w:r>
          </w:p>
        </w:tc>
      </w:tr>
      <w:tr>
        <w:trPr/>
        <w:tc>
          <w:tcPr>
            <w:tcW w:w="73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8"/>
              <w:widowControl w:val="false"/>
              <w:spacing w:before="0" w:after="160"/>
              <w:jc w:val="center"/>
              <w:rPr/>
            </w:pPr>
            <w:r>
              <w:rPr/>
              <w:t>4</w:t>
            </w:r>
          </w:p>
        </w:tc>
        <w:tc>
          <w:tcPr>
            <w:tcW w:w="856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8"/>
              <w:widowControl w:val="false"/>
              <w:spacing w:before="0" w:after="160"/>
              <w:jc w:val="center"/>
              <w:rPr/>
            </w:pPr>
            <w:r>
              <w:rPr/>
              <w:t>Аптечка первой помощи, базовый КИМГЗ-161 № 1 (9+К) ФЭСТ, сумка, по приказу № 23 (630053-4027)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8"/>
              <w:widowControl w:val="false"/>
              <w:spacing w:before="0" w:after="160"/>
              <w:rPr/>
            </w:pPr>
            <w:r>
              <w:rPr/>
              <w:t>11</w:t>
            </w:r>
          </w:p>
        </w:tc>
      </w:tr>
      <w:tr>
        <w:trPr/>
        <w:tc>
          <w:tcPr>
            <w:tcW w:w="73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8"/>
              <w:widowControl w:val="false"/>
              <w:spacing w:before="0" w:after="160"/>
              <w:jc w:val="center"/>
              <w:rPr/>
            </w:pPr>
            <w:r>
              <w:rPr/>
              <w:t>5</w:t>
            </w:r>
          </w:p>
        </w:tc>
        <w:tc>
          <w:tcPr>
            <w:tcW w:w="856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8"/>
              <w:widowControl w:val="false"/>
              <w:spacing w:before="0" w:after="160"/>
              <w:jc w:val="center"/>
              <w:rPr/>
            </w:pPr>
            <w:r>
              <w:rPr/>
              <w:t>Гигрометр психрометрический с поверкой ВИТ-2 ФГИС, поверка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8"/>
              <w:widowControl w:val="false"/>
              <w:spacing w:before="0" w:after="160"/>
              <w:rPr/>
            </w:pPr>
            <w:r>
              <w:rPr/>
              <w:t>9</w:t>
            </w:r>
          </w:p>
        </w:tc>
      </w:tr>
    </w:tbl>
    <w:p>
      <w:pPr>
        <w:pStyle w:val="Normal"/>
        <w:suppressAutoHyphens w:val="false"/>
        <w:spacing w:lineRule="auto" w:line="252" w:before="0" w:after="0"/>
        <w:ind w:left="709" w:hanging="0"/>
        <w:contextualSpacing/>
        <w:rPr>
          <w:bCs/>
          <w:sz w:val="20"/>
          <w:szCs w:val="20"/>
        </w:rPr>
      </w:pPr>
      <w:r>
        <w:rPr>
          <w:bCs/>
          <w:sz w:val="20"/>
          <w:szCs w:val="20"/>
        </w:rPr>
      </w:r>
    </w:p>
    <w:p>
      <w:pPr>
        <w:pStyle w:val="ListParagraph"/>
        <w:suppressAutoHyphens w:val="false"/>
        <w:spacing w:lineRule="auto" w:line="252" w:before="0" w:after="0"/>
        <w:ind w:left="709" w:hanging="0"/>
        <w:contextualSpacing/>
        <w:rPr>
          <w:bCs/>
          <w:sz w:val="20"/>
          <w:szCs w:val="20"/>
        </w:rPr>
      </w:pPr>
      <w:r>
        <w:rPr>
          <w:bCs/>
          <w:sz w:val="20"/>
          <w:szCs w:val="20"/>
        </w:rPr>
      </w:r>
    </w:p>
    <w:p>
      <w:pPr>
        <w:pStyle w:val="ListParagraph"/>
        <w:suppressAutoHyphens w:val="false"/>
        <w:spacing w:lineRule="auto" w:line="252" w:before="0" w:after="0"/>
        <w:ind w:left="709" w:hanging="0"/>
        <w:contextualSpacing/>
        <w:rPr>
          <w:bCs/>
          <w:sz w:val="20"/>
          <w:szCs w:val="20"/>
        </w:rPr>
      </w:pPr>
      <w:r>
        <w:rPr>
          <w:bCs/>
          <w:sz w:val="20"/>
          <w:szCs w:val="20"/>
        </w:rPr>
      </w:r>
    </w:p>
    <w:p>
      <w:pPr>
        <w:pStyle w:val="ListParagraph"/>
        <w:suppressAutoHyphens w:val="false"/>
        <w:spacing w:lineRule="auto" w:line="252" w:before="0" w:after="0"/>
        <w:ind w:left="709" w:hanging="0"/>
        <w:contextualSpacing/>
        <w:rPr>
          <w:bCs/>
          <w:sz w:val="20"/>
          <w:szCs w:val="20"/>
        </w:rPr>
      </w:pPr>
      <w:r>
        <w:rPr>
          <w:bCs/>
          <w:sz w:val="20"/>
          <w:szCs w:val="20"/>
        </w:rPr>
      </w:r>
    </w:p>
    <w:p>
      <w:pPr>
        <w:pStyle w:val="ListParagraph"/>
        <w:numPr>
          <w:ilvl w:val="0"/>
          <w:numId w:val="1"/>
        </w:numPr>
        <w:suppressAutoHyphens w:val="false"/>
        <w:spacing w:lineRule="auto" w:line="252" w:before="0" w:after="0"/>
        <w:ind w:left="0" w:firstLine="709"/>
        <w:contextualSpacing/>
        <w:rPr>
          <w:sz w:val="20"/>
          <w:szCs w:val="20"/>
        </w:rPr>
      </w:pPr>
      <w:r>
        <w:rPr>
          <w:b/>
          <w:sz w:val="20"/>
          <w:szCs w:val="20"/>
        </w:rPr>
        <w:t>Требования к качеству, упаковке, маркировке и безопасности товара:</w:t>
      </w:r>
    </w:p>
    <w:p>
      <w:pPr>
        <w:pStyle w:val="ListParagraph"/>
        <w:numPr>
          <w:ilvl w:val="1"/>
          <w:numId w:val="1"/>
        </w:numPr>
        <w:suppressAutoHyphens w:val="false"/>
        <w:spacing w:lineRule="auto" w:line="252" w:before="0" w:after="0"/>
        <w:ind w:left="0" w:firstLine="709"/>
        <w:contextualSpacing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Поставляемый Товар должен быть новым, ранее не находившемся в использовании, в ремонте, в том числе который не был восстановлен, у которого не была осуществлена замена составных частей, не были восстановлены потребительские свойства. На Товаре не должно быть следов механических повреждений.</w:t>
      </w:r>
    </w:p>
    <w:p>
      <w:pPr>
        <w:pStyle w:val="ListParagraph"/>
        <w:numPr>
          <w:ilvl w:val="1"/>
          <w:numId w:val="1"/>
        </w:numPr>
        <w:suppressAutoHyphens w:val="false"/>
        <w:spacing w:lineRule="auto" w:line="252" w:before="0" w:after="0"/>
        <w:ind w:left="0" w:firstLine="709"/>
        <w:contextualSpacing/>
        <w:jc w:val="both"/>
        <w:rPr>
          <w:sz w:val="20"/>
          <w:szCs w:val="20"/>
        </w:rPr>
      </w:pPr>
      <w:r>
        <w:rPr>
          <w:sz w:val="20"/>
          <w:szCs w:val="20"/>
        </w:rPr>
        <w:t>Упаковка и маркировка поставляемого Товара должны соответствовать требованиям действующих на территории Российской Федерации нормативно-правовых актов (стандарт, технический регламент, санитарные нормы).</w:t>
      </w:r>
    </w:p>
    <w:p>
      <w:pPr>
        <w:pStyle w:val="ListParagraph"/>
        <w:numPr>
          <w:ilvl w:val="1"/>
          <w:numId w:val="1"/>
        </w:numPr>
        <w:suppressAutoHyphens w:val="false"/>
        <w:spacing w:lineRule="auto" w:line="252" w:before="0" w:after="0"/>
        <w:ind w:left="0" w:firstLine="709"/>
        <w:contextualSpacing/>
        <w:jc w:val="both"/>
        <w:rPr>
          <w:sz w:val="20"/>
          <w:szCs w:val="20"/>
        </w:rPr>
      </w:pPr>
      <w:r>
        <w:rPr>
          <w:sz w:val="20"/>
          <w:szCs w:val="20"/>
        </w:rPr>
        <w:t>Упаковка должна обеспечивать соблюдение температурно-влажностного режима, сохранность Товара при транспортировке, до места назначения и разгрузки, на складе Заказчика. Товар, получивший при погрузке (разгрузке) и транспортировке повреждения, в том числе внешние, вследствие использования Поставщиком ненадлежащей тары и (или) упаковки, ненадлежащей маркировки, считается не поставленным и приемке не подлежит. Стоимость за упаковочные материалы не взыскивается, и данные материалы возврату не подлежат. Стоимость упаковочных материалов включается в стоимость товара.</w:t>
      </w:r>
    </w:p>
    <w:p>
      <w:pPr>
        <w:pStyle w:val="ListParagraph"/>
        <w:numPr>
          <w:ilvl w:val="1"/>
          <w:numId w:val="1"/>
        </w:numPr>
        <w:suppressAutoHyphens w:val="false"/>
        <w:spacing w:lineRule="auto" w:line="252" w:before="0" w:after="0"/>
        <w:ind w:left="0" w:firstLine="709"/>
        <w:contextualSpacing/>
        <w:jc w:val="both"/>
        <w:rPr>
          <w:sz w:val="20"/>
          <w:szCs w:val="20"/>
        </w:rPr>
      </w:pPr>
      <w:r>
        <w:rPr>
          <w:sz w:val="20"/>
          <w:szCs w:val="20"/>
        </w:rPr>
        <w:t>Качество и безопасность Товара должны соответствовать требованиям, установленными и действующими в Российской Федерации ГОСТ, санитарным нормам, техническим регламентам, утвержденным на данный вид Товара.</w:t>
      </w:r>
    </w:p>
    <w:p>
      <w:pPr>
        <w:pStyle w:val="ListParagraph"/>
        <w:numPr>
          <w:ilvl w:val="1"/>
          <w:numId w:val="1"/>
        </w:numPr>
        <w:suppressAutoHyphens w:val="false"/>
        <w:spacing w:lineRule="auto" w:line="252" w:before="0" w:after="0"/>
        <w:ind w:left="0" w:firstLine="709"/>
        <w:contextualSpacing/>
        <w:jc w:val="both"/>
        <w:rPr>
          <w:sz w:val="20"/>
          <w:szCs w:val="20"/>
        </w:rPr>
      </w:pPr>
      <w:r>
        <w:rPr>
          <w:sz w:val="20"/>
          <w:szCs w:val="20"/>
        </w:rPr>
        <w:t>При осуществлении поставки Поставщик должен представить: оригиналы или надлежащим образом заверенные копии действующих сертификатов качества и сертификатов соответствия требованиям нормативных документов на поставляемую продукцию, разрешающих использование поставляемой продукции на территории Российской Федерации.</w:t>
      </w:r>
    </w:p>
    <w:p>
      <w:pPr>
        <w:pStyle w:val="ListParagraph"/>
        <w:numPr>
          <w:ilvl w:val="1"/>
          <w:numId w:val="1"/>
        </w:numPr>
        <w:suppressAutoHyphens w:val="false"/>
        <w:spacing w:lineRule="auto" w:line="252" w:before="0" w:after="0"/>
        <w:ind w:left="0" w:firstLine="709"/>
        <w:contextualSpacing/>
        <w:jc w:val="both"/>
        <w:rPr>
          <w:sz w:val="20"/>
          <w:szCs w:val="20"/>
        </w:rPr>
      </w:pPr>
      <w:r>
        <w:rPr>
          <w:sz w:val="20"/>
          <w:szCs w:val="20"/>
        </w:rPr>
        <w:t>В случае предъявления претензии по качеству Товара по причине несоответствия его условиям Контракта или иным обязательным требованиям, Поставщик должен по выбору Заказчика: устранить недостатки, заменить Товар или его часть Товаром, качество которого соответствует условиям Контракта в течение 10 (десяти) рабочих дней.</w:t>
      </w:r>
    </w:p>
    <w:p>
      <w:pPr>
        <w:pStyle w:val="ListParagraph"/>
        <w:spacing w:lineRule="auto" w:line="252" w:before="0" w:after="0"/>
        <w:ind w:left="709" w:hanging="0"/>
        <w:contextualSpacing/>
        <w:jc w:val="both"/>
        <w:rPr>
          <w:b/>
          <w:bCs/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</w:r>
    </w:p>
    <w:p>
      <w:pPr>
        <w:pStyle w:val="Normal"/>
        <w:spacing w:lineRule="auto" w:line="252" w:before="0" w:after="0"/>
        <w:ind w:firstLine="709"/>
        <w:jc w:val="both"/>
        <w:rPr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 xml:space="preserve">6. Требования, связанные с определением соответствия </w:t>
      </w:r>
      <w:r>
        <w:rPr>
          <w:b/>
          <w:color w:val="000000"/>
          <w:sz w:val="20"/>
          <w:szCs w:val="20"/>
        </w:rPr>
        <w:t>поставляемого Товара потребностям заказчика (приемка товара):</w:t>
      </w:r>
    </w:p>
    <w:p>
      <w:pPr>
        <w:pStyle w:val="Normal"/>
        <w:spacing w:before="0" w:after="0"/>
        <w:ind w:firstLine="709"/>
        <w:jc w:val="both"/>
        <w:rPr>
          <w:sz w:val="20"/>
          <w:szCs w:val="20"/>
        </w:rPr>
      </w:pPr>
      <w:r>
        <w:rPr>
          <w:color w:val="000000"/>
          <w:sz w:val="20"/>
          <w:szCs w:val="20"/>
        </w:rPr>
        <w:t xml:space="preserve">6.1. </w:t>
      </w:r>
      <w:r>
        <w:rPr>
          <w:sz w:val="20"/>
          <w:szCs w:val="20"/>
        </w:rPr>
        <w:t xml:space="preserve">Порядок приемки товаров по количеству и качеству, производится в соответствии с Инструкцией о порядке приемки продукции производственно-технического назначения и товаров народного потребления по количеству, утвержденной постановлением Госарбитража СССР от 15.06.1965 N П-6 </w:t>
      </w:r>
      <w:r>
        <w:rPr>
          <w:spacing w:val="-4"/>
          <w:sz w:val="20"/>
          <w:szCs w:val="20"/>
        </w:rPr>
        <w:t>и качеству, утвержденной постановлением Госарбитража СССР от 25.04.1966г. № П-7).</w:t>
      </w:r>
    </w:p>
    <w:p>
      <w:pPr>
        <w:pStyle w:val="Normal"/>
        <w:spacing w:before="0" w:after="0"/>
        <w:ind w:firstLine="709"/>
        <w:jc w:val="both"/>
        <w:rPr>
          <w:sz w:val="20"/>
          <w:szCs w:val="20"/>
        </w:rPr>
      </w:pPr>
      <w:r>
        <w:rPr>
          <w:sz w:val="20"/>
          <w:szCs w:val="20"/>
        </w:rPr>
        <w:t>6.2. Заказчик при осуществлении приемки поставляемого товара проверяет соответствие количества, качества требованиям, установленным в Контракте.</w:t>
      </w:r>
    </w:p>
    <w:p>
      <w:pPr>
        <w:pStyle w:val="Normal"/>
        <w:spacing w:before="0" w:after="0"/>
        <w:ind w:firstLine="709"/>
        <w:jc w:val="both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spacing w:before="0" w:after="0"/>
        <w:ind w:firstLine="709"/>
        <w:jc w:val="both"/>
        <w:rPr>
          <w:sz w:val="20"/>
          <w:szCs w:val="20"/>
        </w:rPr>
      </w:pPr>
      <w:r>
        <w:rPr>
          <w:b/>
          <w:bCs/>
          <w:sz w:val="20"/>
          <w:szCs w:val="20"/>
        </w:rPr>
        <w:t>7.</w:t>
      </w:r>
      <w:r>
        <w:rPr>
          <w:sz w:val="20"/>
          <w:szCs w:val="20"/>
        </w:rPr>
        <w:t xml:space="preserve"> </w:t>
      </w:r>
      <w:r>
        <w:rPr>
          <w:b/>
          <w:bCs/>
          <w:color w:val="000000"/>
          <w:sz w:val="20"/>
          <w:szCs w:val="20"/>
        </w:rPr>
        <w:t>Гарантийные обязательства:</w:t>
      </w:r>
    </w:p>
    <w:p>
      <w:pPr>
        <w:pStyle w:val="Normal"/>
        <w:widowControl w:val="false"/>
        <w:spacing w:lineRule="auto" w:line="252" w:before="0" w:after="0"/>
        <w:ind w:firstLine="709"/>
        <w:jc w:val="both"/>
        <w:rPr>
          <w:sz w:val="20"/>
          <w:szCs w:val="20"/>
        </w:rPr>
      </w:pPr>
      <w:r>
        <w:rPr>
          <w:rFonts w:eastAsia="Calibri"/>
          <w:bCs/>
          <w:color w:val="000000"/>
          <w:sz w:val="20"/>
          <w:szCs w:val="20"/>
        </w:rPr>
        <w:t>7.1. Поставщик гарантирует качество поставляемого Товара.</w:t>
      </w:r>
    </w:p>
    <w:p>
      <w:pPr>
        <w:pStyle w:val="Normal"/>
        <w:widowControl w:val="false"/>
        <w:spacing w:lineRule="auto" w:line="252" w:before="0" w:after="0"/>
        <w:ind w:firstLine="709"/>
        <w:jc w:val="both"/>
        <w:rPr>
          <w:sz w:val="20"/>
          <w:szCs w:val="20"/>
        </w:rPr>
      </w:pPr>
      <w:r>
        <w:rPr>
          <w:rFonts w:eastAsia="Calibri"/>
          <w:bCs/>
          <w:color w:val="000000"/>
          <w:sz w:val="20"/>
          <w:szCs w:val="20"/>
        </w:rPr>
        <w:t xml:space="preserve">7.2. Гарантийный срок не может быть менее гарантийного срока, установленного производителем, но и не менее 6 (шести) месяцев с даты поставки на склад Заказчика и подписания структурированного документа о приемке в единой информационной системе в сфере закупок. </w:t>
      </w:r>
    </w:p>
    <w:p>
      <w:pPr>
        <w:pStyle w:val="Normal"/>
        <w:widowControl w:val="false"/>
        <w:spacing w:lineRule="auto" w:line="252" w:before="0" w:after="0"/>
        <w:ind w:firstLine="709"/>
        <w:jc w:val="both"/>
        <w:rPr>
          <w:sz w:val="20"/>
          <w:szCs w:val="20"/>
        </w:rPr>
      </w:pPr>
      <w:r>
        <w:rPr>
          <w:rFonts w:eastAsia="Calibri"/>
          <w:bCs/>
          <w:color w:val="000000"/>
          <w:sz w:val="20"/>
          <w:szCs w:val="20"/>
        </w:rPr>
        <w:t>7.3. При обнаружении дефектов Товара, возникших по независящим от Заказчика причинам, Поставщик обязан за свой счет устранить дефекты, либо заменить Товар ненадлежащего качества новым в течение 10 (десяти) рабочих дней после письменного уведомления Заказчиком (в том числе по факсу с последующим направлением оригинала).</w:t>
      </w:r>
    </w:p>
    <w:p>
      <w:pPr>
        <w:pStyle w:val="Normal"/>
        <w:widowControl w:val="false"/>
        <w:spacing w:lineRule="auto" w:line="252" w:before="0" w:after="0"/>
        <w:ind w:firstLine="709"/>
        <w:jc w:val="both"/>
        <w:rPr>
          <w:sz w:val="20"/>
          <w:szCs w:val="20"/>
        </w:rPr>
      </w:pPr>
      <w:r>
        <w:rPr>
          <w:rFonts w:eastAsia="Calibri"/>
          <w:bCs/>
          <w:color w:val="000000"/>
          <w:sz w:val="20"/>
          <w:szCs w:val="20"/>
        </w:rPr>
        <w:t>7.4. Гарантийное обслуживание поставляемого товара должно осуществляться без затрат со стороны Заказчика и включать в себя вывоз, ремонт или замену и доставку Заказчику товара, вышедшего из строя в течение установленного гарантийного срока.</w:t>
      </w:r>
    </w:p>
    <w:p>
      <w:pPr>
        <w:pStyle w:val="Normal"/>
        <w:tabs>
          <w:tab w:val="clear" w:pos="720"/>
          <w:tab w:val="left" w:pos="10205" w:leader="none"/>
        </w:tabs>
        <w:spacing w:before="0" w:after="0"/>
        <w:jc w:val="both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tabs>
          <w:tab w:val="clear" w:pos="720"/>
          <w:tab w:val="left" w:pos="10205" w:leader="none"/>
        </w:tabs>
        <w:spacing w:before="0" w:after="0"/>
        <w:ind w:firstLine="709"/>
        <w:jc w:val="both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tabs>
          <w:tab w:val="clear" w:pos="720"/>
          <w:tab w:val="left" w:pos="10205" w:leader="none"/>
        </w:tabs>
        <w:spacing w:before="0" w:after="0"/>
        <w:ind w:firstLine="1134"/>
        <w:jc w:val="both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ListParagraph"/>
        <w:suppressAutoHyphens w:val="false"/>
        <w:spacing w:lineRule="auto" w:line="252" w:before="0" w:after="0"/>
        <w:ind w:left="709" w:hanging="0"/>
        <w:contextualSpacing/>
        <w:rPr>
          <w:sz w:val="20"/>
          <w:szCs w:val="20"/>
        </w:rPr>
      </w:pPr>
      <w:r>
        <w:rPr/>
      </w:r>
      <w:bookmarkStart w:id="1" w:name="_GoBack"/>
      <w:bookmarkStart w:id="2" w:name="_GoBack"/>
      <w:bookmarkEnd w:id="2"/>
    </w:p>
    <w:sectPr>
      <w:type w:val="nextPage"/>
      <w:pgSz w:w="11906" w:h="16838"/>
      <w:pgMar w:left="850" w:right="850" w:gutter="0" w:header="0" w:top="1134" w:footer="0" w:bottom="1134"/>
      <w:pgNumType w:start="1"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Carlito">
    <w:altName w:val="Calibri"/>
    <w:charset w:val="cc"/>
    <w:family w:val="roman"/>
    <w:pitch w:val="variable"/>
  </w:font>
  <w:font w:name="Times New Roman">
    <w:charset w:val="cc"/>
    <w:family w:val="roman"/>
    <w:pitch w:val="variable"/>
  </w:font>
  <w:font w:name="Tahoma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Georgia">
    <w:charset w:val="cc"/>
    <w:family w:val="roman"/>
    <w:pitch w:val="variable"/>
  </w:font>
  <w:font w:name="Calibri">
    <w:charset w:val="cc"/>
    <w:family w:val="roman"/>
    <w:pitch w:val="variable"/>
  </w:font>
  <w:font w:name="Liberation Serif">
    <w:altName w:val="Times New Roman"/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5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  <w:bCs w:val="false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1211" w:hanging="360"/>
      </w:pPr>
      <w:rPr>
        <w:b/>
        <w:bCs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778" w:hanging="720"/>
      </w:pPr>
      <w:rPr/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2127" w:hanging="720"/>
      </w:pPr>
      <w:rPr/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2836" w:hanging="1080"/>
      </w:pPr>
      <w:rPr/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3185" w:hanging="1080"/>
      </w:pPr>
      <w:rPr/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3534" w:hanging="1080"/>
      </w:pPr>
      <w:rPr/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4243" w:hanging="1440"/>
      </w:pPr>
      <w:rPr/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4592" w:hanging="144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10"/>
  <w:defaultTabStop w:val="720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/>
    <w:lsdException w:name="heading 1" w:uiPriority="0" w:semiHidden="0" w:unhideWhenUsed="0" w:qFormat="1"/>
    <w:lsdException w:name="heading 2" w:uiPriority="0" w:semiHidden="0" w:unhideWhenUsed="0" w:qFormat="1"/>
    <w:lsdException w:name="heading 3" w:uiPriority="0" w:semiHidden="0" w:unhideWhenUsed="0" w:qFormat="1"/>
    <w:lsdException w:name="heading 4" w:uiPriority="0" w:semiHidden="0" w:unhideWhenUsed="0" w:qFormat="1"/>
    <w:lsdException w:name="heading 5" w:uiPriority="0" w:semiHidden="0" w:unhideWhenUsed="0"/>
    <w:lsdException w:name="heading 6" w:uiPriority="0" w:semiHidden="0" w:unhideWhenUsed="0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0" w:semiHidden="0" w:unhideWhenUsed="0"/>
    <w:lsdException w:name="Default Paragraph Font" w:uiPriority="1"/>
    <w:lsdException w:name="Subtitle" w:uiPriority="0" w:semiHidden="0" w:unhideWhenUsed="0"/>
    <w:lsdException w:name="Strong" w:uiPriority="0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semiHidden="0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Heading1">
    <w:name w:val="Heading 1"/>
    <w:basedOn w:val="Normal"/>
    <w:next w:val="Normal"/>
    <w:qFormat/>
    <w:pPr>
      <w:keepNext w:val="true"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qFormat/>
    <w:pPr>
      <w:keepNext w:val="true"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qFormat/>
    <w:pPr>
      <w:keepNext w:val="true"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qFormat/>
    <w:pPr>
      <w:keepNext w:val="true"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qFormat/>
    <w:pPr>
      <w:keepNext w:val="true"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qFormat/>
    <w:pPr>
      <w:keepNext w:val="true"/>
      <w:keepLines/>
      <w:spacing w:before="200" w:after="40"/>
      <w:outlineLvl w:val="5"/>
    </w:pPr>
    <w:rPr>
      <w:b/>
      <w:sz w:val="20"/>
      <w:szCs w:val="2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basedOn w:val="DefaultParagraphFont"/>
    <w:uiPriority w:val="99"/>
    <w:unhideWhenUsed/>
    <w:rsid w:val="002707a6"/>
    <w:rPr>
      <w:color w:val="0000FF" w:themeColor="hyperlink"/>
      <w:u w:val="single"/>
    </w:rPr>
  </w:style>
  <w:style w:type="character" w:styleId="1" w:customStyle="1">
    <w:name w:val="Неразрешенное упоминание1"/>
    <w:basedOn w:val="DefaultParagraphFont"/>
    <w:uiPriority w:val="99"/>
    <w:semiHidden/>
    <w:unhideWhenUsed/>
    <w:qFormat/>
    <w:rsid w:val="007d588f"/>
    <w:rPr>
      <w:color w:val="605E5C"/>
      <w:shd w:fill="E1DFDD" w:val="clear"/>
    </w:rPr>
  </w:style>
  <w:style w:type="character" w:styleId="Strong">
    <w:name w:val="Strong"/>
    <w:qFormat/>
    <w:rPr>
      <w:b/>
      <w:bCs/>
    </w:rPr>
  </w:style>
  <w:style w:type="character" w:styleId="Style3" w:customStyle="1">
    <w:name w:val="Основной текст Знак"/>
    <w:qFormat/>
    <w:rPr>
      <w:rFonts w:ascii="Times New Roman" w:hAnsi="Times New Roman" w:eastAsia="DejaVu Sans" w:cs="Times New Roman"/>
      <w:kern w:val="2"/>
      <w:sz w:val="28"/>
      <w:lang w:val="x-none" w:eastAsia="x-none"/>
    </w:rPr>
  </w:style>
  <w:style w:type="character" w:styleId="11" w:customStyle="1">
    <w:name w:val="Заголовок 1 Знак"/>
    <w:qFormat/>
    <w:rPr>
      <w:rFonts w:ascii="Times New Roman" w:hAnsi="Times New Roman" w:eastAsia="Times New Roman" w:cs="Times New Roman"/>
      <w:b/>
      <w:bCs/>
      <w:kern w:val="2"/>
      <w:sz w:val="48"/>
      <w:szCs w:val="48"/>
      <w:lang w:eastAsia="ru-RU"/>
    </w:rPr>
  </w:style>
  <w:style w:type="character" w:styleId="Style4" w:customStyle="1">
    <w:name w:val="Текст выноски Знак"/>
    <w:qFormat/>
    <w:rPr>
      <w:rFonts w:ascii="Tahoma" w:hAnsi="Tahoma" w:cs="Tahoma"/>
      <w:sz w:val="16"/>
      <w:szCs w:val="16"/>
    </w:rPr>
  </w:style>
  <w:style w:type="character" w:styleId="UnresolvedMention" w:customStyle="1">
    <w:name w:val="Unresolved Mention"/>
    <w:basedOn w:val="DefaultParagraphFont"/>
    <w:uiPriority w:val="99"/>
    <w:semiHidden/>
    <w:unhideWhenUsed/>
    <w:qFormat/>
    <w:rsid w:val="002707a6"/>
    <w:rPr>
      <w:color w:val="605E5C"/>
      <w:shd w:fill="E1DFDD" w:val="clear"/>
    </w:rPr>
  </w:style>
  <w:style w:type="character" w:styleId="Typography" w:customStyle="1">
    <w:name w:val="typography"/>
    <w:basedOn w:val="DefaultParagraphFont"/>
    <w:qFormat/>
    <w:rsid w:val="00f074f2"/>
    <w:rPr/>
  </w:style>
  <w:style w:type="character" w:styleId="Qshczy" w:customStyle="1">
    <w:name w:val="qshczy"/>
    <w:basedOn w:val="DefaultParagraphFont"/>
    <w:qFormat/>
    <w:rsid w:val="001268cc"/>
    <w:rPr/>
  </w:style>
  <w:style w:type="character" w:styleId="Style5">
    <w:name w:val="Символ нумерации"/>
    <w:qFormat/>
    <w:rPr/>
  </w:style>
  <w:style w:type="paragraph" w:styleId="Style6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7">
    <w:name w:val="Указатель"/>
    <w:basedOn w:val="Normal"/>
    <w:qFormat/>
    <w:pPr>
      <w:suppressLineNumbers/>
    </w:pPr>
    <w:rPr>
      <w:rFonts w:cs="Arial"/>
      <w:lang w:val="zxx" w:eastAsia="zxx" w:bidi="zxx"/>
    </w:rPr>
  </w:style>
  <w:style w:type="paragraph" w:styleId="Title">
    <w:name w:val="Title"/>
    <w:basedOn w:val="Normal"/>
    <w:next w:val="Normal"/>
    <w:qFormat/>
    <w:pPr>
      <w:keepNext w:val="true"/>
      <w:keepLines/>
      <w:spacing w:before="480" w:after="120"/>
    </w:pPr>
    <w:rPr>
      <w:b/>
      <w:sz w:val="72"/>
      <w:szCs w:val="72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styleId="Indexheading">
    <w:name w:val="index heading"/>
    <w:basedOn w:val="Normal"/>
    <w:qFormat/>
    <w:pPr>
      <w:suppressLineNumbers/>
    </w:pPr>
    <w:rPr>
      <w:rFonts w:cs="Arial"/>
    </w:rPr>
  </w:style>
  <w:style w:type="paragraph" w:styleId="Subtitle">
    <w:name w:val="Subtitle"/>
    <w:basedOn w:val="Normal"/>
    <w:next w:val="Normal"/>
    <w:qFormat/>
    <w:pPr>
      <w:keepNext w:val="true"/>
      <w:keepLines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paragraph" w:styleId="TableParagraph" w:customStyle="1">
    <w:name w:val="Table Paragraph"/>
    <w:basedOn w:val="Normal"/>
    <w:qFormat/>
    <w:pPr>
      <w:widowControl w:val="false"/>
      <w:spacing w:lineRule="exact" w:line="240" w:before="0" w:after="0"/>
    </w:pPr>
    <w:rPr/>
  </w:style>
  <w:style w:type="paragraph" w:styleId="NoSpacing">
    <w:name w:val="No Spacing"/>
    <w:qFormat/>
    <w:pPr>
      <w:widowControl/>
      <w:suppressAutoHyphens w:val="true"/>
      <w:bidi w:val="0"/>
      <w:spacing w:before="0" w:after="0"/>
      <w:jc w:val="left"/>
    </w:pPr>
    <w:rPr>
      <w:rFonts w:ascii="Calibri" w:hAnsi="Calibri" w:eastAsia="Times New Roman" w:cs="Times New Roman"/>
      <w:color w:val="auto"/>
      <w:kern w:val="0"/>
      <w:sz w:val="22"/>
      <w:szCs w:val="22"/>
      <w:lang w:val="ru-RU" w:eastAsia="ru-RU" w:bidi="ar-SA"/>
    </w:rPr>
  </w:style>
  <w:style w:type="paragraph" w:styleId="BalloonText">
    <w:name w:val="Balloon Text"/>
    <w:basedOn w:val="Normal"/>
    <w:qFormat/>
    <w:pPr>
      <w:spacing w:lineRule="exact" w:line="240" w:before="0" w:after="0"/>
    </w:pPr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pPr>
      <w:spacing w:before="0" w:after="160"/>
      <w:ind w:left="720" w:hanging="0"/>
      <w:contextualSpacing/>
    </w:pPr>
    <w:rPr/>
  </w:style>
  <w:style w:type="paragraph" w:styleId="Standard" w:customStyle="1">
    <w:name w:val="Standard"/>
    <w:qFormat/>
    <w:rsid w:val="00b93510"/>
    <w:pPr>
      <w:widowControl w:val="false"/>
      <w:suppressAutoHyphens w:val="true"/>
      <w:bidi w:val="0"/>
      <w:spacing w:before="0" w:after="0"/>
      <w:jc w:val="left"/>
      <w:textAlignment w:val="baseline"/>
    </w:pPr>
    <w:rPr>
      <w:rFonts w:ascii="Liberation Serif" w:hAnsi="Liberation Serif" w:eastAsia="Segoe UI" w:cs="Tahoma"/>
      <w:color w:val="000000"/>
      <w:kern w:val="2"/>
      <w:sz w:val="24"/>
      <w:szCs w:val="24"/>
      <w:lang w:val="ru-RU" w:eastAsia="zh-CN" w:bidi="hi-IN"/>
    </w:rPr>
  </w:style>
  <w:style w:type="paragraph" w:styleId="Style8">
    <w:name w:val="Содержимое таблицы"/>
    <w:basedOn w:val="Normal"/>
    <w:qFormat/>
    <w:pPr>
      <w:widowControl w:val="false"/>
      <w:suppressLineNumbers/>
    </w:pPr>
    <w:rPr/>
  </w:style>
  <w:style w:type="paragraph" w:styleId="Style9">
    <w:name w:val="Заголовок таблицы"/>
    <w:basedOn w:val="Style8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yle12">
    <w:name w:val="_Style 12"/>
    <w:basedOn w:val="TableNormal"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0">
    <w:name w:val="Table Grid"/>
    <w:basedOn w:val="a1"/>
    <w:uiPriority w:val="59"/>
    <w:rsid w:val="00e70472"/>
    <w:pPr>
      <w:spacing w:after="60"/>
      <w:jc w:val="both"/>
    </w:pPr>
    <w:rPr>
      <w:lang w:eastAsia="en-US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Application>AlterOffice/2025.3.0.0$Windows_X86_64 LibreOffice_project/774e6be3fe79fbee37ab4be005d8f260e3857d8a</Application>
  <AppVersion>15.0000</AppVersion>
  <Pages>2</Pages>
  <Words>623</Words>
  <Characters>4297</Characters>
  <CharactersWithSpaces>4882</CharactersWithSpaces>
  <Paragraphs>42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2025-03-27T06:25:00Z</dcterms:created>
  <dc:creator>Наталья</dc:creator>
  <dc:description/>
  <dc:language>ru-RU</dc:language>
  <cp:lastModifiedBy>Александр Александрович Волос</cp:lastModifiedBy>
  <cp:lastPrinted>2025-03-26T09:52:00Z</cp:lastPrinted>
  <dcterms:modified xsi:type="dcterms:W3CDTF">2026-08-24T09:46:40Z</dcterms:modified>
  <cp:revision>20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1049-10.2.0.7636</vt:lpwstr>
  </property>
</Properties>
</file>