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Техническое задание</w:t>
      </w:r>
    </w:p>
    <w:p w14:paraId="06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а изготовление и поставку мебели для обустройства помещения Студенческого совета</w:t>
      </w:r>
    </w:p>
    <w:p w14:paraId="07000000">
      <w:pPr>
        <w:ind/>
        <w:jc w:val="center"/>
        <w:rPr>
          <w:rFonts w:ascii="Times New Roman" w:hAnsi="Times New Roman"/>
          <w:sz w:val="24"/>
        </w:rPr>
      </w:pPr>
    </w:p>
    <w:p w14:paraId="08000000">
      <w:pPr>
        <w:pStyle w:val="Style_2"/>
        <w:numPr>
          <w:ilvl w:val="0"/>
          <w:numId w:val="1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</w:t>
      </w:r>
    </w:p>
    <w:p w14:paraId="09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Изготовление и поставка</w:t>
      </w:r>
      <w:r>
        <w:rPr>
          <w:rFonts w:ascii="Times New Roman" w:hAnsi="Times New Roman"/>
          <w:sz w:val="24"/>
        </w:rPr>
        <w:t xml:space="preserve"> мебели для обустройства</w:t>
      </w:r>
      <w:r>
        <w:rPr>
          <w:rFonts w:ascii="Times New Roman" w:hAnsi="Times New Roman"/>
          <w:sz w:val="24"/>
        </w:rPr>
        <w:t xml:space="preserve"> помещения Студенческого совета </w:t>
      </w:r>
      <w:r>
        <w:rPr>
          <w:rFonts w:ascii="Times New Roman" w:hAnsi="Times New Roman"/>
          <w:sz w:val="24"/>
        </w:rPr>
        <w:t>в здании РАМ имени Гнесиных</w:t>
      </w:r>
      <w:r>
        <w:rPr>
          <w:rFonts w:ascii="Times New Roman" w:hAnsi="Times New Roman"/>
          <w:sz w:val="24"/>
        </w:rPr>
        <w:t>, расположенного по адресу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г. Москва, ул. Поварская, д. 30-36, стр.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1.</w:t>
      </w:r>
    </w:p>
    <w:p w14:paraId="0A000000">
      <w:pPr>
        <w:pStyle w:val="Style_2"/>
        <w:numPr>
          <w:ilvl w:val="0"/>
          <w:numId w:val="1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Краткая характеристика </w:t>
      </w:r>
      <w:r>
        <w:rPr>
          <w:rFonts w:ascii="Times New Roman" w:hAnsi="Times New Roman"/>
          <w:sz w:val="24"/>
        </w:rPr>
        <w:t>поставляемого товара</w:t>
      </w:r>
      <w:r>
        <w:rPr>
          <w:rFonts w:ascii="Times New Roman" w:hAnsi="Times New Roman"/>
          <w:sz w:val="24"/>
        </w:rPr>
        <w:t>.</w:t>
      </w:r>
    </w:p>
    <w:p w14:paraId="0B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Поставляемый товар должны быть новым (товаром, который не был в употреблении, не прошел</w:t>
      </w:r>
      <w:r>
        <w:rPr>
          <w:rFonts w:ascii="Times New Roman" w:hAnsi="Times New Roman"/>
          <w:sz w:val="24"/>
        </w:rPr>
        <w:t xml:space="preserve"> ремонт, в том числе восстанов</w:t>
      </w:r>
      <w:r>
        <w:rPr>
          <w:rFonts w:ascii="Times New Roman" w:hAnsi="Times New Roman"/>
          <w:sz w:val="24"/>
        </w:rPr>
        <w:t xml:space="preserve">ление, замену составных частей, восстановление </w:t>
      </w:r>
      <w:r>
        <w:rPr>
          <w:rFonts w:ascii="Times New Roman" w:hAnsi="Times New Roman"/>
          <w:sz w:val="24"/>
        </w:rPr>
        <w:t>потре</w:t>
      </w:r>
      <w:r>
        <w:rPr>
          <w:rFonts w:ascii="Times New Roman" w:hAnsi="Times New Roman"/>
          <w:sz w:val="24"/>
        </w:rPr>
        <w:t xml:space="preserve">бительских </w:t>
      </w:r>
      <w:r>
        <w:rPr>
          <w:rFonts w:ascii="Times New Roman" w:hAnsi="Times New Roman"/>
          <w:sz w:val="24"/>
        </w:rPr>
        <w:t xml:space="preserve">свойств), стилистически </w:t>
      </w:r>
      <w:r>
        <w:rPr>
          <w:rFonts w:ascii="Times New Roman" w:hAnsi="Times New Roman"/>
          <w:sz w:val="24"/>
        </w:rPr>
        <w:t>выполненным</w:t>
      </w:r>
      <w:r>
        <w:rPr>
          <w:rFonts w:ascii="Times New Roman" w:hAnsi="Times New Roman"/>
          <w:sz w:val="24"/>
        </w:rPr>
        <w:t xml:space="preserve"> в соответствии с Приложением № 1 к Техническому заданию.</w:t>
      </w:r>
      <w:r>
        <w:rPr>
          <w:rFonts w:ascii="Times New Roman" w:hAnsi="Times New Roman"/>
          <w:sz w:val="24"/>
        </w:rPr>
        <w:t xml:space="preserve"> Поставщик гарантирует качество и б</w:t>
      </w:r>
      <w:r>
        <w:rPr>
          <w:rFonts w:ascii="Times New Roman" w:hAnsi="Times New Roman"/>
          <w:sz w:val="24"/>
        </w:rPr>
        <w:t>езопасность поставляемого товара</w:t>
      </w:r>
      <w:r>
        <w:rPr>
          <w:rFonts w:ascii="Times New Roman" w:hAnsi="Times New Roman"/>
          <w:sz w:val="24"/>
        </w:rPr>
        <w:t>, в соответствии с действующими стандартами, утв</w:t>
      </w:r>
      <w:r>
        <w:rPr>
          <w:rFonts w:ascii="Times New Roman" w:hAnsi="Times New Roman"/>
          <w:sz w:val="24"/>
        </w:rPr>
        <w:t>ержденными на данный вид товара</w:t>
      </w:r>
      <w:r>
        <w:rPr>
          <w:rFonts w:ascii="Times New Roman" w:hAnsi="Times New Roman"/>
          <w:sz w:val="24"/>
        </w:rPr>
        <w:t xml:space="preserve"> и наличием сертификатов, обязательных для дан</w:t>
      </w:r>
      <w:r>
        <w:rPr>
          <w:rFonts w:ascii="Times New Roman" w:hAnsi="Times New Roman"/>
          <w:sz w:val="24"/>
        </w:rPr>
        <w:t>ного вида това</w:t>
      </w:r>
      <w:r>
        <w:rPr>
          <w:rFonts w:ascii="Times New Roman" w:hAnsi="Times New Roman"/>
          <w:sz w:val="24"/>
        </w:rPr>
        <w:t>ра</w:t>
      </w:r>
      <w:r>
        <w:rPr>
          <w:rFonts w:ascii="Times New Roman" w:hAnsi="Times New Roman"/>
          <w:sz w:val="24"/>
        </w:rPr>
        <w:t xml:space="preserve">, оформленных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соответствии </w:t>
      </w:r>
      <w:r>
        <w:rPr>
          <w:rFonts w:ascii="Times New Roman" w:hAnsi="Times New Roman"/>
          <w:sz w:val="24"/>
        </w:rPr>
        <w:t xml:space="preserve">с законодательством Российской </w:t>
      </w:r>
      <w:r>
        <w:rPr>
          <w:rFonts w:ascii="Times New Roman" w:hAnsi="Times New Roman"/>
          <w:sz w:val="24"/>
        </w:rPr>
        <w:t xml:space="preserve">Федерации. В </w:t>
      </w:r>
      <w:r>
        <w:rPr>
          <w:rFonts w:ascii="Times New Roman" w:hAnsi="Times New Roman"/>
          <w:sz w:val="24"/>
        </w:rPr>
        <w:t>комплекте к товару</w:t>
      </w:r>
      <w:r>
        <w:rPr>
          <w:rFonts w:ascii="Times New Roman" w:hAnsi="Times New Roman"/>
          <w:sz w:val="24"/>
        </w:rPr>
        <w:t xml:space="preserve"> должна быть вся крепежная и лицевая фурнитура.</w:t>
      </w:r>
    </w:p>
    <w:p w14:paraId="0C000000">
      <w:pPr>
        <w:pStyle w:val="Style_2"/>
        <w:numPr>
          <w:ilvl w:val="0"/>
          <w:numId w:val="1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и описание товара.</w:t>
      </w:r>
    </w:p>
    <w:p w14:paraId="0D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подписания Контракта требуются дополнительные замеры и согласование цвета и материала изделий с Заказчиком. </w:t>
      </w:r>
    </w:p>
    <w:tbl>
      <w:tblPr>
        <w:tblStyle w:val="Style_3"/>
        <w:tblW w:type="auto" w:w="0"/>
        <w:tblLayout w:type="fixed"/>
      </w:tblPr>
      <w:tblGrid>
        <w:gridCol w:w="556"/>
        <w:gridCol w:w="2700"/>
        <w:gridCol w:w="2186"/>
        <w:gridCol w:w="3342"/>
        <w:gridCol w:w="986"/>
      </w:tblGrid>
      <w:tr>
        <w:tc>
          <w:tcPr>
            <w:tcW w:type="dxa" w:w="556"/>
            <w:vAlign w:val="center"/>
          </w:tcPr>
          <w:p w14:paraId="0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type="dxa" w:w="2700"/>
            <w:vAlign w:val="center"/>
          </w:tcPr>
          <w:p w14:paraId="0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type="dxa" w:w="2186"/>
            <w:vAlign w:val="center"/>
          </w:tcPr>
          <w:p w14:paraId="1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</w:t>
            </w:r>
          </w:p>
        </w:tc>
        <w:tc>
          <w:tcPr>
            <w:tcW w:type="dxa" w:w="3342"/>
            <w:vAlign w:val="center"/>
          </w:tcPr>
          <w:p w14:paraId="1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Размеры изделия</w:t>
            </w:r>
          </w:p>
        </w:tc>
        <w:tc>
          <w:tcPr>
            <w:tcW w:type="dxa" w:w="986"/>
            <w:vAlign w:val="center"/>
          </w:tcPr>
          <w:p w14:paraId="1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</w:t>
            </w:r>
            <w:r>
              <w:rPr>
                <w:rFonts w:ascii="Times New Roman" w:hAnsi="Times New Roman"/>
                <w:sz w:val="24"/>
              </w:rPr>
              <w:t>во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шт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>
        <w:tc>
          <w:tcPr>
            <w:tcW w:type="dxa" w:w="556"/>
          </w:tcPr>
          <w:p w14:paraId="13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700"/>
          </w:tcPr>
          <w:p w14:paraId="1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рабочий офисный</w:t>
            </w:r>
          </w:p>
        </w:tc>
        <w:tc>
          <w:tcPr>
            <w:tcW w:type="dxa" w:w="2186"/>
          </w:tcPr>
          <w:p w14:paraId="15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Оттенок светлый</w:t>
            </w:r>
          </w:p>
        </w:tc>
        <w:tc>
          <w:tcPr>
            <w:tcW w:type="dxa" w:w="3342"/>
          </w:tcPr>
          <w:p w14:paraId="16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Длина не менее 110 см, не более 120см</w:t>
            </w:r>
          </w:p>
          <w:p w14:paraId="17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не менее 65см, не более 75 см</w:t>
            </w:r>
          </w:p>
          <w:p w14:paraId="18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 не менее 60 см, не более 80</w:t>
            </w:r>
          </w:p>
          <w:p w14:paraId="19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Толщина </w:t>
            </w:r>
            <w:r>
              <w:rPr>
                <w:rFonts w:ascii="Times New Roman" w:hAnsi="Times New Roman"/>
                <w:sz w:val="24"/>
              </w:rPr>
              <w:t>столешницы</w:t>
            </w:r>
            <w:r>
              <w:rPr>
                <w:rFonts w:ascii="Times New Roman" w:hAnsi="Times New Roman"/>
                <w:sz w:val="24"/>
              </w:rPr>
              <w:t xml:space="preserve"> не менее 3 см, не более 4 см</w:t>
            </w:r>
          </w:p>
          <w:p w14:paraId="1A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 изделия ЛДСП</w:t>
            </w:r>
          </w:p>
        </w:tc>
        <w:tc>
          <w:tcPr>
            <w:tcW w:type="dxa" w:w="986"/>
          </w:tcPr>
          <w:p w14:paraId="1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556"/>
          </w:tcPr>
          <w:p w14:paraId="1C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700"/>
          </w:tcPr>
          <w:p w14:paraId="1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переговорный</w:t>
            </w:r>
            <w:r>
              <w:rPr>
                <w:rFonts w:ascii="Times New Roman" w:hAnsi="Times New Roman"/>
                <w:sz w:val="24"/>
              </w:rPr>
              <w:t xml:space="preserve"> круглый</w:t>
            </w:r>
          </w:p>
        </w:tc>
        <w:tc>
          <w:tcPr>
            <w:tcW w:type="dxa" w:w="2186"/>
          </w:tcPr>
          <w:p w14:paraId="1E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Оттенок светлый</w:t>
            </w:r>
          </w:p>
        </w:tc>
        <w:tc>
          <w:tcPr>
            <w:tcW w:type="dxa" w:w="3342"/>
          </w:tcPr>
          <w:p w14:paraId="1F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Диаметр не менее </w:t>
            </w:r>
            <w:r>
              <w:rPr>
                <w:rFonts w:ascii="Times New Roman" w:hAnsi="Times New Roman"/>
                <w:sz w:val="24"/>
              </w:rPr>
              <w:t>110 см, не более 125</w:t>
            </w:r>
          </w:p>
          <w:p w14:paraId="20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 не менее 60 см, не более 80 см</w:t>
            </w:r>
          </w:p>
          <w:p w14:paraId="21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Толщина </w:t>
            </w:r>
            <w:r>
              <w:rPr>
                <w:rFonts w:ascii="Times New Roman" w:hAnsi="Times New Roman"/>
                <w:sz w:val="24"/>
              </w:rPr>
              <w:t>столешницы</w:t>
            </w:r>
            <w:r>
              <w:rPr>
                <w:rFonts w:ascii="Times New Roman" w:hAnsi="Times New Roman"/>
                <w:sz w:val="24"/>
              </w:rPr>
              <w:t xml:space="preserve"> не менее 4 см, не более 5 см</w:t>
            </w:r>
          </w:p>
          <w:p w14:paraId="22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 изделия ЛДСП</w:t>
            </w:r>
          </w:p>
        </w:tc>
        <w:tc>
          <w:tcPr>
            <w:tcW w:type="dxa" w:w="986"/>
          </w:tcPr>
          <w:p w14:paraId="2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556"/>
          </w:tcPr>
          <w:p w14:paraId="24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700"/>
          </w:tcPr>
          <w:p w14:paraId="2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Кресло офисное</w:t>
            </w:r>
          </w:p>
        </w:tc>
        <w:tc>
          <w:tcPr>
            <w:tcW w:type="dxa" w:w="2186"/>
          </w:tcPr>
          <w:p w14:paraId="26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Оттенок светлый</w:t>
            </w:r>
          </w:p>
        </w:tc>
        <w:tc>
          <w:tcPr>
            <w:tcW w:type="dxa" w:w="3342"/>
          </w:tcPr>
          <w:p w14:paraId="27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сиденья не менее 47 см, не более 50 см</w:t>
            </w:r>
          </w:p>
          <w:p w14:paraId="28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регулируемая от 90 см до 105 см.</w:t>
            </w:r>
          </w:p>
          <w:p w14:paraId="29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Каркас металл</w:t>
            </w:r>
          </w:p>
          <w:p w14:paraId="2A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 сидений, спинки, подлокотников - </w:t>
            </w:r>
            <w:r>
              <w:rPr>
                <w:rFonts w:ascii="Times New Roman" w:hAnsi="Times New Roman"/>
                <w:sz w:val="24"/>
              </w:rPr>
              <w:t>экокожа</w:t>
            </w:r>
          </w:p>
        </w:tc>
        <w:tc>
          <w:tcPr>
            <w:tcW w:type="dxa" w:w="986"/>
          </w:tcPr>
          <w:p w14:paraId="2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14:paraId="2C000000">
      <w:r>
        <w:br w:type="page"/>
      </w:r>
    </w:p>
    <w:tbl>
      <w:tblPr>
        <w:tblStyle w:val="Style_3"/>
        <w:tblW w:type="auto" w:w="0"/>
        <w:tblLayout w:type="fixed"/>
      </w:tblPr>
      <w:tblGrid>
        <w:gridCol w:w="556"/>
        <w:gridCol w:w="2700"/>
        <w:gridCol w:w="2186"/>
        <w:gridCol w:w="3342"/>
        <w:gridCol w:w="986"/>
      </w:tblGrid>
      <w:tr>
        <w:tc>
          <w:tcPr>
            <w:tcW w:type="dxa" w:w="556"/>
          </w:tcPr>
          <w:p w14:paraId="2D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700"/>
          </w:tcPr>
          <w:p w14:paraId="2E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Кресло переговорное</w:t>
            </w:r>
          </w:p>
        </w:tc>
        <w:tc>
          <w:tcPr>
            <w:tcW w:type="dxa" w:w="2186"/>
          </w:tcPr>
          <w:p w14:paraId="2F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Оттенок светлый</w:t>
            </w:r>
          </w:p>
        </w:tc>
        <w:tc>
          <w:tcPr>
            <w:tcW w:type="dxa" w:w="3342"/>
          </w:tcPr>
          <w:p w14:paraId="30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сиденья не менее 50 см, не более 55 см</w:t>
            </w:r>
          </w:p>
          <w:p w14:paraId="31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 сиденья не менее 45 см, не более 60 см</w:t>
            </w:r>
          </w:p>
          <w:p w14:paraId="32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Каркас металл</w:t>
            </w:r>
          </w:p>
          <w:p w14:paraId="33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 сидений, спинки, подлокотников - </w:t>
            </w:r>
            <w:r>
              <w:rPr>
                <w:rFonts w:ascii="Times New Roman" w:hAnsi="Times New Roman"/>
                <w:sz w:val="24"/>
              </w:rPr>
              <w:t>экокожа</w:t>
            </w:r>
          </w:p>
        </w:tc>
        <w:tc>
          <w:tcPr>
            <w:tcW w:type="dxa" w:w="986"/>
          </w:tcPr>
          <w:p w14:paraId="3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556"/>
          </w:tcPr>
          <w:p w14:paraId="35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700"/>
          </w:tcPr>
          <w:p w14:paraId="36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Стеллаж офисный</w:t>
            </w:r>
          </w:p>
        </w:tc>
        <w:tc>
          <w:tcPr>
            <w:tcW w:type="dxa" w:w="2186"/>
          </w:tcPr>
          <w:p w14:paraId="37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Оттенок светлый</w:t>
            </w:r>
          </w:p>
        </w:tc>
        <w:tc>
          <w:tcPr>
            <w:tcW w:type="dxa" w:w="3342"/>
          </w:tcPr>
          <w:p w14:paraId="38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Длина не менее 85 см, не более 95 см</w:t>
            </w:r>
          </w:p>
          <w:p w14:paraId="39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не менее 35 см, не более 45 см</w:t>
            </w:r>
          </w:p>
          <w:p w14:paraId="3A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 не менее 195 см, не более 205 см</w:t>
            </w:r>
          </w:p>
          <w:p w14:paraId="3B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 изделия ЛДСП</w:t>
            </w:r>
          </w:p>
        </w:tc>
        <w:tc>
          <w:tcPr>
            <w:tcW w:type="dxa" w:w="986"/>
          </w:tcPr>
          <w:p w14:paraId="3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556"/>
          </w:tcPr>
          <w:p w14:paraId="3D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700"/>
          </w:tcPr>
          <w:p w14:paraId="3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Стеллаж </w:t>
            </w:r>
          </w:p>
        </w:tc>
        <w:tc>
          <w:tcPr>
            <w:tcW w:type="dxa" w:w="2186"/>
          </w:tcPr>
          <w:p w14:paraId="3F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Оттенок светлый</w:t>
            </w:r>
          </w:p>
        </w:tc>
        <w:tc>
          <w:tcPr>
            <w:tcW w:type="dxa" w:w="3342"/>
          </w:tcPr>
          <w:p w14:paraId="40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Длина не менее 35 см, не более 45 см</w:t>
            </w:r>
          </w:p>
          <w:p w14:paraId="41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не менее 95 см, не более 105 см</w:t>
            </w:r>
          </w:p>
          <w:p w14:paraId="42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</w:t>
            </w:r>
            <w:r>
              <w:rPr>
                <w:rFonts w:ascii="Times New Roman" w:hAnsi="Times New Roman"/>
                <w:sz w:val="24"/>
              </w:rPr>
              <w:t>та не менее 155, не более 165 см</w:t>
            </w:r>
          </w:p>
          <w:p w14:paraId="43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 изделия ЛДСП</w:t>
            </w:r>
          </w:p>
        </w:tc>
        <w:tc>
          <w:tcPr>
            <w:tcW w:type="dxa" w:w="986"/>
          </w:tcPr>
          <w:p w14:paraId="4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56"/>
          </w:tcPr>
          <w:p w14:paraId="45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700"/>
          </w:tcPr>
          <w:p w14:paraId="4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Тумба офисная</w:t>
            </w:r>
          </w:p>
        </w:tc>
        <w:tc>
          <w:tcPr>
            <w:tcW w:type="dxa" w:w="2186"/>
          </w:tcPr>
          <w:p w14:paraId="47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Оттенок светлый</w:t>
            </w:r>
          </w:p>
        </w:tc>
        <w:tc>
          <w:tcPr>
            <w:tcW w:type="dxa" w:w="3342"/>
          </w:tcPr>
          <w:p w14:paraId="48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Длина не менее 75 см, не более 85 см</w:t>
            </w:r>
          </w:p>
          <w:p w14:paraId="49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не менее 45 см, не более 55 см</w:t>
            </w:r>
          </w:p>
          <w:p w14:paraId="4A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 не менее 115 см, не более 125 см</w:t>
            </w:r>
          </w:p>
          <w:p w14:paraId="4B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 изделия ЛДСП</w:t>
            </w:r>
          </w:p>
        </w:tc>
        <w:tc>
          <w:tcPr>
            <w:tcW w:type="dxa" w:w="986"/>
          </w:tcPr>
          <w:p w14:paraId="4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556"/>
          </w:tcPr>
          <w:p w14:paraId="4D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700"/>
          </w:tcPr>
          <w:p w14:paraId="4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Жалюзи оконные вертикальные</w:t>
            </w:r>
          </w:p>
        </w:tc>
        <w:tc>
          <w:tcPr>
            <w:tcW w:type="dxa" w:w="2186"/>
          </w:tcPr>
          <w:p w14:paraId="4F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Оттенок светлый</w:t>
            </w:r>
          </w:p>
        </w:tc>
        <w:tc>
          <w:tcPr>
            <w:tcW w:type="dxa" w:w="3342"/>
          </w:tcPr>
          <w:p w14:paraId="50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не менее 150 см, не более 160 см</w:t>
            </w:r>
          </w:p>
          <w:p w14:paraId="51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 не менее 150 см, не более 158 см</w:t>
            </w:r>
          </w:p>
          <w:p w14:paraId="52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 </w:t>
            </w:r>
            <w:r>
              <w:rPr>
                <w:rFonts w:ascii="Times New Roman" w:hAnsi="Times New Roman"/>
                <w:sz w:val="24"/>
              </w:rPr>
              <w:t>полиэстр</w:t>
            </w:r>
            <w:r>
              <w:rPr>
                <w:rFonts w:ascii="Times New Roman" w:hAnsi="Times New Roman"/>
                <w:sz w:val="24"/>
              </w:rPr>
              <w:t xml:space="preserve"> с противопожарной пропиткой</w:t>
            </w:r>
          </w:p>
        </w:tc>
        <w:tc>
          <w:tcPr>
            <w:tcW w:type="dxa" w:w="986"/>
          </w:tcPr>
          <w:p w14:paraId="5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556"/>
          </w:tcPr>
          <w:p w14:paraId="54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2700"/>
          </w:tcPr>
          <w:p w14:paraId="5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Доска магнитно-маркерная</w:t>
            </w:r>
          </w:p>
        </w:tc>
        <w:tc>
          <w:tcPr>
            <w:tcW w:type="dxa" w:w="2186"/>
          </w:tcPr>
          <w:p w14:paraId="56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Белый</w:t>
            </w:r>
          </w:p>
        </w:tc>
        <w:tc>
          <w:tcPr>
            <w:tcW w:type="dxa" w:w="3342"/>
          </w:tcPr>
          <w:p w14:paraId="57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не менее 145 см, не более 155 см</w:t>
            </w:r>
          </w:p>
          <w:p w14:paraId="58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Высота не 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енее 95 с, не более 105 см</w:t>
            </w:r>
          </w:p>
        </w:tc>
        <w:tc>
          <w:tcPr>
            <w:tcW w:type="dxa" w:w="986"/>
          </w:tcPr>
          <w:p w14:paraId="5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556"/>
          </w:tcPr>
          <w:p w14:paraId="5A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700"/>
          </w:tcPr>
          <w:p w14:paraId="5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</w:t>
            </w:r>
          </w:p>
        </w:tc>
        <w:tc>
          <w:tcPr>
            <w:tcW w:type="dxa" w:w="2186"/>
          </w:tcPr>
          <w:p w14:paraId="5C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Оттенок светлый</w:t>
            </w:r>
          </w:p>
        </w:tc>
        <w:tc>
          <w:tcPr>
            <w:tcW w:type="dxa" w:w="3342"/>
          </w:tcPr>
          <w:p w14:paraId="5D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Длина не менее 85 см, не более 95 см</w:t>
            </w:r>
          </w:p>
          <w:p w14:paraId="5E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не менее 45 см, не более 55 см</w:t>
            </w:r>
          </w:p>
          <w:p w14:paraId="5F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 не менее 210 см, не более 225 см</w:t>
            </w:r>
          </w:p>
          <w:p w14:paraId="60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 изделия ЛДСП</w:t>
            </w:r>
          </w:p>
        </w:tc>
        <w:tc>
          <w:tcPr>
            <w:tcW w:type="dxa" w:w="986"/>
          </w:tcPr>
          <w:p w14:paraId="6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14:paraId="62000000">
      <w:pPr>
        <w:pStyle w:val="Style_2"/>
        <w:widowControl w:val="0"/>
        <w:numPr>
          <w:ilvl w:val="0"/>
          <w:numId w:val="1"/>
        </w:numPr>
        <w:tabs>
          <w:tab w:leader="none" w:pos="1408" w:val="left"/>
        </w:tabs>
        <w:spacing w:after="0" w:before="72" w:line="276" w:lineRule="auto"/>
        <w:ind w:right="21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Сопутствующие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услуги,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перечень,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сроки </w:t>
      </w:r>
      <w:r>
        <w:rPr>
          <w:rFonts w:ascii="Times New Roman" w:hAnsi="Times New Roman"/>
          <w:spacing w:val="-2"/>
          <w:sz w:val="24"/>
        </w:rPr>
        <w:t>выполн</w:t>
      </w:r>
      <w:r>
        <w:rPr>
          <w:rFonts w:ascii="Times New Roman" w:hAnsi="Times New Roman"/>
          <w:spacing w:val="-2"/>
          <w:sz w:val="24"/>
        </w:rPr>
        <w:t>ения</w:t>
      </w:r>
    </w:p>
    <w:p w14:paraId="63000000">
      <w:pPr>
        <w:widowControl w:val="0"/>
        <w:spacing w:after="0" w:before="282" w:line="276" w:lineRule="auto"/>
        <w:ind w:firstLine="0" w:left="22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Сборку,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установку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осуществляет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Поставщик.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Сборка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осуществляется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течение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pacing w:val="40"/>
          <w:sz w:val="24"/>
        </w:rPr>
        <w:t>2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(двух) рабочих дней с даты доставки товара Заказчику.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Поставщик поставляет товары Заказчику собственным транспортом или с привлечением транспорта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третьих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лиц за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свой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счет. Все виды погрузо-разгрузочных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работ, включая работы с применением грузоподъемных средств, осуществляются Поставщиком.</w:t>
      </w:r>
    </w:p>
    <w:p w14:paraId="64000000">
      <w:pPr>
        <w:widowControl w:val="0"/>
        <w:spacing w:after="0" w:before="4" w:line="240" w:lineRule="auto"/>
        <w:ind/>
        <w:rPr>
          <w:rFonts w:ascii="Times New Roman" w:hAnsi="Times New Roman"/>
          <w:sz w:val="24"/>
        </w:rPr>
      </w:pPr>
    </w:p>
    <w:p w14:paraId="65000000">
      <w:pPr>
        <w:pStyle w:val="Style_2"/>
        <w:widowControl w:val="0"/>
        <w:numPr>
          <w:ilvl w:val="0"/>
          <w:numId w:val="1"/>
        </w:numPr>
        <w:tabs>
          <w:tab w:leader="none" w:pos="1441" w:val="left"/>
        </w:tabs>
        <w:spacing w:after="0" w:line="276" w:lineRule="auto"/>
        <w:ind w:right="234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Общие требования к поставке товаров, требования по объему гарантий качества, требования по сроку гарантий качества на результаты размещения заказа.</w:t>
      </w:r>
    </w:p>
    <w:p w14:paraId="6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Весь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товар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должен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быть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изготовлен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ранее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июня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2026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года.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 поставляемые товары Поставщик предоставляет гарантию качества в соответствии с нормативными документами на данный вид Товаров.</w:t>
      </w:r>
    </w:p>
    <w:p w14:paraId="67000000">
      <w:pPr>
        <w:widowControl w:val="0"/>
        <w:spacing w:after="0" w:line="276" w:lineRule="auto"/>
        <w:ind w:right="22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Гарантийный срок </w:t>
      </w:r>
      <w:r>
        <w:rPr>
          <w:rFonts w:ascii="Times New Roman" w:hAnsi="Times New Roman"/>
          <w:sz w:val="24"/>
        </w:rPr>
        <w:t>должен составлять не менее 1</w:t>
      </w:r>
      <w:bookmarkStart w:id="1" w:name="_GoBack"/>
      <w:bookmarkEnd w:id="1"/>
      <w:r>
        <w:rPr>
          <w:rFonts w:ascii="Times New Roman" w:hAnsi="Times New Roman"/>
          <w:sz w:val="24"/>
        </w:rPr>
        <w:t>2 месяцев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с даты подписания Акта приемки товаров.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Поставщик на период гарантийного срока оказывает весь комплекс бесплатных услуг: - по гарантийному ремонту мебели; устранение недостатков, транспортные услуги по доставке мебели до предприятий, осуществляющих ремонт, и обратно.</w:t>
      </w:r>
    </w:p>
    <w:p w14:paraId="68000000">
      <w:pPr>
        <w:widowControl w:val="0"/>
        <w:spacing w:after="0" w:line="276" w:lineRule="auto"/>
        <w:ind w:right="2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В случае если ремонт мебели продолжается более 5 (пяти) рабочих дней,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Поставщик предоставляет аналогичную мебель на период ремонта. При обнаружении производственных дефектов и невозможности их устранения на месте, эта продукция подлежит замене.</w:t>
      </w:r>
    </w:p>
    <w:p w14:paraId="69000000">
      <w:pPr>
        <w:widowControl w:val="0"/>
        <w:spacing w:after="0" w:line="276" w:lineRule="auto"/>
        <w:ind w:right="2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Первоначальная диагностика неисправностей, мелкий ремонт и замена комплектующих должна производиться с выездом специалиста на место установки мебели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в течение 24 (двадцати четырех) часов после уведомления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телефону или факсимильной </w:t>
      </w:r>
      <w:r>
        <w:rPr>
          <w:rFonts w:ascii="Times New Roman" w:hAnsi="Times New Roman"/>
          <w:spacing w:val="-2"/>
          <w:sz w:val="24"/>
        </w:rPr>
        <w:t>связи.</w:t>
      </w:r>
    </w:p>
    <w:p w14:paraId="6A000000">
      <w:pPr>
        <w:widowControl w:val="0"/>
        <w:spacing w:after="0"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период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гарантийного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срока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Поставщик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обязуется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свой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счет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производить гарантийный ремонт.</w:t>
      </w:r>
    </w:p>
    <w:p w14:paraId="6B000000">
      <w:pPr>
        <w:widowControl w:val="0"/>
        <w:spacing w:after="0"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6C000000">
      <w:pPr>
        <w:pStyle w:val="Style_2"/>
        <w:widowControl w:val="0"/>
        <w:numPr>
          <w:ilvl w:val="0"/>
          <w:numId w:val="1"/>
        </w:numPr>
        <w:spacing w:after="0"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Требования к функциональным и качественным характеристикам</w:t>
      </w:r>
    </w:p>
    <w:p w14:paraId="6D000000">
      <w:pPr>
        <w:pStyle w:val="Style_4"/>
        <w:spacing w:before="192"/>
        <w:ind w:firstLine="0" w:left="93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Требования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безопасности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качеству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товара</w:t>
      </w:r>
      <w:r>
        <w:rPr>
          <w:rFonts w:ascii="Times New Roman" w:hAnsi="Times New Roman"/>
          <w:spacing w:val="-2"/>
          <w:sz w:val="24"/>
        </w:rPr>
        <w:t>:</w:t>
      </w:r>
    </w:p>
    <w:p w14:paraId="6E000000">
      <w:pPr>
        <w:widowControl w:val="0"/>
        <w:tabs>
          <w:tab w:leader="none" w:pos="1211" w:val="left"/>
        </w:tabs>
        <w:spacing w:after="0" w:line="276" w:lineRule="auto"/>
        <w:ind w:firstLine="0" w:left="-59" w:right="2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</w:t>
      </w:r>
      <w:r>
        <w:rPr>
          <w:rFonts w:ascii="Times New Roman" w:hAnsi="Times New Roman"/>
          <w:sz w:val="24"/>
        </w:rPr>
        <w:t xml:space="preserve">     Вкладные и накладные элементы (</w:t>
      </w:r>
      <w:r>
        <w:rPr>
          <w:rFonts w:ascii="Times New Roman" w:hAnsi="Times New Roman"/>
          <w:sz w:val="24"/>
        </w:rPr>
        <w:t>например</w:t>
      </w:r>
      <w:r>
        <w:rPr>
          <w:rFonts w:ascii="Times New Roman" w:hAnsi="Times New Roman"/>
          <w:sz w:val="24"/>
        </w:rPr>
        <w:t>: донья ящиков, филенки, стекло, декоративные элементы и другие) должны быть закреплены неподвижно;</w:t>
      </w:r>
    </w:p>
    <w:p w14:paraId="6F000000">
      <w:pPr>
        <w:widowControl w:val="0"/>
        <w:tabs>
          <w:tab w:leader="none" w:pos="1173" w:val="left"/>
        </w:tabs>
        <w:spacing w:after="0" w:line="276" w:lineRule="auto"/>
        <w:ind w:firstLine="0" w:left="-59" w:right="2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</w:t>
      </w: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Трансформируемые, выдвижные, раздвижные элементы изделий мебели должны иметь свободный ход без заеданий и перекосов;</w:t>
      </w:r>
    </w:p>
    <w:p w14:paraId="70000000">
      <w:pPr>
        <w:widowControl w:val="0"/>
        <w:tabs>
          <w:tab w:leader="none" w:pos="1154" w:val="left"/>
        </w:tabs>
        <w:spacing w:after="0" w:line="276" w:lineRule="auto"/>
        <w:ind w:firstLine="0" w:left="-59" w:right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           </w:t>
      </w:r>
      <w:r>
        <w:rPr>
          <w:rFonts w:ascii="Times New Roman" w:hAnsi="Times New Roman"/>
          <w:sz w:val="24"/>
        </w:rPr>
        <w:t xml:space="preserve">Фурнитура, выходящая на поверхность изделий, не должна иметь заусенцев; ребра торцов </w:t>
      </w:r>
      <w:r>
        <w:rPr>
          <w:rFonts w:ascii="Times New Roman" w:hAnsi="Times New Roman"/>
          <w:sz w:val="24"/>
        </w:rPr>
        <w:t>погонажных</w:t>
      </w:r>
      <w:r>
        <w:rPr>
          <w:rFonts w:ascii="Times New Roman" w:hAnsi="Times New Roman"/>
          <w:sz w:val="24"/>
        </w:rPr>
        <w:t xml:space="preserve"> деталей должны быть притуплены;</w:t>
      </w:r>
    </w:p>
    <w:p w14:paraId="71000000">
      <w:pPr>
        <w:widowControl w:val="0"/>
        <w:tabs>
          <w:tab w:leader="none" w:pos="1209" w:val="left"/>
        </w:tabs>
        <w:spacing w:after="0" w:line="276" w:lineRule="auto"/>
        <w:ind w:firstLine="0" w:left="-59" w:right="22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     </w:t>
      </w:r>
      <w:r>
        <w:rPr>
          <w:rFonts w:ascii="Times New Roman" w:hAnsi="Times New Roman"/>
          <w:sz w:val="24"/>
        </w:rPr>
        <w:t>Замки должны быть неподвижно и прочно закреплены на деталях изделий и установлены так, чтобы было обеспечено их легкое отпирание и запирание;</w:t>
      </w:r>
    </w:p>
    <w:p w14:paraId="72000000">
      <w:pPr>
        <w:widowControl w:val="0"/>
        <w:tabs>
          <w:tab w:leader="none" w:pos="1147" w:val="left"/>
        </w:tabs>
        <w:spacing w:after="0" w:line="276" w:lineRule="auto"/>
        <w:ind w:firstLine="0" w:left="-59" w:right="2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6.5.           </w:t>
      </w:r>
      <w:r>
        <w:rPr>
          <w:rFonts w:ascii="Times New Roman" w:hAnsi="Times New Roman"/>
          <w:sz w:val="24"/>
        </w:rPr>
        <w:t>Двери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изделий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без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замков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должны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иметь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петли,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предотвращающие их самопроизвольное открывание.</w:t>
      </w:r>
    </w:p>
    <w:p w14:paraId="73000000">
      <w:pPr>
        <w:widowControl w:val="0"/>
        <w:tabs>
          <w:tab w:leader="none" w:pos="1166" w:val="left"/>
        </w:tabs>
        <w:spacing w:after="0" w:line="276" w:lineRule="auto"/>
        <w:ind w:firstLine="0" w:left="-59" w:right="2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6.6.         </w:t>
      </w:r>
      <w:r>
        <w:rPr>
          <w:rFonts w:ascii="Times New Roman" w:hAnsi="Times New Roman"/>
          <w:sz w:val="24"/>
        </w:rPr>
        <w:t>Мебель собирается на эксцентриковых стяжках. Все изделия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устанавливаются на регулируемые по высоте опоры. Стекло – прозрачное с полированной кромкой. В стеллажах предусмотрена универсальная навеска дверей.</w:t>
      </w:r>
    </w:p>
    <w:p w14:paraId="74000000">
      <w:pPr>
        <w:widowControl w:val="0"/>
        <w:tabs>
          <w:tab w:leader="none" w:pos="1173" w:val="left"/>
        </w:tabs>
        <w:spacing w:after="0" w:line="276" w:lineRule="auto"/>
        <w:ind w:firstLine="0" w:left="-59" w:right="2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6.7.        </w:t>
      </w:r>
      <w:r>
        <w:rPr>
          <w:rFonts w:ascii="Times New Roman" w:hAnsi="Times New Roman"/>
          <w:sz w:val="24"/>
        </w:rPr>
        <w:t>Товар должен быть изготовлен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из экологически чистого материала и не должен причинять вреда здоровью человека, а также соответствовать требованиям нормативных </w:t>
      </w:r>
      <w:r>
        <w:rPr>
          <w:rFonts w:ascii="Times New Roman" w:hAnsi="Times New Roman"/>
          <w:spacing w:val="-2"/>
          <w:sz w:val="24"/>
        </w:rPr>
        <w:t>документов.</w:t>
      </w:r>
    </w:p>
    <w:p w14:paraId="75000000">
      <w:pPr>
        <w:widowControl w:val="0"/>
        <w:tabs>
          <w:tab w:leader="none" w:pos="1173" w:val="left"/>
        </w:tabs>
        <w:spacing w:after="0" w:line="276" w:lineRule="auto"/>
        <w:ind w:firstLine="0" w:left="-59" w:right="2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6.8.          </w:t>
      </w:r>
      <w:r>
        <w:rPr>
          <w:rFonts w:ascii="Times New Roman" w:hAnsi="Times New Roman"/>
          <w:sz w:val="24"/>
        </w:rPr>
        <w:t>Качество и безопасность поставляемого товара должно соответствовать действующим стандартами, утвержденными в отношении данного вида товара, и подтверждаться наличием сертификатов, обязательных для данного вида товара, оформленных в соответствии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действующим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российским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законодательством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требованиям,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изложенным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 настоящем Техническом задании.</w:t>
      </w:r>
    </w:p>
    <w:p w14:paraId="76000000">
      <w:pPr>
        <w:widowControl w:val="0"/>
        <w:spacing w:after="0" w:before="200" w:line="276" w:lineRule="auto"/>
        <w:ind w:firstLine="0" w:left="222" w:right="228"/>
        <w:jc w:val="both"/>
        <w:rPr>
          <w:rFonts w:ascii="Times New Roman" w:hAnsi="Times New Roman"/>
          <w:sz w:val="24"/>
        </w:rPr>
      </w:pPr>
    </w:p>
    <w:p w14:paraId="77000000">
      <w:pPr>
        <w:widowControl w:val="0"/>
        <w:tabs>
          <w:tab w:leader="none" w:pos="1264" w:val="left"/>
        </w:tabs>
        <w:spacing w:after="0" w:line="276" w:lineRule="auto"/>
        <w:ind w:right="234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7. </w:t>
      </w:r>
      <w:r>
        <w:rPr>
          <w:rFonts w:ascii="Times New Roman" w:hAnsi="Times New Roman"/>
          <w:sz w:val="24"/>
        </w:rPr>
        <w:t>Требования соответствия норм</w:t>
      </w:r>
      <w:r>
        <w:rPr>
          <w:rFonts w:ascii="Times New Roman" w:hAnsi="Times New Roman"/>
          <w:sz w:val="24"/>
        </w:rPr>
        <w:t>ативным документам.</w:t>
      </w:r>
    </w:p>
    <w:p w14:paraId="78000000">
      <w:pPr>
        <w:widowControl w:val="0"/>
        <w:tabs>
          <w:tab w:leader="none" w:pos="1264" w:val="left"/>
        </w:tabs>
        <w:spacing w:after="0" w:line="276" w:lineRule="auto"/>
        <w:ind w:right="234"/>
        <w:jc w:val="both"/>
        <w:outlineLvl w:val="0"/>
        <w:rPr>
          <w:rFonts w:ascii="Times New Roman" w:hAnsi="Times New Roman"/>
          <w:sz w:val="24"/>
        </w:rPr>
      </w:pPr>
    </w:p>
    <w:p w14:paraId="79000000">
      <w:pPr>
        <w:widowControl w:val="0"/>
        <w:tabs>
          <w:tab w:leader="none" w:pos="1264" w:val="left"/>
        </w:tabs>
        <w:spacing w:after="0" w:line="276" w:lineRule="auto"/>
        <w:ind w:right="234"/>
        <w:jc w:val="both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Товар и его комплектующие должны соответствовать следующим государственным стандартам:</w:t>
      </w:r>
      <w:r>
        <w:rPr>
          <w:rFonts w:ascii="Times New Roman" w:hAnsi="Times New Roman"/>
          <w:sz w:val="24"/>
        </w:rPr>
        <w:t xml:space="preserve"> ГОСТ 16371-2014, </w:t>
      </w:r>
      <w:r>
        <w:rPr>
          <w:rFonts w:ascii="Times New Roman" w:hAnsi="Times New Roman"/>
          <w:sz w:val="24"/>
        </w:rPr>
        <w:t>ГОСТ 26800.1-86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ГОСТ 26800.2-86</w:t>
      </w:r>
      <w:r>
        <w:rPr>
          <w:rFonts w:ascii="Times New Roman" w:hAnsi="Times New Roman"/>
          <w:sz w:val="24"/>
        </w:rPr>
        <w:t>, ГОСТ 26800.4-86.</w:t>
      </w:r>
    </w:p>
    <w:p w14:paraId="7A000000">
      <w:pPr>
        <w:sectPr>
          <w:headerReference r:id="rId2" w:type="default"/>
          <w:pgSz w:h="16840" w:orient="portrait" w:w="11910"/>
          <w:pgMar w:bottom="568" w:footer="720" w:gutter="0" w:header="624" w:left="1480" w:right="620" w:top="851"/>
        </w:sectPr>
      </w:pPr>
    </w:p>
    <w:p w14:paraId="7B000000">
      <w:pPr>
        <w:pStyle w:val="Style_2"/>
        <w:widowControl w:val="0"/>
        <w:numPr>
          <w:ilvl w:val="0"/>
          <w:numId w:val="2"/>
        </w:numPr>
        <w:tabs>
          <w:tab w:leader="none" w:pos="1314" w:val="left"/>
        </w:tabs>
        <w:spacing w:after="0" w:line="276" w:lineRule="auto"/>
        <w:ind w:right="232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Сроки поставки товара.</w:t>
      </w:r>
    </w:p>
    <w:p w14:paraId="7C000000">
      <w:pPr>
        <w:widowControl w:val="0"/>
        <w:spacing w:after="0" w:before="200" w:line="276" w:lineRule="auto"/>
        <w:ind w:firstLine="0" w:left="222" w:right="7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Поставка осуществляется единовременно в т</w:t>
      </w:r>
      <w:r>
        <w:rPr>
          <w:rFonts w:ascii="Times New Roman" w:hAnsi="Times New Roman"/>
          <w:sz w:val="24"/>
        </w:rPr>
        <w:t>ечение 30 (Тридцать</w:t>
      </w:r>
      <w:r>
        <w:rPr>
          <w:rFonts w:ascii="Times New Roman" w:hAnsi="Times New Roman"/>
          <w:sz w:val="24"/>
        </w:rPr>
        <w:t xml:space="preserve">) календарных дней со дня </w:t>
      </w:r>
      <w:r>
        <w:rPr>
          <w:rFonts w:ascii="Times New Roman" w:hAnsi="Times New Roman"/>
          <w:sz w:val="24"/>
        </w:rPr>
        <w:t>подписания договора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Сборка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установка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товара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осуществляется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течение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(пяти)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рабочих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дней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момента поставки товара.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Поставщик поставляет Товары Заказчику собственным транспортом или с привлечением транспорта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третьих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лиц за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свой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счет. Все виды погрузо-разгрузочных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работ, включая работы с применением грузоподъемных средств, осуществляются Поставщиком.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Сборку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установку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осуществляет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Поставщик.</w:t>
      </w:r>
    </w:p>
    <w:p w14:paraId="7D000000">
      <w:pPr>
        <w:widowControl w:val="0"/>
        <w:spacing w:after="0" w:line="276" w:lineRule="auto"/>
        <w:ind w:right="3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>Стоимость упаковки, доставки, сборки, погрузочно-разгрузочных работ, транспортные расходы, расходы по уборке и вывозу упаковочного материала, таможенному оформлению и страхованию, все налоги, сборы и другие обязательные платежи, взимаемые на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территории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Федерации, 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все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затраты, издержки и расходы Поставщика, связанные с исполнением обязательств, включены в цену </w:t>
      </w:r>
      <w:r>
        <w:rPr>
          <w:rFonts w:ascii="Times New Roman" w:hAnsi="Times New Roman"/>
          <w:spacing w:val="-2"/>
          <w:sz w:val="24"/>
        </w:rPr>
        <w:t>Контракта.</w:t>
      </w:r>
    </w:p>
    <w:p w14:paraId="7E000000">
      <w:pPr>
        <w:widowControl w:val="0"/>
        <w:spacing w:after="0" w:line="276" w:lineRule="auto"/>
        <w:ind w:right="3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Поставщик предоставляет Заказчику товар, соответствующий государственным стандартам качества и техническим требованиям, указанным в настоящем техническом </w:t>
      </w:r>
      <w:r>
        <w:rPr>
          <w:rFonts w:ascii="Times New Roman" w:hAnsi="Times New Roman"/>
          <w:spacing w:val="-2"/>
          <w:sz w:val="24"/>
        </w:rPr>
        <w:t>задании.</w:t>
      </w:r>
    </w:p>
    <w:p w14:paraId="7F000000">
      <w:pPr>
        <w:widowControl w:val="0"/>
        <w:spacing w:after="0" w:line="276" w:lineRule="auto"/>
        <w:ind w:right="3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>Поставщик предоставляет Заказчику вместе с товаром сертификаты соответствия, технические паспорта, инструкции по эксплуатации и другую имеющуюся документацию на товар, подтверждающие качество товара, оформленные в соответствии с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законодательством Российской Федерации. Вся указанная документация на товар предоставляется на русском языке.</w:t>
      </w:r>
    </w:p>
    <w:p w14:paraId="80000000">
      <w:pPr>
        <w:widowControl w:val="0"/>
        <w:spacing w:after="0" w:line="276" w:lineRule="auto"/>
        <w:ind w:right="3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Упаковка должна обеспечивать сохранность товара</w:t>
      </w:r>
      <w:r>
        <w:rPr>
          <w:rFonts w:ascii="Times New Roman" w:hAnsi="Times New Roman"/>
          <w:sz w:val="24"/>
        </w:rPr>
        <w:t xml:space="preserve"> при транспортировке и погрузо-</w:t>
      </w:r>
      <w:r>
        <w:rPr>
          <w:rFonts w:ascii="Times New Roman" w:hAnsi="Times New Roman"/>
          <w:sz w:val="24"/>
        </w:rPr>
        <w:t>разгрузочных работах к конечному месту эксплуатации. Упаковка и маркировка товара должны соответствовать требованиям ГОСТа.</w:t>
      </w:r>
    </w:p>
    <w:p w14:paraId="81000000">
      <w:pPr>
        <w:widowControl w:val="0"/>
        <w:spacing w:after="0" w:line="276" w:lineRule="auto"/>
        <w:ind w:right="3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Маркировка товара должна содержать: наименование изделия, наименование фирмы- изготовителя, юридический адрес изготовителя, дату выпуска и гарантийный срок службы. Маркировка упаковки должна строго соотв</w:t>
      </w:r>
      <w:r>
        <w:rPr>
          <w:rFonts w:ascii="Cambria" w:hAnsi="Cambria"/>
        </w:rPr>
        <w:t>етствовать маркировке то</w:t>
      </w:r>
      <w:r>
        <w:rPr>
          <w:rFonts w:ascii="Cambria" w:hAnsi="Cambria"/>
        </w:rPr>
        <w:t>вара</w:t>
      </w:r>
    </w:p>
    <w:sectPr>
      <w:headerReference r:id="rId1" w:type="default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8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4" w:type="paragraph">
    <w:name w:val="Body Text"/>
    <w:basedOn w:val="Style_5"/>
    <w:link w:val="Style_4_ch"/>
    <w:pPr>
      <w:spacing w:after="120"/>
      <w:ind/>
    </w:pPr>
  </w:style>
  <w:style w:styleId="Style_4_ch" w:type="character">
    <w:name w:val="Body Text"/>
    <w:basedOn w:val="Style_5_ch"/>
    <w:link w:val="Style_4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footer"/>
    <w:basedOn w:val="Style_5"/>
    <w:link w:val="Style_1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2_ch" w:type="character">
    <w:name w:val="footer"/>
    <w:basedOn w:val="Style_5_ch"/>
    <w:link w:val="Style_12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2" w:type="paragraph">
    <w:name w:val="List Paragraph"/>
    <w:basedOn w:val="Style_5"/>
    <w:link w:val="Style_2_ch"/>
    <w:pPr>
      <w:ind w:firstLine="0" w:left="720"/>
      <w:contextualSpacing w:val="1"/>
    </w:pPr>
  </w:style>
  <w:style w:styleId="Style_2_ch" w:type="character">
    <w:name w:val="List Paragraph"/>
    <w:basedOn w:val="Style_5_ch"/>
    <w:link w:val="Style_2"/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Balloon Text"/>
    <w:basedOn w:val="Style_5"/>
    <w:link w:val="Style_18_ch"/>
    <w:pPr>
      <w:spacing w:after="0" w:line="240" w:lineRule="auto"/>
      <w:ind/>
    </w:pPr>
    <w:rPr>
      <w:rFonts w:ascii="Segoe UI" w:hAnsi="Segoe UI"/>
      <w:sz w:val="18"/>
    </w:rPr>
  </w:style>
  <w:style w:styleId="Style_18_ch" w:type="character">
    <w:name w:val="Balloon Text"/>
    <w:basedOn w:val="Style_5_ch"/>
    <w:link w:val="Style_18"/>
    <w:rPr>
      <w:rFonts w:ascii="Segoe UI" w:hAnsi="Segoe UI"/>
      <w:sz w:val="18"/>
    </w:rPr>
  </w:style>
  <w:style w:styleId="Style_19" w:type="paragraph">
    <w:name w:val="toc 1"/>
    <w:next w:val="Style_5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5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5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5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Subtitle"/>
    <w:next w:val="Style_5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5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5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5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29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2026-08-12T07:10:04Z</dcterms:modified>
</cp:coreProperties>
</file>