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Государственный контракт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___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на оказание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услуг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 проведению технической экспертизы и выдаче заключений для списания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копировально-множительной техники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14:ligatures w14:val="non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ИКЗ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612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90112783129010100100060000000244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Архангельск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«___» </w:t>
      </w:r>
      <w:r>
        <w:rPr>
          <w:rFonts w:ascii="Times New Roman" w:hAnsi="Times New Roman" w:cs="Times New Roman"/>
          <w:sz w:val="24"/>
          <w:szCs w:val="24"/>
        </w:rPr>
        <w:t xml:space="preserve">_______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Северное межрегиональное управление Федеральной службы по надзору в сфере природопользования (Северное межрегиональное управление Росприроднадзора)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именуемое в дальнейшем «Заказчик», в лице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руководителя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Горних Александра Федоровича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действующего на основании Положения об Управлении, утвержденног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о приказом Росприроднадзора от 31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.0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1.2022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№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60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с одной стороны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действующ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именуем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дальнейшем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Исполнитель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другой стороны, вместе именуемые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Стороны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государственный 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оказание услуг по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обследованию технического состояния (диагностике) принтеров и МФУ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о нижеследующем: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1. Предмет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а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</w:p>
    <w:p>
      <w:pPr>
        <w:pStyle w:val="873"/>
        <w:ind w:left="0" w:firstLine="709"/>
        <w:jc w:val="both"/>
        <w:rPr>
          <w:rFonts w:ascii="Times New Roman" w:hAnsi="Times New Roman" w:eastAsia="Arial" w:cs="Times New Roman"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1.1. Исполнитель обязуется оказать услуги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проведению технической экспертизы и выдаче заключений для списания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копировально-множительной техники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 Заказчика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, именуемые в дальнейшем Услуги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 в соответствии с техническим заданием приложение № 1 к 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контракт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у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, а Заказчик обязуется создать Исполнителю все необходимые условия для оказания Услуг, принять и оплатить эти Услуги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порядке и на условиях,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</w:p>
    <w:p>
      <w:pPr>
        <w:pStyle w:val="873"/>
        <w:ind w:left="0" w:firstLine="709"/>
        <w:jc w:val="both"/>
        <w:rPr>
          <w:rFonts w:ascii="Times New Roman" w:hAnsi="Times New Roman" w:eastAsia="Arial" w:cs="Times New Roman"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1.2. Оказание Услуг производится по месту нахождения Исполнителя. До места оказания 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Услуг 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орг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техника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 доставляется силами и средствами Исполнителя.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</w:p>
    <w:p>
      <w:pPr>
        <w:pStyle w:val="873"/>
        <w:ind w:left="0" w:firstLine="709"/>
        <w:jc w:val="both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eastAsia="Arial" w:cs="Times New Roman"/>
          <w:sz w:val="24"/>
          <w:szCs w:val="24"/>
        </w:rPr>
        <w:t xml:space="preserve">Оказание услуг осуществляется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срок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течении 10 рабочих дней с даты заключения контракта</w:t>
      </w:r>
      <w:r>
        <w:rPr>
          <w:rFonts w:ascii="Times New Roman" w:hAnsi="Times New Roman" w:eastAsia="Arial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873"/>
        <w:ind w:left="0" w:firstLine="709"/>
        <w:jc w:val="both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873"/>
        <w:ind w:left="0" w:firstLine="709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2. Обязанности сторон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81"/>
        <w:numPr>
          <w:ilvl w:val="1"/>
          <w:numId w:val="9"/>
        </w:numPr>
        <w:ind w:left="0" w:firstLine="700"/>
        <w:jc w:val="both"/>
        <w:spacing w:after="0" w:line="240" w:lineRule="auto"/>
        <w:tabs>
          <w:tab w:val="clear" w:pos="360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Требовать от Исполнителя надлежащего исполнения обязательств в соответствии с настоящим контрактом, а также требовать своевременного устранения выявленных недостатков оказанных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Запрашивать у Исполнителя информацию о ходе оказываемых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любое</w:t>
      </w:r>
      <w:r>
        <w:rPr>
          <w:rFonts w:ascii="Times New Roman" w:hAnsi="Times New Roman" w:cs="Times New Roman"/>
          <w:sz w:val="24"/>
          <w:szCs w:val="24"/>
        </w:rPr>
        <w:t xml:space="preserve"> время осуществлять контроль за ходом оказания услуг и их качеством, соблюдением сроков оказания услуг, не вмешиваясь при этом в деятельность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1"/>
          <w:numId w:val="9"/>
        </w:numPr>
        <w:ind w:left="0" w:firstLine="700"/>
        <w:jc w:val="both"/>
        <w:spacing w:after="0" w:line="240" w:lineRule="auto"/>
        <w:tabs>
          <w:tab w:val="clear" w:pos="360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5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Предоставить всю необходимую информацию для оказания услуг.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5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и оплатить оказанные услуги в соответствии с условиями, установленными настоящим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5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Представить Исполнителю оборудование, сведения, документы, необходимые для выполнения им своих обязател</w:t>
      </w:r>
      <w:r>
        <w:rPr>
          <w:rFonts w:ascii="Times New Roman" w:hAnsi="Times New Roman"/>
          <w:color w:val="000000"/>
          <w:sz w:val="24"/>
          <w:szCs w:val="24"/>
        </w:rPr>
        <w:t xml:space="preserve">ьств по контракту, в соответствии с письменными запросами уполномоченных представителей Исполнителя.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5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Предоставлять по запросам Исполнителя разъяснения и уточнения в части оказания услуг в соответствии с условиями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5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При обнаружении в ходе осуществления контроля за оказанием услуг отступлений от условий контракта, которые могут ухудшить качество услуг, немедленно заявить об этом Исполнителю.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numPr>
          <w:ilvl w:val="1"/>
          <w:numId w:val="9"/>
        </w:numPr>
        <w:ind w:left="0" w:firstLine="700"/>
        <w:jc w:val="both"/>
        <w:spacing w:after="0" w:line="240" w:lineRule="auto"/>
        <w:tabs>
          <w:tab w:val="clear" w:pos="360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Исполнитель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Требовать оплаты оказанных услуг на условиях, установленных настоящим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контрактом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5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clear" w:pos="740" w:leader="none"/>
          <w:tab w:val="left" w:pos="851" w:leader="none"/>
          <w:tab w:val="left" w:pos="992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Получать от Заказчика содействие в оказании услуг.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5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clear" w:pos="740" w:leader="none"/>
          <w:tab w:val="left" w:pos="851" w:leader="none"/>
          <w:tab w:val="left" w:pos="992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Направлять Заказчику письменные запросы и получать от него сведения, документы, необходимые для выполнения обязательств по контракту, а также разъяснения и уточнения по вопросам оказания услуг в рамках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Принять решение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1"/>
          <w:numId w:val="9"/>
        </w:numPr>
        <w:ind w:left="0" w:firstLine="700"/>
        <w:jc w:val="both"/>
        <w:spacing w:after="0" w:line="240" w:lineRule="auto"/>
        <w:tabs>
          <w:tab w:val="clear" w:pos="360" w:leader="none"/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олнитель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Оказать услуги на условиях, установленных настоящим </w:t>
      </w:r>
      <w:r>
        <w:rPr>
          <w:rFonts w:ascii="Times New Roman" w:hAnsi="Times New Roman" w:cs="Times New Roman"/>
          <w:sz w:val="24"/>
          <w:szCs w:val="24"/>
        </w:rPr>
        <w:t xml:space="preserve">контрактом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Обеспечить соответствие результатов услуг требованиям качества, установленным законодательством Российской Федерации к услугам такого рода. </w:t>
      </w:r>
      <w:r>
        <w:rPr>
          <w:rFonts w:ascii="Times New Roman" w:hAnsi="Times New Roman" w:cs="Times New Roman"/>
          <w:sz w:val="24"/>
          <w:szCs w:val="24"/>
        </w:rPr>
        <w:t xml:space="preserve">Представить по результатам проведенного технического обследования (диагностике) имущества Заказчика письменное техническое заключение (акт технического заключения) в печатном виде на бумажном носителе.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с требованиями действующего законодательства Российской Федерации обеспечить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наличие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соответствующих разрешений (лицензий), иных документов, необходимых для исполнения обязательств по настоящему контракту (в случаях, предусмотренных законодательством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numPr>
          <w:ilvl w:val="2"/>
          <w:numId w:val="9"/>
        </w:numPr>
        <w:ind w:left="0" w:firstLine="700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Своевременно предоставлять достоверну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ю информацию о ходе исполнения своих обязательств, в том числе о сложностях, возникающих при исполнении настоящего контракта. При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en-US"/>
        </w:rPr>
        <w:t xml:space="preserve"> 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этом под своевременностью предоставления информации понимается ее предоставление в срок не более 2 рабочих дней со дня получения запроса от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Заказчика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, а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val="en-US"/>
        </w:rPr>
        <w:t xml:space="preserve"> 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</w:rPr>
        <w:t xml:space="preserve">также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иных случаях – по собственной инициативе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3. Стоимость услуг и порядок расчетов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3.1.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Цена настоящего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Контракт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а составляет__________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(__________________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) рублей ___ копеек, в том числе НДС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__________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(__________________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) рублей ___ копеек,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  НДС не облагается.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3.2. Цена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Контракт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а включает все расходы Исполнителя, производимые им в процессе оказания Услуг, в том числе: стоимость расходных материалов, расходы на доставку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, хранение, погрузочно-разгрузочные работы,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 а также расходы на страхование, уплату всех налогов, сборов, таможенных пошлин и других обязательных платежей.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3.3. Цена настоящего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Контракт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а является твердой и определяется на весь срок исполнения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Контракт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а за исключением случаев,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настоящим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Контракт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ом.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3.4. Источник финансирования настоящего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Контракт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а – Федеральный бюджет.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5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. Услуги оплачиваются Заказчиком на основании подписанного Сторонами акта оказанных услуг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и получения от Исполнителя надлежаще оформленного счета, счета-ф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актуры (при наличии)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(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далее – документы о приемке)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 </w:t>
      </w:r>
      <w:r/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в срок 7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 рабочих дней с даты подписания документов о приемке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.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3.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6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. Оплата осуществляется в российских рублях по безналичному расчету путем перечисления Заказчиком денежных средств на расчетный счет Исполнителя, указанный в настоящем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Контракт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t xml:space="preserve">е.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Arial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b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Arial" w:cs="Times New Roman"/>
          <w:b/>
          <w:color w:val="000000"/>
          <w:sz w:val="24"/>
          <w:szCs w:val="24"/>
          <w:highlight w:val="none"/>
          <w:lang w:eastAsia="ar-SA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Arial" w:cs="Times New Roman"/>
          <w:b/>
          <w:bCs/>
          <w:color w:val="000000"/>
          <w:sz w:val="24"/>
          <w:szCs w:val="24"/>
          <w:highlight w:val="none"/>
          <w:lang w:eastAsia="ar-SA"/>
        </w:rPr>
      </w:pPr>
      <w:r>
        <w:rPr>
          <w:rFonts w:ascii="Times New Roman" w:hAnsi="Times New Roman" w:eastAsia="Arial" w:cs="Times New Roman"/>
          <w:b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Arial" w:cs="Times New Roman"/>
          <w:b/>
          <w:color w:val="000000"/>
          <w:sz w:val="24"/>
          <w:szCs w:val="24"/>
          <w:highlight w:val="none"/>
          <w:lang w:eastAsia="ar-SA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Arial" w:cs="Times New Roman"/>
          <w:b/>
          <w:bCs/>
          <w:color w:val="000000"/>
          <w:sz w:val="24"/>
          <w:szCs w:val="24"/>
          <w:highlight w:val="none"/>
          <w:lang w:eastAsia="ar-SA"/>
        </w:rPr>
      </w:pPr>
      <w:r>
        <w:rPr>
          <w:rFonts w:ascii="Times New Roman" w:hAnsi="Times New Roman" w:eastAsia="Arial" w:cs="Times New Roman"/>
          <w:b/>
          <w:color w:val="000000"/>
          <w:sz w:val="24"/>
          <w:szCs w:val="24"/>
          <w:lang w:eastAsia="ar-SA"/>
        </w:rPr>
        <w:t xml:space="preserve">4. Порядок сдачи приемки оказанных услуг</w:t>
      </w:r>
      <w:r>
        <w:rPr>
          <w:rFonts w:ascii="Times New Roman" w:hAnsi="Times New Roman" w:eastAsia="Arial" w:cs="Times New Roman"/>
          <w:b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b/>
          <w:bCs/>
          <w:color w:val="000000"/>
          <w:sz w:val="24"/>
          <w:szCs w:val="24"/>
          <w:highlight w:val="none"/>
          <w:lang w:eastAsia="ar-SA"/>
        </w:rPr>
      </w:r>
    </w:p>
    <w:p>
      <w:pPr>
        <w:pStyle w:val="1_72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Приемка оказанных услуг осуществляется Заказчиком в соответствии с требованиями, указанными в Законе № 44-ФЗ и настоящем Контракте.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4.2.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Приемка оказанных Услуг осуществляется по факту оказанных услуг и оформляется документом о приемке, который подписывается Заказчиком.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4.3. 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соответствующих контрактов, заключенных в соответствии с Законом № 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4.4. Для проведения экспертизы оказанной услуги эксперты,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экспертные организации имеют право запрашивать у Заказчика и Исполнителя дополнительные материалы, относящиеся к условиям исполнения Контракта и отдельным этапам исполнения Контракта (в случае, если Контрактом предусмотрены отдельные этапы его исполнения)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В случае, если по результатам такой экспертизы установлены нарушения требований Контракта, не препятствующие приемке оказанной услуги, в заключении могут содержаться предложения об устранении данных нарушений, в том числе с указанием срока их устранения.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4.5.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Заказчик в течение 5 рабочих дней с даты получения документа о приемке осуществляет проверку оказанных Исполнителем услуг по Контракту на предмет соответствия оказанных услуг требованиям и условиям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4.6. 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отсутствия претензий к результатам оказанных Услуг Заказчик в срок, указанный в пункте 4.5 Контракта, подписывает документ о приемке.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4.7. 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 наличии у Заказчика замечаний к оказанным Исполнителем Услугам Заказчик в срок, указанный в пункте 4.5 Контракта, направляет Исполнителю мотивированный отказ от подписания документа о приемке.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4.8. В случае получ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ения мотивированного отказа Заказчика от подписания документа о приемке Исполнитель обязан рассмотреть мотивированный отказ и устранить замечания в срок, указанный Заказчиком в мотивированном отказе, после чего стороны возобновляют приемку оказанных Услуг.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4.9. 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Если Заказчиком будут обнаружены некачественно оказанные Услуги, то Исполнитель своими силами и без увеличения стоимости обязан устранить выявленные недостатки. Некачественно оказанные и непринятые Заказчиком Услуги оплате не подлежат.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4.10. Датой приемки оказанных услуг считается дата подписания Заказчиком документа о приемке.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Ответственность сторон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.1. За неисполнение или ненадлежащее исполнение настоящего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настоящего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.2. В случае просрочки исполнения Заказчиком обязательств, предусмотренных настоящим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Исполнитель вправе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 срока исполнения обязательства.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.3. За каждый факт неисполнения Заказчиком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Исполнитель вправе потребовать уплату штрафа. Размер штрафа устанавливается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поставщиком (подрядчиком, исполнителем) 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утвержденными постановлением Правительства Российской Федерации от 30.08.2017 № 1042  (далее – Правила) и равен 1 000 (Одна тысяча) рублей 00 копеек.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.4. В случае просрочки исполнения Исполнителем обязательств, предусмотренных настоящим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Заказчик направляет Исполнителю требование об уплате пеня. Пеня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начисляется за каждый день просрочки исполнения Исполнителем обязательства, предусмотренного настоящим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 срока исполнения обязательства, и устанавливается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 и фактически исполненных Исполнителем.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.5. За каждый факт неисполнения Исполнителем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Заказчик направляет Исполнителю требование об уплате штрафа. Размер штрафа устанавливается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 в порядке, установленном Правилами и равен 10%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цены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(этапа) (за исключением случая, предусмотренного в абз. 2 настоящего пункта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которое не имеет стоимостного выражения (при наличии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таких обязательств), размер штрафа составляет 1 000,00 (Одна тысяча) рублей 00 копеек.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.6. Применение неустойки (штрафов, пени) не освобождает Стороны от исполнения обязательств по настоящему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.7. Общая сумма начисленных штрафов за неисполнение или ненадлежащее исполнение Исполнителем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не может превышать цену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.8.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ом, не может превышать цену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.9. Стороны освобождаются от уплаты неустойки, если докажут, что просрочка исполнения указанных обязательств произошла вследствие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непреодолимой силы.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Срок действия, продление, изменение, расторжение 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Контракт вступает в силу с момента его подписания обеими Сторонами и действует до полного исполнения Сторонами принятых на себя обязательств </w:t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по настоящему Контракту либо до его расторжения.</w:t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Любые изменения, дополнения и приложения 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у, выполненные в письменной форме и подписанные каждой из Сторон, являются его неотъемлемой частью.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.3. Изменение условий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при его исполнении не допускается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 исключением случаев, предусмотренных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Расторжение настоящего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от исполнения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в соответствии с гражданским законодательством РФ, в порядке, предусмотренном ч.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23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ст. 95 Федерального закона от 05.04.2013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№ 44-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7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Заключительные условия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.1. Стороны не несут ответственности, предусмотренной п.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а, если невозможность выполнения ими своих обязательств наступила в силу форс-мажорных обстоятельств.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Настоящий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составлен в двух экземплярах, каждый из которых имеет одинаковую юридическую силу.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70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8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Юридические адреса и банковские реквизиты сторон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left="70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>
        <w:tblPrEx/>
        <w:trPr>
          <w:trHeight w:val="2336"/>
        </w:trPr>
        <w:tc>
          <w:tcPr>
            <w:tcW w:w="51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Северное межрегиональное управление Федеральной службы по надзору в сфере природопользования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Почтовый адрес: 163069, Россия, Архангельская обл., г. Архангельск, пр-кт. Троицкий, д.14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Юридический адрес: 163000, Архангельская обл., г. Архангельск, пр-кт Троицкий, д. 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ИНН: 2901127831; КПП: 290101001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Казначейский счет 03211643000000013244 в ОКЦ № 1 ВВГУ Банка России//УФК по Нижегородской области, г. Нижний Новгород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Номер банковского счета, входящего в состав ЕКС: 40102810745370000024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Лицевой счет 03241780320 в УФК по Архангельской области и Ненецкому автономному округу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БИК 012202102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Электронный адрес: rpn29@rpn.gov.ru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Контактный телефон: 8182288851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cantSplit/>
          <w:trHeight w:val="1509"/>
        </w:trPr>
        <w:tc>
          <w:tcPr>
            <w:tcW w:w="51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Заказчик________________________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/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Исполнитель_____________________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    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  <w:br w:type="page" w:clear="all"/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ar-SA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«___» _______202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bidi="ru-RU"/>
        </w:rPr>
        <w:outlineLvl w:val="2"/>
      </w:pP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  <w:t xml:space="preserve">ТЕХНИЧЕСКОЕ ЗАДАНИЕ </w:t>
      </w: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bidi="ru-RU"/>
        </w:rPr>
        <w:outlineLvl w:val="2"/>
      </w:pP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bidi="ru-RU"/>
        </w:rPr>
        <w:outlineLvl w:val="2"/>
      </w:pP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bidi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Наименование услуг: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оказание услуг по проведению технической экспертизы и выдаче заключений для списания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копировально-множительной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 техники.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Место оказания услуг: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 город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Вологда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,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ул. Зосимовская, д. 65,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г. Архангельск, пр. Троицкий, д. 14.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  <w:t xml:space="preserve">Сроки оказания услуг: 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в течении 10 рабочих дней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даты заключения контракта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 w:bidi="ar-SA"/>
        </w:rPr>
        <w:t xml:space="preserve">Техническая экспертиза по каждому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 w:bidi="ar-SA"/>
        </w:rPr>
        <w:t xml:space="preserve">объекту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 w:bidi="ar-SA"/>
        </w:rPr>
        <w:t xml:space="preserve"> включает в себя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1.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Внешний осмотр.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2.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Проверка работоспособности.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3.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Выявление причин неисправности или неэффективной работы.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4.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Оформление Акта технической экспертизы.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6"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Оценку технического состояния оборудования </w:t>
      </w:r>
      <w:r>
        <w:rPr>
          <w:rFonts w:ascii="Times New Roman" w:hAnsi="Times New Roman" w:eastAsia="Times New Roman" w:cs="Times New Roman"/>
          <w:sz w:val="24"/>
          <w:szCs w:val="24"/>
          <w:lang w:eastAsia="zh-CN" w:bidi="ru-RU"/>
        </w:rPr>
        <w:t xml:space="preserve">в соответствии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ГОСТ</w:t>
        <w:br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56397-2015 «Техническая экспертиза работоспособности радиоэлектронной аппаратуры, оборудования информационных технологий, электрических машин</w:t>
        <w:br/>
        <w:t xml:space="preserve">и приборов».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6"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 w:bidi="ru-RU"/>
        </w:rPr>
        <w:t xml:space="preserve">Результат оказания услуг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 w:bidi="ru-RU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87"/>
        <w:ind w:firstLine="709"/>
        <w:spacing w:after="0" w:afterAutospacing="0" w:line="240" w:lineRule="auto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Результаты технической экспертизы Исполнитель обязан оформить актом технической экспертизы работоспособности оборудования, в котором приводятся решения и рекомендации специалистов Исполнителя.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6"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акте технической экспертизы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работоспособности оборудования, оформленном на каждую единицу оборудования,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должно быть отражено: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6"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- наличие, характер и перечень неисправностей оборудования;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6"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- причины возникновения неисправностей (К причинам неисправностей относят: дефекты оборудования; отказы в работе; сбои в работе; технические повреждения; разрушения и т.п.)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6"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- степень износа оборудования;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6"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заключение о целесообразности ремонта и возможности дальнейшей эксплуатации;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86"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- объем и трудоемкость ремонта (устранения) повреждений и неисправностей оборудования (в случае установления целесообразности ремонта оборудования);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6"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- стоимость ремонта (устранения) повреждений и неисправностей оборудования, включая стоимость необходимых запасных частей, работ</w:t>
        <w:br/>
        <w:t xml:space="preserve">и накладных расходов (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установления целесообразности ремонта оборудования)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6"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Акт технической экспертизы работоспособности оборудования, подписанный специалистом и руководителем Исполнителя, Исполнитель обязан передать Заказчику одновременно с Актом об оказанных услугах.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widowControl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 w:bidi="ar-SA"/>
        </w:rPr>
        <w:t xml:space="preserve">Требования к Исполнителю.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Исполнитель должен иметь действующий сертификат соответствия</w:t>
        <w:br/>
        <w:t xml:space="preserve">на услуги, по оценке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технического состо</w:t>
      </w: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яния оборудования. Ответственный сотрудник должен являться компетентным и соответствовать требованиям системы добровольной сертификации «Экспертиза, оценка» по направлению «Исследование радиоэлектронных, электротехнических, электромеханических устройств».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widowControl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en-US" w:bidi="ar-SA"/>
        </w:rPr>
        <w:t xml:space="preserve">Исполнитель оказывает услуги с использованием собственных средств</w:t>
        <w:br/>
        <w:t xml:space="preserve">и ресурсов.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160" w:line="259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tbl>
      <w:tblPr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76"/>
        <w:gridCol w:w="5202"/>
        <w:gridCol w:w="3828"/>
        <w:gridCol w:w="2783"/>
      </w:tblGrid>
      <w:tr>
        <w:tblPrEx/>
        <w:trPr>
          <w:jc w:val="center"/>
          <w:trHeight w:val="936"/>
        </w:trPr>
        <w:tc>
          <w:tcPr>
            <w:shd w:val="clear" w:color="auto" w:fill="auto"/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52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82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Инвентарный номер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7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Место расположения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312"/>
        </w:trPr>
        <w:tc>
          <w:tcPr>
            <w:shd w:val="clear" w:color="auto" w:fill="auto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202" w:type="dxa"/>
            <w:textDirection w:val="lrTb"/>
            <w:noWrap w:val="false"/>
          </w:tcPr>
          <w:p>
            <w:pPr>
              <w:jc w:val="left"/>
              <w:spacing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Принтер Kyocera Ecosys P2135DN</w:t>
            </w:r>
            <w:r>
              <w:rPr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3828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0001308672</w:t>
            </w:r>
            <w:r>
              <w:rPr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783" w:type="dxa"/>
            <w:vAlign w:val="bottom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Архангельск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jc w:val="center"/>
          <w:trHeight w:val="312"/>
        </w:trPr>
        <w:tc>
          <w:tcPr>
            <w:shd w:val="clear" w:color="auto" w:fill="auto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202" w:type="dxa"/>
            <w:textDirection w:val="lrTb"/>
            <w:noWrap w:val="false"/>
          </w:tcPr>
          <w:p>
            <w:pPr>
              <w:jc w:val="left"/>
              <w:spacing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Принтер HP LaserJet 1320</w:t>
            </w:r>
            <w:r>
              <w:rPr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3828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0001308462</w:t>
            </w:r>
            <w:r>
              <w:rPr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783" w:type="dxa"/>
            <w:vAlign w:val="bottom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Архангельск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jc w:val="center"/>
          <w:trHeight w:val="312"/>
        </w:trPr>
        <w:tc>
          <w:tcPr>
            <w:shd w:val="clear" w:color="auto" w:fill="auto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5202" w:type="dxa"/>
            <w:textDirection w:val="lrTb"/>
            <w:noWrap w:val="false"/>
          </w:tcPr>
          <w:p>
            <w:pPr>
              <w:jc w:val="left"/>
              <w:spacing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Сканер Canon LIDE 100</w:t>
            </w:r>
            <w:r>
              <w:rPr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3828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0001308603</w:t>
            </w:r>
            <w:r>
              <w:rPr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783" w:type="dxa"/>
            <w:vAlign w:val="bottom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Архангельск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jc w:val="center"/>
          <w:trHeight w:val="312"/>
        </w:trPr>
        <w:tc>
          <w:tcPr>
            <w:shd w:val="clear" w:color="auto" w:fill="auto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auto" w:fill="auto"/>
            <w:tcW w:w="5202" w:type="dxa"/>
            <w:textDirection w:val="lrTb"/>
            <w:noWrap w:val="false"/>
          </w:tcPr>
          <w:p>
            <w:pPr>
              <w:jc w:val="left"/>
              <w:spacing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Принтер Samsung  лазерный ML-2160/XEV</w:t>
            </w:r>
            <w:r>
              <w:rPr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3828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04814302543</w:t>
            </w:r>
            <w:r>
              <w:rPr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783" w:type="dxa"/>
            <w:vAlign w:val="bottom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Вологда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jc w:val="center"/>
          <w:trHeight w:val="312"/>
        </w:trPr>
        <w:tc>
          <w:tcPr>
            <w:shd w:val="clear" w:color="auto" w:fill="auto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auto" w:fill="auto"/>
            <w:tcW w:w="5202" w:type="dxa"/>
            <w:textDirection w:val="lrTb"/>
            <w:noWrap w:val="false"/>
          </w:tcPr>
          <w:p>
            <w:pPr>
              <w:jc w:val="left"/>
              <w:spacing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Принтер HP LaserJet 3015</w:t>
            </w:r>
            <w:r>
              <w:rPr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3828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04814302313</w:t>
            </w:r>
            <w:r>
              <w:rPr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783" w:type="dxa"/>
            <w:vAlign w:val="bottom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Вологда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  <w:tr>
        <w:tblPrEx/>
        <w:trPr>
          <w:jc w:val="center"/>
          <w:trHeight w:val="312"/>
        </w:trPr>
        <w:tc>
          <w:tcPr>
            <w:shd w:val="clear" w:color="auto" w:fill="auto"/>
            <w:tcW w:w="576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  <w:tc>
          <w:tcPr>
            <w:shd w:val="clear" w:color="auto" w:fill="auto"/>
            <w:tcW w:w="5202" w:type="dxa"/>
            <w:textDirection w:val="lrTb"/>
            <w:noWrap w:val="false"/>
          </w:tcPr>
          <w:p>
            <w:pPr>
              <w:jc w:val="left"/>
              <w:spacing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Принтер HP LaserJet 1100 А</w:t>
            </w:r>
            <w:r>
              <w:rPr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3828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04834302037</w:t>
            </w:r>
            <w:r>
              <w:rPr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783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  <w:t xml:space="preserve">г. Вологда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8"/>
                <w:szCs w:val="28"/>
                <w:u w:val="none"/>
              </w:rPr>
            </w:r>
          </w:p>
        </w:tc>
      </w:tr>
    </w:tbl>
    <w:p>
      <w:pPr>
        <w:jc w:val="both"/>
        <w:spacing w:after="160" w:line="259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r/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97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>
        <w:tblPrEx/>
        <w:trPr>
          <w:cantSplit/>
          <w:trHeight w:val="154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Заказчик________________________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/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Исполнитель_____________________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    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64"/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№ 2 к контракту №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 «___»  __________ 2026 г.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851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Расчет стоимости услуг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p>
      <w:pPr>
        <w:ind w:firstLine="851"/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tbl>
      <w:tblPr>
        <w:tblW w:w="9863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4391"/>
        <w:gridCol w:w="1151"/>
        <w:gridCol w:w="1052"/>
        <w:gridCol w:w="1400"/>
        <w:gridCol w:w="1316"/>
      </w:tblGrid>
      <w:tr>
        <w:tblPrEx/>
        <w:trPr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1" w:type="dxa"/>
            <w:textDirection w:val="lrTb"/>
            <w:noWrap w:val="false"/>
          </w:tcPr>
          <w:p>
            <w:pPr>
              <w:ind w:left="-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Единица измерения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2" w:type="dxa"/>
            <w:textDirection w:val="lrTb"/>
            <w:noWrap w:val="false"/>
          </w:tcPr>
          <w:p>
            <w:pPr>
              <w:ind w:left="-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0" w:type="dxa"/>
            <w:vAlign w:val="center"/>
            <w:textDirection w:val="lrTb"/>
            <w:noWrap w:val="false"/>
          </w:tcPr>
          <w:p>
            <w:pPr>
              <w:ind w:left="-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Цена, руб.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 НДС/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без НДС)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Сумма, руб.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 НДС/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без НДС)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7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Услуги 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проведению технической экспертизы и выдаче заключений для списания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копировально-множительной техники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Итого: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W w:w="97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>
        <w:tblPrEx/>
        <w:trPr>
          <w:trHeight w:val="233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Заказчик________________________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/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Исполнитель_____________________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    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851" w:right="851" w:bottom="851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imSun">
    <w:panose1 w:val="02000603000000000000"/>
  </w:font>
  <w:font w:name="Calibri">
    <w:panose1 w:val="020F0502020204030204"/>
  </w:font>
  <w:font w:name="Times New Roman">
    <w:panose1 w:val="02020603050405020304"/>
  </w:font>
  <w:font w:name="Droid Sans Fallback">
    <w:panose1 w:val="020B0502000000000001"/>
  </w:font>
  <w:font w:name="Liberation Serif">
    <w:panose1 w:val="02020603050405020304"/>
  </w:font>
  <w:font w:name="Lucida Sans Unicode">
    <w:panose1 w:val="020B0604030504040204"/>
  </w:font>
  <w:font w:name="Courier New">
    <w:panose1 w:val="02070309020205020404"/>
  </w:font>
  <w:font w:name="Mangal">
    <w:panose1 w:val="02040503050406030204"/>
  </w:font>
  <w:font w:name="Andale Sans UI">
    <w:panose1 w:val="02000603000000000000"/>
  </w:font>
  <w:font w:name="Tahoma">
    <w:panose1 w:val="020B060403050404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3756657"/>
      <w:docPartObj>
        <w:docPartGallery w:val="Page Numbers (Top of Page)"/>
        <w:docPartUnique w:val="true"/>
      </w:docPartObj>
      <w:rPr/>
    </w:sdtPr>
    <w:sdtContent>
      <w:p>
        <w:pPr>
          <w:pStyle w:val="882"/>
          <w:jc w:val="center"/>
        </w:pPr>
        <w:fldSimple w:instr="PAGE \* MERGEFORMAT">
          <w:r>
            <w:t xml:space="preserve">1</w:t>
          </w:r>
        </w:fldSimple>
        <w:r/>
        <w:r/>
      </w:p>
    </w:sdtContent>
  </w:sdt>
  <w:p>
    <w:pPr>
      <w:pStyle w:val="88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8" w:hanging="360"/>
        <w:tabs>
          <w:tab w:val="num" w:pos="928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02" w:hanging="360"/>
        <w:tabs>
          <w:tab w:val="left" w:pos="502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left" w:pos="360" w:leader="none"/>
        </w:tabs>
      </w:pPr>
      <w:rPr>
        <w:rFonts w:hint="default"/>
        <w:b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40" w:hanging="720"/>
        <w:tabs>
          <w:tab w:val="left" w:pos="7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50" w:hanging="720"/>
        <w:tabs>
          <w:tab w:val="left" w:pos="75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120" w:hanging="1080"/>
        <w:tabs>
          <w:tab w:val="left" w:pos="11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130" w:hanging="1080"/>
        <w:tabs>
          <w:tab w:val="left" w:pos="113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500" w:hanging="1440"/>
        <w:tabs>
          <w:tab w:val="left" w:pos="15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510" w:hanging="1440"/>
        <w:tabs>
          <w:tab w:val="left" w:pos="151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80" w:hanging="1800"/>
        <w:tabs>
          <w:tab w:val="left" w:pos="1880" w:leader="none"/>
        </w:tabs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5">
    <w:name w:val="Heading 1"/>
    <w:basedOn w:val="866"/>
    <w:next w:val="866"/>
    <w:link w:val="69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6">
    <w:name w:val="Heading 1 Char"/>
    <w:basedOn w:val="867"/>
    <w:link w:val="69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7">
    <w:name w:val="Heading 2"/>
    <w:basedOn w:val="866"/>
    <w:next w:val="866"/>
    <w:link w:val="69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8">
    <w:name w:val="Heading 2 Char"/>
    <w:basedOn w:val="867"/>
    <w:link w:val="697"/>
    <w:uiPriority w:val="9"/>
    <w:rPr>
      <w:rFonts w:ascii="Liberation Sans" w:hAnsi="Liberation Sans" w:eastAsia="Liberation Sans" w:cs="Liberation Sans"/>
      <w:sz w:val="34"/>
    </w:rPr>
  </w:style>
  <w:style w:type="paragraph" w:styleId="699">
    <w:name w:val="Heading 3"/>
    <w:basedOn w:val="866"/>
    <w:next w:val="866"/>
    <w:link w:val="70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0">
    <w:name w:val="Heading 3 Char"/>
    <w:basedOn w:val="867"/>
    <w:link w:val="69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1">
    <w:name w:val="Heading 4"/>
    <w:basedOn w:val="866"/>
    <w:next w:val="866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2">
    <w:name w:val="Heading 4 Char"/>
    <w:basedOn w:val="867"/>
    <w:link w:val="70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3">
    <w:name w:val="Heading 5"/>
    <w:basedOn w:val="866"/>
    <w:next w:val="866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4">
    <w:name w:val="Heading 5 Char"/>
    <w:basedOn w:val="867"/>
    <w:link w:val="70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5">
    <w:name w:val="Heading 6"/>
    <w:basedOn w:val="866"/>
    <w:next w:val="866"/>
    <w:link w:val="70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6">
    <w:name w:val="Heading 6 Char"/>
    <w:basedOn w:val="867"/>
    <w:link w:val="70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7">
    <w:name w:val="Heading 7"/>
    <w:basedOn w:val="866"/>
    <w:next w:val="866"/>
    <w:link w:val="70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8">
    <w:name w:val="Heading 7 Char"/>
    <w:basedOn w:val="867"/>
    <w:link w:val="70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9">
    <w:name w:val="Heading 8"/>
    <w:basedOn w:val="866"/>
    <w:next w:val="866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0">
    <w:name w:val="Heading 8 Char"/>
    <w:basedOn w:val="867"/>
    <w:link w:val="70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1">
    <w:name w:val="Heading 9"/>
    <w:basedOn w:val="866"/>
    <w:next w:val="866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2">
    <w:name w:val="Heading 9 Char"/>
    <w:basedOn w:val="867"/>
    <w:link w:val="71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3">
    <w:name w:val="No Spacing"/>
    <w:uiPriority w:val="1"/>
    <w:qFormat/>
    <w:pPr>
      <w:spacing w:before="0" w:after="0" w:line="240" w:lineRule="auto"/>
    </w:pPr>
  </w:style>
  <w:style w:type="character" w:styleId="714">
    <w:name w:val="Title Char"/>
    <w:basedOn w:val="867"/>
    <w:link w:val="870"/>
    <w:uiPriority w:val="10"/>
    <w:rPr>
      <w:sz w:val="48"/>
      <w:szCs w:val="48"/>
    </w:rPr>
  </w:style>
  <w:style w:type="paragraph" w:styleId="715">
    <w:name w:val="Subtitle"/>
    <w:basedOn w:val="866"/>
    <w:next w:val="866"/>
    <w:link w:val="716"/>
    <w:uiPriority w:val="11"/>
    <w:qFormat/>
    <w:pPr>
      <w:spacing w:before="200" w:after="200"/>
    </w:pPr>
    <w:rPr>
      <w:sz w:val="24"/>
      <w:szCs w:val="24"/>
    </w:rPr>
  </w:style>
  <w:style w:type="character" w:styleId="716">
    <w:name w:val="Subtitle Char"/>
    <w:basedOn w:val="867"/>
    <w:link w:val="715"/>
    <w:uiPriority w:val="11"/>
    <w:rPr>
      <w:sz w:val="24"/>
      <w:szCs w:val="24"/>
    </w:rPr>
  </w:style>
  <w:style w:type="paragraph" w:styleId="717">
    <w:name w:val="Quote"/>
    <w:basedOn w:val="866"/>
    <w:next w:val="866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66"/>
    <w:next w:val="866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character" w:styleId="721">
    <w:name w:val="Header Char"/>
    <w:basedOn w:val="867"/>
    <w:link w:val="882"/>
    <w:uiPriority w:val="99"/>
  </w:style>
  <w:style w:type="character" w:styleId="722">
    <w:name w:val="Footer Char"/>
    <w:basedOn w:val="867"/>
    <w:link w:val="884"/>
    <w:uiPriority w:val="99"/>
  </w:style>
  <w:style w:type="paragraph" w:styleId="723">
    <w:name w:val="Caption"/>
    <w:basedOn w:val="866"/>
    <w:next w:val="866"/>
    <w:link w:val="7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867"/>
    <w:link w:val="723"/>
    <w:uiPriority w:val="35"/>
    <w:rPr>
      <w:b/>
      <w:bCs/>
      <w:color w:val="4f81bd" w:themeColor="accent1"/>
      <w:sz w:val="18"/>
      <w:szCs w:val="18"/>
    </w:rPr>
  </w:style>
  <w:style w:type="table" w:styleId="725">
    <w:name w:val="Table Grid Light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7">
    <w:name w:val="Plain Table 2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8">
    <w:name w:val="Plain Table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7">
    <w:name w:val="Grid Table 6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8">
    <w:name w:val="Grid Table 6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9">
    <w:name w:val="Grid Table 6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0">
    <w:name w:val="Grid Table 6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1">
    <w:name w:val="Grid Table 6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2">
    <w:name w:val="Grid Table 6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3">
    <w:name w:val="Grid Table 7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6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3">
    <w:name w:val="List Table 7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4">
    <w:name w:val="List Table 7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5">
    <w:name w:val="List Table 7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6">
    <w:name w:val="List Table 7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7">
    <w:name w:val="List Table 7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8">
    <w:name w:val="List Table 7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9">
    <w:name w:val="Lined - Accent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Lined - Accent 2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Lined - Accent 3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Lined - Accent 4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Lined - Accent 5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Lined - Accent 6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 &amp; Lined - Accent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8">
    <w:name w:val="Bordered &amp; Lined - Accent 2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9">
    <w:name w:val="Bordered &amp; Lined - Accent 3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0">
    <w:name w:val="Bordered &amp; Lined - Accent 4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1">
    <w:name w:val="Bordered &amp; Lined - Accent 5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2">
    <w:name w:val="Bordered &amp; Lined - Accent 6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3">
    <w:name w:val="Bordered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0">
    <w:name w:val="Hyperlink"/>
    <w:uiPriority w:val="99"/>
    <w:unhideWhenUsed/>
    <w:rPr>
      <w:color w:val="0000ff" w:themeColor="hyperlink"/>
      <w:u w:val="single"/>
    </w:rPr>
  </w:style>
  <w:style w:type="character" w:styleId="851">
    <w:name w:val="Footnote Text Char"/>
    <w:link w:val="878"/>
    <w:uiPriority w:val="99"/>
    <w:rPr>
      <w:sz w:val="18"/>
    </w:rPr>
  </w:style>
  <w:style w:type="paragraph" w:styleId="852">
    <w:name w:val="endnote text"/>
    <w:basedOn w:val="866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basedOn w:val="867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ind w:left="0" w:right="0" w:firstLine="0"/>
      <w:spacing w:after="57"/>
    </w:pPr>
  </w:style>
  <w:style w:type="paragraph" w:styleId="856">
    <w:name w:val="toc 2"/>
    <w:basedOn w:val="866"/>
    <w:next w:val="866"/>
    <w:uiPriority w:val="39"/>
    <w:unhideWhenUsed/>
    <w:pPr>
      <w:ind w:left="283" w:right="0" w:firstLine="0"/>
      <w:spacing w:after="57"/>
    </w:pPr>
  </w:style>
  <w:style w:type="paragraph" w:styleId="857">
    <w:name w:val="toc 3"/>
    <w:basedOn w:val="866"/>
    <w:next w:val="866"/>
    <w:uiPriority w:val="39"/>
    <w:unhideWhenUsed/>
    <w:pPr>
      <w:ind w:left="567" w:right="0" w:firstLine="0"/>
      <w:spacing w:after="57"/>
    </w:pPr>
  </w:style>
  <w:style w:type="paragraph" w:styleId="858">
    <w:name w:val="toc 4"/>
    <w:basedOn w:val="866"/>
    <w:next w:val="866"/>
    <w:uiPriority w:val="39"/>
    <w:unhideWhenUsed/>
    <w:pPr>
      <w:ind w:left="850" w:right="0" w:firstLine="0"/>
      <w:spacing w:after="57"/>
    </w:pPr>
  </w:style>
  <w:style w:type="paragraph" w:styleId="859">
    <w:name w:val="toc 5"/>
    <w:basedOn w:val="866"/>
    <w:next w:val="866"/>
    <w:uiPriority w:val="39"/>
    <w:unhideWhenUsed/>
    <w:pPr>
      <w:ind w:left="1134" w:right="0" w:firstLine="0"/>
      <w:spacing w:after="57"/>
    </w:pPr>
  </w:style>
  <w:style w:type="paragraph" w:styleId="860">
    <w:name w:val="toc 6"/>
    <w:basedOn w:val="866"/>
    <w:next w:val="866"/>
    <w:uiPriority w:val="39"/>
    <w:unhideWhenUsed/>
    <w:pPr>
      <w:ind w:left="1417" w:right="0" w:firstLine="0"/>
      <w:spacing w:after="57"/>
    </w:pPr>
  </w:style>
  <w:style w:type="paragraph" w:styleId="861">
    <w:name w:val="toc 7"/>
    <w:basedOn w:val="866"/>
    <w:next w:val="866"/>
    <w:uiPriority w:val="39"/>
    <w:unhideWhenUsed/>
    <w:pPr>
      <w:ind w:left="1701" w:right="0" w:firstLine="0"/>
      <w:spacing w:after="57"/>
    </w:pPr>
  </w:style>
  <w:style w:type="paragraph" w:styleId="862">
    <w:name w:val="toc 8"/>
    <w:basedOn w:val="866"/>
    <w:next w:val="866"/>
    <w:uiPriority w:val="39"/>
    <w:unhideWhenUsed/>
    <w:pPr>
      <w:ind w:left="1984" w:right="0" w:firstLine="0"/>
      <w:spacing w:after="57"/>
    </w:pPr>
  </w:style>
  <w:style w:type="paragraph" w:styleId="863">
    <w:name w:val="toc 9"/>
    <w:basedOn w:val="866"/>
    <w:next w:val="866"/>
    <w:uiPriority w:val="39"/>
    <w:unhideWhenUsed/>
    <w:pPr>
      <w:ind w:left="2268" w:right="0" w:firstLine="0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qFormat/>
  </w:style>
  <w:style w:type="character" w:styleId="867" w:default="1">
    <w:name w:val="Default Paragraph Font"/>
    <w:uiPriority w:val="1"/>
    <w:semiHidden/>
    <w:unhideWhenUsed/>
  </w:style>
  <w:style w:type="table" w:styleId="86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9" w:default="1">
    <w:name w:val="No List"/>
    <w:uiPriority w:val="99"/>
    <w:semiHidden/>
    <w:unhideWhenUsed/>
  </w:style>
  <w:style w:type="paragraph" w:styleId="870">
    <w:name w:val="Title"/>
    <w:basedOn w:val="866"/>
    <w:next w:val="866"/>
    <w:link w:val="871"/>
    <w:qFormat/>
    <w:pPr>
      <w:keepNext/>
      <w:spacing w:before="240" w:after="120" w:line="240" w:lineRule="auto"/>
      <w:widowControl w:val="off"/>
    </w:pPr>
    <w:rPr>
      <w:rFonts w:ascii="Arial" w:hAnsi="Arial" w:eastAsia="Andale Sans UI" w:cs="Tahoma"/>
      <w:sz w:val="28"/>
      <w:szCs w:val="28"/>
      <w:lang w:eastAsia="hi-IN" w:bidi="hi-IN"/>
    </w:rPr>
  </w:style>
  <w:style w:type="character" w:styleId="871" w:customStyle="1">
    <w:name w:val="Название Знак"/>
    <w:basedOn w:val="867"/>
    <w:link w:val="870"/>
    <w:rPr>
      <w:rFonts w:ascii="Arial" w:hAnsi="Arial" w:eastAsia="Andale Sans UI" w:cs="Tahoma"/>
      <w:sz w:val="28"/>
      <w:szCs w:val="28"/>
      <w:lang w:eastAsia="hi-IN" w:bidi="hi-IN"/>
    </w:rPr>
  </w:style>
  <w:style w:type="paragraph" w:styleId="872" w:customStyle="1">
    <w:name w:val="Название объекта1"/>
    <w:basedOn w:val="866"/>
    <w:next w:val="866"/>
    <w:pPr>
      <w:ind w:left="426"/>
      <w:jc w:val="both"/>
      <w:spacing w:after="0" w:line="240" w:lineRule="auto"/>
      <w:widowControl w:val="off"/>
    </w:pPr>
    <w:rPr>
      <w:rFonts w:ascii="Arial" w:hAnsi="Arial" w:eastAsia="Lucida Sans Unicode" w:cs="Mangal"/>
      <w:b/>
      <w:sz w:val="24"/>
      <w:szCs w:val="24"/>
      <w:lang w:eastAsia="hi-IN" w:bidi="hi-IN"/>
    </w:rPr>
  </w:style>
  <w:style w:type="paragraph" w:styleId="873" w:customStyle="1">
    <w:name w:val="Абзац списка1"/>
    <w:uiPriority w:val="99"/>
    <w:pPr>
      <w:ind w:left="720"/>
      <w:spacing w:after="0" w:line="240" w:lineRule="auto"/>
    </w:pPr>
    <w:rPr>
      <w:rFonts w:ascii="Liberation Serif" w:hAnsi="Liberation Serif" w:eastAsia="Droid Sans Fallback" w:cs="Liberation Serif"/>
      <w:sz w:val="20"/>
      <w:szCs w:val="20"/>
      <w:lang w:eastAsia="ar-SA"/>
    </w:rPr>
  </w:style>
  <w:style w:type="paragraph" w:styleId="874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</w:rPr>
  </w:style>
  <w:style w:type="paragraph" w:styleId="875">
    <w:name w:val="List Paragraph"/>
    <w:basedOn w:val="866"/>
    <w:link w:val="876"/>
    <w:uiPriority w:val="34"/>
    <w:qFormat/>
    <w:pPr>
      <w:contextualSpacing/>
      <w:ind w:left="720"/>
    </w:pPr>
    <w:rPr>
      <w:rFonts w:ascii="Calibri" w:hAnsi="Calibri" w:eastAsia="Calibri" w:cs="Times New Roman"/>
      <w:lang w:eastAsia="en-US"/>
    </w:rPr>
  </w:style>
  <w:style w:type="character" w:styleId="876" w:customStyle="1">
    <w:name w:val="Абзац списка Знак"/>
    <w:link w:val="875"/>
    <w:uiPriority w:val="34"/>
    <w:qFormat/>
    <w:rPr>
      <w:rFonts w:ascii="Calibri" w:hAnsi="Calibri" w:eastAsia="Calibri" w:cs="Times New Roman"/>
      <w:lang w:eastAsia="en-US"/>
    </w:rPr>
  </w:style>
  <w:style w:type="table" w:styleId="877">
    <w:name w:val="Table Grid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8">
    <w:name w:val="footnote text"/>
    <w:basedOn w:val="866"/>
    <w:link w:val="87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79" w:customStyle="1">
    <w:name w:val="Текст сноски Знак"/>
    <w:basedOn w:val="867"/>
    <w:link w:val="878"/>
    <w:uiPriority w:val="99"/>
    <w:semiHidden/>
    <w:rPr>
      <w:sz w:val="20"/>
      <w:szCs w:val="20"/>
    </w:rPr>
  </w:style>
  <w:style w:type="character" w:styleId="880">
    <w:name w:val="footnote reference"/>
    <w:basedOn w:val="867"/>
    <w:uiPriority w:val="99"/>
    <w:semiHidden/>
    <w:unhideWhenUsed/>
    <w:rPr>
      <w:vertAlign w:val="superscript"/>
    </w:rPr>
  </w:style>
  <w:style w:type="paragraph" w:styleId="881" w:customStyle="1">
    <w:name w:val="Text body"/>
    <w:basedOn w:val="866"/>
    <w:qFormat/>
    <w:pPr>
      <w:jc w:val="center"/>
      <w:spacing w:after="120" w:line="100" w:lineRule="atLeast"/>
    </w:pPr>
    <w:rPr>
      <w:rFonts w:ascii="Calibri" w:hAnsi="Calibri" w:eastAsia="SimSun" w:cs="Calibri"/>
      <w:lang w:eastAsia="en-US"/>
    </w:rPr>
  </w:style>
  <w:style w:type="paragraph" w:styleId="882">
    <w:name w:val="Header"/>
    <w:basedOn w:val="866"/>
    <w:link w:val="88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3" w:customStyle="1">
    <w:name w:val="Верхний колонтитул Знак"/>
    <w:basedOn w:val="867"/>
    <w:link w:val="882"/>
    <w:uiPriority w:val="99"/>
  </w:style>
  <w:style w:type="paragraph" w:styleId="884">
    <w:name w:val="Footer"/>
    <w:basedOn w:val="866"/>
    <w:link w:val="885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5" w:customStyle="1">
    <w:name w:val="Нижний колонтитул Знак"/>
    <w:basedOn w:val="867"/>
    <w:link w:val="884"/>
    <w:uiPriority w:val="99"/>
    <w:semiHidden/>
  </w:style>
  <w:style w:type="paragraph" w:styleId="886" w:customStyle="1">
    <w:name w:val="formattext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7" w:customStyle="1">
    <w:name w:val="Обычный отступ2"/>
    <w:pPr>
      <w:contextualSpacing w:val="0"/>
      <w:ind w:left="0" w:right="0" w:firstLine="624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1_723" w:customStyle="1">
    <w:name w:val="Без интервала1"/>
    <w:link w:val="836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ABC51-AC2B-426E-94B9-52D3197B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gluhareva</dc:creator>
  <cp:lastModifiedBy>valkova.uv</cp:lastModifiedBy>
  <cp:revision>22</cp:revision>
  <dcterms:created xsi:type="dcterms:W3CDTF">2022-04-22T07:41:00Z</dcterms:created>
  <dcterms:modified xsi:type="dcterms:W3CDTF">2026-09-03T06:04:02Z</dcterms:modified>
</cp:coreProperties>
</file>