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PT Astra Serif" w:hAnsi="PT Astra Serif" w:cs="PT Astra Serif"/>
          <w:b/>
          <w:bCs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/>
          <w:color w:val="000000" w:themeColor="text1"/>
          <w:sz w:val="26"/>
          <w:szCs w:val="26"/>
        </w:rPr>
        <w:t xml:space="preserve">ОБОСНОВАНИЕ НАЧАЛЬНОЙ (МАКСИМАЛЬНОЙ) ЦЕНЫ КОНТРАКТА</w:t>
      </w:r>
      <w:r>
        <w:rPr>
          <w:rFonts w:ascii="PT Astra Serif" w:hAnsi="PT Astra Serif" w:cs="PT Astra Serif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6"/>
          <w:szCs w:val="26"/>
          <w:highlight w:val="none"/>
        </w:rPr>
      </w:r>
    </w:p>
    <w:p>
      <w:pPr>
        <w:ind w:firstLine="567"/>
        <w:jc w:val="center"/>
        <w:rPr>
          <w:rFonts w:ascii="PT Astra Serif" w:hAnsi="PT Astra Serif" w:cs="PT Astra Serif"/>
          <w:b/>
          <w:color w:val="000000" w:themeColor="text1"/>
          <w:sz w:val="24"/>
          <w:szCs w:val="24"/>
        </w:rPr>
      </w:pP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  <w:shd w:val="clear" w:color="auto" w:fill="ffffff"/>
        </w:rPr>
        <w:t xml:space="preserve">Оказание услуг по</w:t>
      </w:r>
      <w:r>
        <w:rPr>
          <w:rFonts w:ascii="PT Astra Serif" w:hAnsi="PT Astra Serif" w:eastAsia="PT Astra Serif" w:cs="PT Astra Serif"/>
          <w:b/>
          <w:color w:val="000000" w:themeColor="text1"/>
          <w:sz w:val="24"/>
          <w:szCs w:val="24"/>
          <w:shd w:val="clear" w:color="auto" w:fill="ffffff"/>
        </w:rPr>
        <w:t xml:space="preserve"> разработке паспортов отходов I-IV классов опасности для нужд Территориального органа Федеральной службы государственной статистики по Нижегородской области </w:t>
      </w:r>
      <w:r>
        <w:rPr>
          <w:rFonts w:ascii="PT Astra Serif" w:hAnsi="PT Astra Serif" w:cs="PT Astra Serif"/>
          <w:b/>
          <w:color w:val="000000" w:themeColor="text1"/>
          <w:sz w:val="24"/>
          <w:szCs w:val="24"/>
        </w:rPr>
      </w:r>
      <w:r>
        <w:rPr>
          <w:rFonts w:ascii="PT Astra Serif" w:hAnsi="PT Astra Serif" w:cs="PT Astra Serif"/>
          <w:b/>
          <w:color w:val="000000" w:themeColor="text1"/>
          <w:sz w:val="24"/>
          <w:szCs w:val="24"/>
        </w:rPr>
      </w:r>
    </w:p>
    <w:p>
      <w:pPr>
        <w:ind w:firstLine="567"/>
        <w:jc w:val="center"/>
        <w:rPr>
          <w:rFonts w:ascii="PT Astra Serif" w:hAnsi="PT Astra Serif" w:cs="PT Astra Serif"/>
          <w:b/>
          <w:color w:val="383838"/>
          <w:sz w:val="24"/>
          <w:szCs w:val="24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  <w:shd w:val="clear" w:color="auto" w:fill="ffffff"/>
        </w:rPr>
      </w:r>
      <w:r>
        <w:rPr>
          <w:rFonts w:ascii="PT Astra Serif" w:hAnsi="PT Astra Serif" w:cs="PT Astra Serif"/>
          <w:b/>
          <w:color w:val="383838"/>
          <w:sz w:val="24"/>
          <w:szCs w:val="24"/>
          <w:shd w:val="clear" w:color="auto" w:fill="ffffff"/>
        </w:rPr>
      </w:r>
      <w:r>
        <w:rPr>
          <w:rFonts w:ascii="PT Astra Serif" w:hAnsi="PT Astra Serif" w:cs="PT Astra Serif"/>
          <w:b/>
          <w:color w:val="383838"/>
          <w:sz w:val="24"/>
          <w:szCs w:val="24"/>
          <w:shd w:val="clear" w:color="auto" w:fill="ffffff"/>
        </w:rPr>
      </w:r>
    </w:p>
    <w:tbl>
      <w:tblPr>
        <w:tblW w:w="14459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11170"/>
      </w:tblGrid>
      <w:tr>
        <w:tblPrEx/>
        <w:trPr>
          <w:trHeight w:val="548"/>
        </w:trPr>
        <w:tc>
          <w:tcPr>
            <w:tcW w:w="3289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Источник финансирования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1170" w:type="dxa"/>
            <w:vAlign w:val="center"/>
            <w:textDirection w:val="lrTb"/>
            <w:noWrap w:val="false"/>
          </w:tcPr>
          <w:p>
            <w:pPr>
              <w:ind w:firstLine="652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Федеральный бюджет.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W w:w="3289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1170" w:type="dxa"/>
            <w:vAlign w:val="center"/>
            <w:textDirection w:val="lrTb"/>
            <w:noWrap w:val="false"/>
          </w:tcPr>
          <w:p>
            <w:pPr>
              <w:ind w:firstLine="652"/>
              <w:spacing w:before="180" w:after="360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Валюта – российский рубль. 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W w:w="3289" w:type="dxa"/>
            <w:vAlign w:val="center"/>
            <w:textDirection w:val="lrTb"/>
            <w:noWrap w:val="false"/>
          </w:tcPr>
          <w:p>
            <w:pPr>
              <w:pStyle w:val="1026"/>
              <w:widowControl w:val="off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Порядок применения официального курса иностранной валюты к рублю Российской Федерации, установленного ЦБ РФ и используемого при оплате контракта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1170" w:type="dxa"/>
            <w:vAlign w:val="center"/>
            <w:textDirection w:val="lrTb"/>
            <w:noWrap w:val="false"/>
          </w:tcPr>
          <w:p>
            <w:pPr>
              <w:pStyle w:val="1026"/>
              <w:ind w:left="85" w:right="113" w:firstLine="567"/>
              <w:jc w:val="both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применения официального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курса иностранной валюты к рублю Российской Федерации не используется ввиду того, что формирование цены контракта и расчеты в рамках настоящей закупки и исполнения государственного контракта производятся в российских рублях.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54"/>
        </w:trPr>
        <w:tc>
          <w:tcPr>
            <w:tcW w:w="3289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Основные характеристики объекта закупки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1170" w:type="dxa"/>
            <w:vAlign w:val="center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PT Astra Serif" w:hAnsi="PT Astra Serif" w:cs="PT Astra Serif"/>
                <w:sz w:val="24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8"/>
                <w:lang w:eastAsia="en-US"/>
              </w:rPr>
              <w:t xml:space="preserve"> В соответствии с описанием объекта закупки </w:t>
            </w:r>
            <w:r>
              <w:rPr>
                <w:rFonts w:ascii="PT Astra Serif" w:hAnsi="PT Astra Serif" w:cs="PT Astra Serif"/>
                <w:sz w:val="24"/>
                <w:szCs w:val="28"/>
              </w:rPr>
            </w:r>
            <w:r>
              <w:rPr>
                <w:rFonts w:ascii="PT Astra Serif" w:hAnsi="PT Astra Serif" w:cs="PT Astra Serif"/>
                <w:sz w:val="24"/>
                <w:szCs w:val="28"/>
              </w:rPr>
            </w:r>
          </w:p>
        </w:tc>
      </w:tr>
      <w:tr>
        <w:tblPrEx/>
        <w:trPr>
          <w:trHeight w:val="274"/>
        </w:trPr>
        <w:tc>
          <w:tcPr>
            <w:tcW w:w="3289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Используемый метод определения НМЦК с обоснованием: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1170" w:type="dxa"/>
            <w:textDirection w:val="lrTb"/>
            <w:noWrap w:val="false"/>
          </w:tcPr>
          <w:p>
            <w:pPr>
              <w:pStyle w:val="776"/>
              <w:contextualSpacing/>
              <w:ind w:left="114" w:right="113" w:firstLine="538"/>
              <w:jc w:val="both"/>
              <w:tabs>
                <w:tab w:val="left" w:pos="10736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 соответствии с положениями статьи 22 Федерального закона от 05.04.2013 № 44-ФЗ «О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контрактной системе в сфере закупок товаров, работ, услуг для обеспечения государственных и муниципальных нужд» начальная (максимальная) цена контракта определяется и обосновывается посредством применения метода сопоставимых рыночных цен (анализа рынка).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776"/>
              <w:contextualSpacing/>
              <w:ind w:left="114" w:right="113" w:firstLine="538"/>
              <w:jc w:val="both"/>
              <w:tabs>
                <w:tab w:val="left" w:pos="10736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трех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организаций были получены, и зарегистрированы письма с ответом, в виде коммерческих предложений: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776"/>
              <w:numPr>
                <w:ilvl w:val="0"/>
                <w:numId w:val="51"/>
              </w:numPr>
              <w:contextualSpacing/>
              <w:ind w:right="113"/>
              <w:jc w:val="both"/>
              <w:tabs>
                <w:tab w:val="left" w:pos="936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Входящий № Т54/2778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-ДР от 01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.26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776"/>
              <w:numPr>
                <w:ilvl w:val="0"/>
                <w:numId w:val="51"/>
              </w:numPr>
              <w:tabs>
                <w:tab w:val="left" w:pos="936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Входящий № Т54/2783-ДР от 01.06.26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numPr>
                <w:ilvl w:val="0"/>
                <w:numId w:val="51"/>
              </w:numPr>
              <w:tabs>
                <w:tab w:val="left" w:pos="936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Входящий № Т54/2789-ДР от 02.06.26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ind w:firstLine="425"/>
        <w:jc w:val="center"/>
        <w:spacing w:line="276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НМЦК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методом сопоставимых рыночных цен (анализа рынка)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определяется по формуле: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57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</w:rPr>
      </w:r>
      <m:oMath>
        <m:sSup>
          <m:sSupPr>
            <m:ctrlPr>
              <w:rPr>
                <w:rFonts w:ascii="Cambria Math" w:hAnsi="Cambria Math" w:eastAsia="Cambria Math" w:cs="Cambria Math"/>
                <w:i/>
                <w:sz w:val="24"/>
                <w:szCs w:val="24"/>
              </w:rPr>
            </m:ctrlPr>
          </m:sSup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</w:rPr>
              <m:rPr/>
              <m:t>НМЦК</m:t>
            </m:r>
          </m:e>
          <m:sup>
            <m:r>
              <w:rPr>
                <w:rFonts w:hint="default" w:ascii="Cambria Math" w:hAnsi="Cambria Math" w:eastAsia="Cambria Math" w:cs="Cambria Math"/>
                <w:sz w:val="24"/>
                <w:szCs w:val="24"/>
              </w:rPr>
              <m:rPr/>
              <m:t>рын</m:t>
            </m:r>
          </m:sup>
        </m:sSup>
        <m:r>
          <w:rPr>
            <w:rFonts w:hint="default" w:ascii="Cambria Math" w:hAnsi="Cambria Math" w:eastAsia="Cambria Math" w:cs="Cambria Math"/>
            <w:sz w:val="24"/>
            <w:szCs w:val="24"/>
          </w:rPr>
          <m:rPr/>
          <m:t> =</m:t>
        </m:r>
        <m:f>
          <m:fPr>
            <m:ctrlPr>
              <w:rPr>
                <w:rFonts w:ascii="Cambria Math" w:hAnsi="Cambria Math" w:eastAsia="Cambria Math" w:cs="Cambria Math"/>
                <w:sz w:val="24"/>
                <w:szCs w:val="24"/>
              </w:rPr>
            </m:ctrlPr>
          </m:fPr>
          <m:num>
            <m:r>
              <w:rPr>
                <w:rFonts w:hint="default" w:ascii="Cambria Math" w:hAnsi="Cambria Math" w:eastAsia="Cambria Math" w:cs="Cambria Math"/>
                <w:sz w:val="24"/>
                <w:szCs w:val="24"/>
              </w:rPr>
              <m:rPr/>
              <m:t>v</m:t>
            </m:r>
          </m:num>
          <m:den>
            <m:r>
              <w:rPr>
                <w:rFonts w:hint="default" w:ascii="Cambria Math" w:hAnsi="Cambria Math" w:eastAsia="Cambria Math" w:cs="Cambria Math"/>
                <w:sz w:val="24"/>
                <w:szCs w:val="24"/>
              </w:rPr>
              <m:rPr/>
              <m:t>n</m:t>
            </m:r>
          </m:den>
        </m:f>
        <m:r>
          <w:rPr>
            <w:rFonts w:hint="default" w:ascii="Cambria Math" w:hAnsi="Cambria Math" w:eastAsia="Cambria Math" w:cs="Cambria Math"/>
            <w:sz w:val="24"/>
            <w:szCs w:val="24"/>
          </w:rPr>
          <m:rPr/>
          <m:t>*</m:t>
        </m:r>
        <m:nary>
          <m:naryPr>
            <m:chr m:val="∑"/>
            <m:grow m:val="off"/>
            <m:limLoc m:val="undOvr"/>
            <m:ctrlPr>
              <w:rPr>
                <w:rFonts w:ascii="Cambria Math" w:hAnsi="Cambria Math" w:eastAsia="Cambria Math" w:cs="Cambria Math"/>
                <w:i/>
                <w:sz w:val="24"/>
                <w:szCs w:val="24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z w:val="24"/>
                <w:szCs w:val="24"/>
              </w:rPr>
              <m:rPr/>
              <m:t>i=1</m:t>
            </m:r>
          </m:sub>
          <m:sup>
            <m:r>
              <w:rPr>
                <w:rFonts w:hint="default" w:ascii="Cambria Math" w:hAnsi="Cambria Math" w:eastAsia="Cambria Math" w:cs="Cambria Math"/>
                <w:sz w:val="24"/>
                <w:szCs w:val="24"/>
              </w:rPr>
              <m:rPr/>
              <m:t>n</m:t>
            </m:r>
          </m:sup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</w:rPr>
              <m:rPr>
                <m:sty m:val="p"/>
              </m:rPr>
              <m:t>ц</m:t>
            </m:r>
            <m:r>
              <w:rPr>
                <w:rFonts w:hint="default" w:ascii="Cambria Math" w:hAnsi="Cambria Math" w:eastAsia="Cambria Math" w:cs="Cambria Math"/>
                <w:sz w:val="24"/>
                <w:szCs w:val="24"/>
              </w:rPr>
              <m:rPr/>
              <m:t>i</m:t>
            </m:r>
          </m:e>
        </m:nary>
      </m:oMath>
      <w:r>
        <w:rPr>
          <w:rFonts w:ascii="PT Astra Serif" w:hAnsi="PT Astra Serif" w:eastAsia="PT Astra Serif" w:cs="PT Astra Serif"/>
          <w:sz w:val="24"/>
          <w:szCs w:val="24"/>
        </w:rPr>
        <w:t xml:space="preserve">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425"/>
        <w:jc w:val="both"/>
        <w:spacing w:line="276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где: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425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</w:rPr>
      </w:r>
      <m:oMath>
        <m:sSup>
          <m:sSupPr>
            <m:ctrlPr>
              <w:rPr>
                <w:rFonts w:ascii="Cambria Math" w:hAnsi="Cambria Math" w:eastAsia="Cambria Math" w:cs="Cambria Math"/>
                <w:i/>
                <w:sz w:val="24"/>
                <w:szCs w:val="24"/>
              </w:rPr>
            </m:ctrlPr>
          </m:sSup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</w:rPr>
              <m:rPr/>
              <m:t>НМЦК</m:t>
            </m:r>
          </m:e>
          <m:sup>
            <m:r>
              <w:rPr>
                <w:rFonts w:hint="default" w:ascii="Cambria Math" w:hAnsi="Cambria Math" w:eastAsia="Cambria Math" w:cs="Cambria Math"/>
                <w:sz w:val="24"/>
                <w:szCs w:val="24"/>
              </w:rPr>
              <m:rPr/>
              <m:t>рын</m:t>
            </m:r>
          </m:sup>
        </m:sSup>
      </m:oMath>
      <w:r>
        <w:rPr>
          <w:rFonts w:ascii="PT Astra Serif" w:hAnsi="PT Astra Serif" w:eastAsia="PT Astra Serif" w:cs="PT Astra Serif"/>
          <w:sz w:val="24"/>
          <w:szCs w:val="24"/>
        </w:rPr>
        <w:t xml:space="preserve"> - НМЦК;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425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v - количество (объем) закупаемого товара (работы, услуги);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425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n - количество значений, используемых в расчете;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425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i - номер источника ценовой информации;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426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ц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i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- цена единицы товара, работы, услуги, представленная в источнике с номером i.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57"/>
        <w:jc w:val="center"/>
        <w:spacing w:line="36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Подставляя имеющиеся значения, получаем следующее: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1461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324"/>
        <w:gridCol w:w="789"/>
        <w:gridCol w:w="790"/>
        <w:gridCol w:w="1052"/>
        <w:gridCol w:w="1052"/>
        <w:gridCol w:w="1052"/>
        <w:gridCol w:w="1052"/>
        <w:gridCol w:w="921"/>
        <w:gridCol w:w="657"/>
        <w:gridCol w:w="1184"/>
        <w:gridCol w:w="1157"/>
        <w:gridCol w:w="1082"/>
      </w:tblGrid>
      <w:tr>
        <w:tblPrEx/>
        <w:trPr>
          <w:trHeight w:val="382"/>
        </w:trPr>
        <w:tc>
          <w:tcPr>
            <w:tcW w:w="4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/п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23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Наименование услуги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5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Объем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10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Источник №1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10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Источник №2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10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Источник №3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Средн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арифм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9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Округление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Кол-во знач.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Сред.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квадр.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откл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. σ=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11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Коэфф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 вариации V=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10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Рыночная стоимость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79"/>
        </w:trPr>
        <w:tc>
          <w:tcPr>
            <w:tcW w:w="45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32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Ед.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изм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Кол-во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10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Цена за ед. изм.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10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Цена за ед. изм.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W w:w="10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Цена за ед. изм.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05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5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5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66"/>
        </w:trPr>
        <w:tc>
          <w:tcPr>
            <w:tcW w:w="4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1134" w:leader="none"/>
              </w:tabs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3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Оказание услуг по разработке паспортов отходов I-IV классов опасности для нужд Территориального органа Федеральной службы государственной статистики по Нижегородской области 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Источники бесперебойного питания, утратившие потребительские свойства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шт.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90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0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1750,00</w:t>
            </w:r>
            <w:r/>
          </w:p>
        </w:tc>
        <w:tc>
          <w:tcPr>
            <w:tcW w:w="10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3000,00</w:t>
            </w:r>
            <w:r/>
          </w:p>
        </w:tc>
        <w:tc>
          <w:tcPr>
            <w:tcW w:w="10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2500,00</w:t>
            </w:r>
            <w:r/>
          </w:p>
        </w:tc>
        <w:tc>
          <w:tcPr>
            <w:tcW w:w="10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W w:w="9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629,1528696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26,03391185</w:t>
            </w:r>
            <w:r/>
          </w:p>
        </w:tc>
        <w:tc>
          <w:tcPr>
            <w:tcW w:w="108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66"/>
        </w:trPr>
        <w:tc>
          <w:tcPr>
            <w:tcW w:w="45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1134" w:leader="none"/>
              </w:tabs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2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3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Оказание услуг по разработке паспортов отходов I-IV классов опасности для нужд Территориального органа Федеральной службы государственной статистики по Нижегородской области 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Принтеры, сканеры, многофункциональные устройства (МФУ), утратившие потребительские свойства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PT Astra Serif" w:hAnsi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шт.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9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1750,00</w:t>
            </w:r>
            <w:r/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3000,00</w:t>
            </w:r>
            <w:r/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2500,00</w:t>
            </w:r>
            <w:r/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W w:w="9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W w:w="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629,1528696</w:t>
            </w:r>
            <w:r/>
          </w:p>
        </w:tc>
        <w:tc>
          <w:tcPr>
            <w:tcW w:w="11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26,03391185</w:t>
            </w:r>
            <w:r/>
          </w:p>
        </w:tc>
        <w:tc>
          <w:tcPr>
            <w:tcW w:w="10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66"/>
        </w:trPr>
        <w:tc>
          <w:tcPr>
            <w:tcW w:w="45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1134" w:leader="none"/>
              </w:tabs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3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Оказание услуг по разработке паспортов отходов I-IV классов опасности для нужд Территориального органа Федеральной службы государственной статистики по Нижегородской области 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Компьютеры портативные (ноутбуки), утратившие потребительские свойства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PT Astra Serif" w:hAnsi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шт.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9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1750,00</w:t>
            </w:r>
            <w:r/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3000,00</w:t>
            </w:r>
            <w:r/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2500,00</w:t>
            </w:r>
            <w:r/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W w:w="9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W w:w="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629,1528696</w:t>
            </w:r>
            <w:r/>
          </w:p>
        </w:tc>
        <w:tc>
          <w:tcPr>
            <w:tcW w:w="11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26,03391185</w:t>
            </w:r>
            <w:r/>
          </w:p>
        </w:tc>
        <w:tc>
          <w:tcPr>
            <w:tcW w:w="10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66"/>
        </w:trPr>
        <w:tc>
          <w:tcPr>
            <w:tcW w:w="45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1134" w:leader="none"/>
              </w:tabs>
              <w:rPr>
                <w:rFonts w:ascii="PT Astra Serif" w:hAnsi="PT Astra Serif" w:eastAsia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tcW w:w="23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Оказание услуг по разработке паспортов отходов I-IV классов опасности для нужд Территориального органа Федеральной службы государственной статистики по Нижегородской области (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Системный блок компьютера, утративший потребительские свойства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шт.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9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1750,00</w:t>
            </w:r>
            <w:r/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3000,00</w:t>
            </w:r>
            <w:r/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2500,00</w:t>
            </w:r>
            <w:r/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W w:w="9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W w:w="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629,1528696</w:t>
            </w:r>
            <w:r/>
          </w:p>
        </w:tc>
        <w:tc>
          <w:tcPr>
            <w:tcW w:w="11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26,03391185</w:t>
            </w:r>
            <w:r/>
          </w:p>
        </w:tc>
        <w:tc>
          <w:tcPr>
            <w:tcW w:w="10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trHeight w:val="766"/>
        </w:trPr>
        <w:tc>
          <w:tcPr>
            <w:tcW w:w="45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1134" w:leader="none"/>
              </w:tabs>
              <w:rPr>
                <w:rFonts w:ascii="PT Astra Serif" w:hAnsi="PT Astra Serif" w:eastAsia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tcW w:w="23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Оказание услуг по разработке паспортов отходов I-IV классов опасности для нужд Территориального органа Федеральной службы государственной статистики по Нижегородской области (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Клавиатура, манипулятор "мышь" с соединительными проводами, утратившие потребительские свойства)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шт.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79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1750,00</w:t>
            </w:r>
            <w:r/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3000,00</w:t>
            </w:r>
            <w:r/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2500,00</w:t>
            </w:r>
            <w:r/>
          </w:p>
        </w:tc>
        <w:tc>
          <w:tcP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W w:w="9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W w:w="6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629,1528696</w:t>
            </w:r>
            <w:r/>
          </w:p>
        </w:tc>
        <w:tc>
          <w:tcPr>
            <w:tcW w:w="11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26,03391185</w:t>
            </w:r>
            <w:r/>
          </w:p>
        </w:tc>
        <w:tc>
          <w:tcPr>
            <w:tcW w:w="10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2 416,67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/>
          </w:p>
        </w:tc>
      </w:tr>
    </w:tbl>
    <w:p>
      <w:pPr>
        <w:contextualSpacing/>
        <w:ind w:right="-28" w:firstLine="851"/>
        <w:jc w:val="both"/>
        <w:spacing w:after="120"/>
        <w:tabs>
          <w:tab w:val="left" w:pos="14459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/>
        <w:ind w:right="-28" w:firstLine="851"/>
        <w:jc w:val="both"/>
        <w:spacing w:after="120"/>
        <w:tabs>
          <w:tab w:val="left" w:pos="14459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Совокупность значений, используемых в расчете начальной (максимальной) цены контракта, принимается однородной (коэффициент вариации не превышает 33 %).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pStyle w:val="776"/>
        <w:ind w:firstLine="709"/>
        <w:jc w:val="both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Начальная максимальная цена государственного контракта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исходя из выделенного финансирования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составит 5 360 (Пять тысяч триста шестьдесят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 рублей 00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копеек, включая НДС в соответствии с законод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ательством Российской Федерации, с учетом понижения цены единицы услуги на 55,6414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%: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contextualSpacing/>
        <w:ind w:right="-1" w:firstLine="709"/>
        <w:jc w:val="both"/>
        <w:spacing w:after="120"/>
        <w:tabs>
          <w:tab w:val="left" w:pos="14459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8"/>
        <w:gridCol w:w="8504"/>
        <w:gridCol w:w="1276"/>
        <w:gridCol w:w="992"/>
        <w:gridCol w:w="1417"/>
        <w:gridCol w:w="1562"/>
      </w:tblGrid>
      <w:tr>
        <w:tblPrEx/>
        <w:trPr/>
        <w:tc>
          <w:tcPr>
            <w:tcW w:w="958" w:type="dxa"/>
            <w:vAlign w:val="center"/>
            <w:vMerge w:val="restart"/>
            <w:textDirection w:val="lrTb"/>
            <w:noWrap w:val="false"/>
          </w:tcPr>
          <w:p>
            <w:pPr>
              <w:pStyle w:val="776"/>
              <w:jc w:val="center"/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0"/>
                <w:szCs w:val="20"/>
              </w:rPr>
              <w:t xml:space="preserve">№ п/п</w:t>
            </w:r>
            <w:r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r>
          </w:p>
        </w:tc>
        <w:tc>
          <w:tcPr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776"/>
              <w:jc w:val="center"/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0"/>
                <w:szCs w:val="20"/>
              </w:rPr>
              <w:t xml:space="preserve">Наименование услуги</w:t>
            </w:r>
            <w:r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2268" w:type="dxa"/>
            <w:vAlign w:val="center"/>
            <w:textDirection w:val="lrTb"/>
            <w:noWrap w:val="false"/>
          </w:tcPr>
          <w:p>
            <w:pPr>
              <w:pStyle w:val="776"/>
              <w:jc w:val="center"/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0"/>
                <w:szCs w:val="20"/>
              </w:rPr>
              <w:t xml:space="preserve">Объем</w:t>
            </w:r>
            <w:r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776"/>
              <w:jc w:val="center"/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0"/>
                <w:szCs w:val="20"/>
              </w:rPr>
              <w:t xml:space="preserve">Цена за единицу, руб.</w:t>
            </w:r>
            <w:r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r>
          </w:p>
        </w:tc>
        <w:tc>
          <w:tcPr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776"/>
              <w:jc w:val="center"/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0"/>
                <w:szCs w:val="20"/>
              </w:rPr>
              <w:t xml:space="preserve">Стоимость, руб.</w:t>
            </w:r>
            <w:r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958" w:type="dxa"/>
            <w:vAlign w:val="center"/>
            <w:vMerge w:val="continue"/>
            <w:textDirection w:val="lrTb"/>
            <w:noWrap w:val="false"/>
          </w:tcPr>
          <w:p>
            <w:pPr>
              <w:pStyle w:val="7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4" w:type="dxa"/>
            <w:vAlign w:val="center"/>
            <w:vMerge w:val="continue"/>
            <w:textDirection w:val="lrTb"/>
            <w:noWrap w:val="false"/>
          </w:tcPr>
          <w:p>
            <w:pPr>
              <w:pStyle w:val="7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776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Ед.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  <w:p>
            <w:pPr>
              <w:pStyle w:val="776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изм.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76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Кол-во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776"/>
              <w:jc w:val="center"/>
              <w:rPr>
                <w:rFonts w:eastAsia="PT Astra Serif"/>
                <w:color w:val="000000"/>
                <w:sz w:val="24"/>
                <w:szCs w:val="24"/>
              </w:rPr>
            </w:pPr>
            <w:r>
              <w:rPr>
                <w:rFonts w:eastAsia="PT Astra Serif"/>
                <w:color w:val="000000"/>
                <w:sz w:val="24"/>
                <w:szCs w:val="24"/>
              </w:rPr>
            </w:r>
            <w:r>
              <w:rPr>
                <w:rFonts w:eastAsia="PT Astra Serif"/>
                <w:color w:val="000000"/>
                <w:sz w:val="24"/>
                <w:szCs w:val="24"/>
              </w:rPr>
            </w:r>
            <w:r>
              <w:rPr>
                <w:rFonts w:eastAsia="PT Astra Serif"/>
                <w:color w:val="000000"/>
                <w:sz w:val="24"/>
                <w:szCs w:val="24"/>
              </w:rPr>
            </w:r>
          </w:p>
        </w:tc>
        <w:tc>
          <w:tcPr>
            <w:tcW w:w="1562" w:type="dxa"/>
            <w:vAlign w:val="top"/>
            <w:vMerge w:val="continue"/>
            <w:textDirection w:val="lrTb"/>
            <w:noWrap w:val="false"/>
          </w:tcPr>
          <w:p>
            <w:pPr>
              <w:pStyle w:val="776"/>
              <w:jc w:val="center"/>
              <w:rPr>
                <w:rFonts w:eastAsia="PT Astra Serif"/>
                <w:color w:val="000000"/>
                <w:sz w:val="24"/>
                <w:szCs w:val="24"/>
              </w:rPr>
            </w:pPr>
            <w:r>
              <w:rPr>
                <w:rFonts w:eastAsia="PT Astra Serif"/>
                <w:color w:val="000000"/>
                <w:sz w:val="24"/>
                <w:szCs w:val="24"/>
              </w:rPr>
            </w:r>
            <w:r>
              <w:rPr>
                <w:rFonts w:eastAsia="PT Astra Serif"/>
                <w:color w:val="000000"/>
                <w:sz w:val="24"/>
                <w:szCs w:val="24"/>
              </w:rPr>
            </w:r>
            <w:r>
              <w:rPr>
                <w:rFonts w:eastAsia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9"/>
        </w:trPr>
        <w:tc>
          <w:tcPr>
            <w:tcW w:w="958" w:type="dxa"/>
            <w:vAlign w:val="center"/>
            <w:textDirection w:val="lrTb"/>
            <w:noWrap w:val="false"/>
          </w:tcPr>
          <w:p>
            <w:pPr>
              <w:pStyle w:val="776"/>
              <w:contextualSpacing/>
              <w:ind w:right="114"/>
              <w:jc w:val="center"/>
              <w:tabs>
                <w:tab w:val="left" w:pos="1134" w:leader="none"/>
                <w:tab w:val="left" w:pos="1276" w:leader="none"/>
                <w:tab w:val="left" w:pos="1418" w:leader="none"/>
              </w:tabs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85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Оказание услуг по разработке паспортов отходов I-IV классов опасности для нужд Территориального органа Федеральной службы государственной статистики по Нижегородской области 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Источники бесперебойного питания, утратившие потребительские свойства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Шт.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1 072,00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1 072,00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982"/>
        </w:trPr>
        <w:tc>
          <w:tcPr>
            <w:tcW w:w="958" w:type="dxa"/>
            <w:vAlign w:val="center"/>
            <w:textDirection w:val="lrTb"/>
            <w:noWrap w:val="false"/>
          </w:tcPr>
          <w:p>
            <w:pPr>
              <w:pStyle w:val="776"/>
              <w:contextualSpacing/>
              <w:ind w:right="114"/>
              <w:jc w:val="center"/>
              <w:tabs>
                <w:tab w:val="left" w:pos="1134" w:leader="none"/>
                <w:tab w:val="left" w:pos="1276" w:leader="none"/>
                <w:tab w:val="left" w:pos="1418" w:leader="none"/>
              </w:tabs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2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85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Оказание услуг по разработке паспортов отходов I-IV классов опасности для нужд Территориального органа Федеральной службы государственной статистики по Нижегородской области 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Принтеры, сканеры, многофункциональные устройства (МФУ), утратившие потребительские свойства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PT Astra Serif" w:hAnsi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Шт.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1 072,00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W w:w="15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1 072,00</w:t>
            </w:r>
            <w:r/>
          </w:p>
        </w:tc>
      </w:tr>
      <w:tr>
        <w:tblPrEx/>
        <w:trPr>
          <w:trHeight w:val="850"/>
        </w:trPr>
        <w:tc>
          <w:tcPr>
            <w:tcW w:w="958" w:type="dxa"/>
            <w:vAlign w:val="center"/>
            <w:textDirection w:val="lrTb"/>
            <w:noWrap w:val="false"/>
          </w:tcPr>
          <w:p>
            <w:pPr>
              <w:pStyle w:val="776"/>
              <w:contextualSpacing/>
              <w:ind w:right="114"/>
              <w:jc w:val="center"/>
              <w:tabs>
                <w:tab w:val="left" w:pos="1134" w:leader="none"/>
                <w:tab w:val="left" w:pos="1276" w:leader="none"/>
                <w:tab w:val="left" w:pos="1418" w:leader="none"/>
              </w:tabs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3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85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Оказание услуг по разработке паспортов отходов I-IV классов опасности для нужд Территориального органа Федеральной службы государственной статистики по Нижегородской области 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Компьютеры портативные (ноутбуки), утратившие потребительские свойства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PT Astra Serif" w:hAnsi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Шт.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1 072,00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W w:w="15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1 072,00</w:t>
            </w:r>
            <w:r/>
          </w:p>
        </w:tc>
      </w:tr>
      <w:tr>
        <w:tblPrEx/>
        <w:trPr>
          <w:trHeight w:val="850"/>
        </w:trPr>
        <w:tc>
          <w:tcPr>
            <w:tcW w:w="958" w:type="dxa"/>
            <w:vAlign w:val="center"/>
            <w:vMerge w:val="restart"/>
            <w:textDirection w:val="lrTb"/>
            <w:noWrap w:val="false"/>
          </w:tcPr>
          <w:p>
            <w:pPr>
              <w:pStyle w:val="776"/>
              <w:contextualSpacing/>
              <w:ind w:right="114"/>
              <w:jc w:val="center"/>
              <w:tabs>
                <w:tab w:val="left" w:pos="1134" w:leader="none"/>
                <w:tab w:val="left" w:pos="1276" w:leader="none"/>
                <w:tab w:val="left" w:pos="1418" w:leader="none"/>
              </w:tabs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</w:p>
        </w:tc>
        <w:tc>
          <w:tcPr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Оказание услуг по разработке паспортов отходов I-IV классов опасности для нужд Территориального органа Федеральной службы государственной статистики по Нижегородской области (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Системный блок компьютера, утративший потребительские свойства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Шт.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1 072,00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1 072,00</w:t>
            </w:r>
            <w:r/>
          </w:p>
        </w:tc>
      </w:tr>
      <w:tr>
        <w:tblPrEx/>
        <w:trPr>
          <w:trHeight w:val="850"/>
        </w:trPr>
        <w:tc>
          <w:tcPr>
            <w:tcW w:w="958" w:type="dxa"/>
            <w:vAlign w:val="center"/>
            <w:vMerge w:val="restart"/>
            <w:textDirection w:val="lrTb"/>
            <w:noWrap w:val="false"/>
          </w:tcPr>
          <w:p>
            <w:pPr>
              <w:pStyle w:val="776"/>
              <w:contextualSpacing/>
              <w:ind w:right="114"/>
              <w:jc w:val="center"/>
              <w:tabs>
                <w:tab w:val="left" w:pos="1134" w:leader="none"/>
                <w:tab w:val="left" w:pos="1276" w:leader="none"/>
                <w:tab w:val="left" w:pos="1418" w:leader="none"/>
              </w:tabs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</w:p>
        </w:tc>
        <w:tc>
          <w:tcPr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Оказание услуг по разработке паспортов отходов I-IV классов опасности для нужд Территориального органа Федеральной службы государственной статистики по Нижегородской области (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Клавиатура, манипулятор "мышь" с соединительными проводами, утратившие потребительские свойства)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Шт.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1 072,00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1 072,00</w:t>
            </w:r>
            <w:r/>
          </w:p>
        </w:tc>
      </w:tr>
      <w:tr>
        <w:tblPrEx/>
        <w:trPr/>
        <w:tc>
          <w:tcPr>
            <w:gridSpan w:val="5"/>
            <w:tcW w:w="13147" w:type="dxa"/>
            <w:vAlign w:val="center"/>
            <w:textDirection w:val="lrTb"/>
            <w:noWrap w:val="false"/>
          </w:tcPr>
          <w:p>
            <w:pPr>
              <w:pStyle w:val="776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ИТОГО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  <w:tc>
          <w:tcPr>
            <w:tcW w:w="1562" w:type="dxa"/>
            <w:vAlign w:val="top"/>
            <w:textDirection w:val="lrTb"/>
            <w:noWrap w:val="false"/>
          </w:tcPr>
          <w:p>
            <w:pPr>
              <w:pStyle w:val="776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5 360,00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</w:r>
          </w:p>
        </w:tc>
      </w:tr>
    </w:tbl>
    <w:p>
      <w:pPr>
        <w:contextualSpacing/>
        <w:ind w:right="-1" w:firstLine="709"/>
        <w:jc w:val="both"/>
        <w:spacing w:after="120"/>
        <w:tabs>
          <w:tab w:val="left" w:pos="14459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Специалист контрактной службы: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Заместитель начальника административного отдела</w:t>
      </w:r>
      <w:r>
        <w:rPr>
          <w:rFonts w:ascii="PT Astra Serif" w:hAnsi="PT Astra Serif" w:eastAsia="PT Astra Serif" w:cs="PT Astra Serif"/>
          <w:sz w:val="24"/>
          <w:szCs w:val="24"/>
        </w:rPr>
        <w:tab/>
      </w:r>
      <w:r>
        <w:rPr>
          <w:rFonts w:ascii="PT Astra Serif" w:hAnsi="PT Astra Serif" w:eastAsia="PT Astra Serif" w:cs="PT Astra Serif"/>
          <w:sz w:val="24"/>
          <w:szCs w:val="24"/>
        </w:rPr>
        <w:tab/>
      </w:r>
      <w:r>
        <w:rPr>
          <w:rFonts w:ascii="PT Astra Serif" w:hAnsi="PT Astra Serif" w:eastAsia="PT Astra Serif" w:cs="PT Astra Serif"/>
          <w:sz w:val="24"/>
          <w:szCs w:val="24"/>
        </w:rPr>
        <w:tab/>
        <w:t xml:space="preserve">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                ____________________ С.Г. Сироткин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sectPr>
      <w:headerReference w:type="default" r:id="rId9"/>
      <w:footnotePr/>
      <w:endnotePr/>
      <w:type w:val="nextPage"/>
      <w:pgSz w:w="16840" w:h="11907" w:orient="landscape"/>
      <w:pgMar w:top="851" w:right="822" w:bottom="851" w:left="1418" w:header="397" w:footer="397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22"/>
      <w:jc w:val="right"/>
      <w:rPr>
        <w:sz w:val="14"/>
        <w:szCs w:val="14"/>
      </w:rPr>
    </w:pPr>
    <w:r>
      <w:rPr>
        <w:sz w:val="14"/>
        <w:szCs w:val="14"/>
      </w:rPr>
    </w:r>
    <w:r>
      <w:rPr>
        <w:sz w:val="14"/>
        <w:szCs w:val="14"/>
      </w:rPr>
    </w:r>
    <w:r>
      <w:rPr>
        <w:sz w:val="14"/>
        <w:szCs w:val="1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84"/>
      <w:isLgl w:val="false"/>
      <w:suff w:val="tab"/>
      <w:lvlText w:val="%1."/>
      <w:lvlJc w:val="left"/>
      <w:pPr>
        <w:ind w:left="360" w:hanging="360"/>
      </w:pPr>
      <w:rPr>
        <w:b/>
        <w:i w:val="0"/>
        <w:color w:val="00000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672" w:hanging="432"/>
      </w:pPr>
      <w:rPr>
        <w:b/>
        <w:i w:val="0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40" w:hanging="48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  <w:rPr>
        <w:b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2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  <w:tabs>
          <w:tab w:val="num" w:pos="13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1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764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2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3."/>
      <w:lvlJc w:val="left"/>
      <w:pPr>
        <w:ind w:left="70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1" w:hanging="648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0" w:hanging="360"/>
        <w:tabs>
          <w:tab w:val="num" w:pos="13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9."/>
      <w:lvlJc w:val="left"/>
      <w:pPr>
        <w:ind w:left="4320" w:hanging="144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764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3"/>
      <w:numFmt w:val="decimal"/>
      <w:isLgl w:val="false"/>
      <w:suff w:val="tab"/>
      <w:lvlText w:val="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bullet"/>
      <w:isLgl w:val="false"/>
      <w:suff w:val="tab"/>
      <w:lvlText w:val=""/>
      <w:lvlJc w:val="left"/>
      <w:pPr>
        <w:ind w:left="1728" w:hanging="648"/>
      </w:pPr>
      <w:rPr>
        <w:rFonts w:ascii="Symbol" w:hAnsi="Symbol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764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855"/>
        <w:tabs>
          <w:tab w:val="num" w:pos="1215" w:leader="none"/>
        </w:tabs>
      </w:pPr>
    </w:lvl>
    <w:lvl w:ilvl="1">
      <w:start w:val="3"/>
      <w:numFmt w:val="decimal"/>
      <w:isLgl w:val="false"/>
      <w:suff w:val="tab"/>
      <w:lvlText w:val="%2"/>
      <w:lvlJc w:val="left"/>
      <w:pPr>
        <w:ind w:left="720" w:hanging="360"/>
        <w:tabs>
          <w:tab w:val="num" w:pos="720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</w:lvl>
  </w:abstractNum>
  <w:abstractNum w:abstractNumId="3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3"/>
      <w:numFmt w:val="decimal"/>
      <w:isLgl w:val="false"/>
      <w:suff w:val="tab"/>
      <w:lvlText w:val="%9."/>
      <w:lvlJc w:val="left"/>
      <w:pPr>
        <w:ind w:left="4320" w:hanging="144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1"/>
  </w:num>
  <w:num w:numId="4">
    <w:abstractNumId w:val="42"/>
  </w:num>
  <w:num w:numId="5">
    <w:abstractNumId w:val="9"/>
  </w:num>
  <w:num w:numId="6">
    <w:abstractNumId w:val="33"/>
  </w:num>
  <w:num w:numId="7">
    <w:abstractNumId w:val="17"/>
  </w:num>
  <w:num w:numId="8">
    <w:abstractNumId w:val="6"/>
  </w:num>
  <w:num w:numId="9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5"/>
  </w:num>
  <w:num w:numId="13">
    <w:abstractNumId w:val="32"/>
  </w:num>
  <w:num w:numId="14">
    <w:abstractNumId w:val="19"/>
  </w:num>
  <w:num w:numId="15">
    <w:abstractNumId w:val="2"/>
  </w:num>
  <w:num w:numId="16">
    <w:abstractNumId w:val="28"/>
  </w:num>
  <w:num w:numId="17">
    <w:abstractNumId w:val="44"/>
  </w:num>
  <w:num w:numId="18">
    <w:abstractNumId w:val="45"/>
  </w:num>
  <w:num w:numId="19">
    <w:abstractNumId w:val="14"/>
  </w:num>
  <w:num w:numId="20">
    <w:abstractNumId w:val="36"/>
  </w:num>
  <w:num w:numId="21">
    <w:abstractNumId w:val="40"/>
  </w:num>
  <w:num w:numId="22">
    <w:abstractNumId w:val="30"/>
  </w:num>
  <w:num w:numId="23">
    <w:abstractNumId w:val="18"/>
  </w:num>
  <w:num w:numId="24">
    <w:abstractNumId w:val="7"/>
  </w:num>
  <w:num w:numId="25">
    <w:abstractNumId w:val="0"/>
  </w:num>
  <w:num w:numId="26">
    <w:abstractNumId w:val="38"/>
  </w:num>
  <w:num w:numId="27">
    <w:abstractNumId w:val="39"/>
  </w:num>
  <w:num w:numId="28">
    <w:abstractNumId w:val="22"/>
  </w:num>
  <w:num w:numId="29">
    <w:abstractNumId w:val="37"/>
  </w:num>
  <w:num w:numId="30">
    <w:abstractNumId w:val="10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3"/>
  </w:num>
  <w:num w:numId="34">
    <w:abstractNumId w:val="27"/>
  </w:num>
  <w:num w:numId="35">
    <w:abstractNumId w:val="31"/>
  </w:num>
  <w:num w:numId="36">
    <w:abstractNumId w:val="35"/>
  </w:num>
  <w:num w:numId="37">
    <w:abstractNumId w:val="21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6"/>
  </w:num>
  <w:num w:numId="41">
    <w:abstractNumId w:val="4"/>
  </w:num>
  <w:num w:numId="42">
    <w:abstractNumId w:val="12"/>
  </w:num>
  <w:num w:numId="43">
    <w:abstractNumId w:val="1"/>
  </w:num>
  <w:num w:numId="44">
    <w:abstractNumId w:val="29"/>
  </w:num>
  <w:num w:numId="45">
    <w:abstractNumId w:val="5"/>
  </w:num>
  <w:num w:numId="46">
    <w:abstractNumId w:val="43"/>
  </w:num>
  <w:num w:numId="47">
    <w:abstractNumId w:val="8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 w:default="1">
    <w:name w:val="Normal"/>
    <w:qFormat/>
    <w:rPr>
      <w:rFonts w:ascii="Times New Roman" w:hAnsi="Times New Roman"/>
      <w:lang w:eastAsia="ru-RU"/>
    </w:rPr>
  </w:style>
  <w:style w:type="paragraph" w:styleId="777">
    <w:name w:val="Heading 1"/>
    <w:basedOn w:val="776"/>
    <w:next w:val="776"/>
    <w:link w:val="978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78">
    <w:name w:val="Heading 2"/>
    <w:basedOn w:val="776"/>
    <w:next w:val="776"/>
    <w:link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9">
    <w:name w:val="Heading 3"/>
    <w:basedOn w:val="776"/>
    <w:next w:val="776"/>
    <w:link w:val="8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0">
    <w:name w:val="Heading 4"/>
    <w:basedOn w:val="776"/>
    <w:next w:val="776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776"/>
    <w:next w:val="776"/>
    <w:link w:val="8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776"/>
    <w:next w:val="776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776"/>
    <w:next w:val="776"/>
    <w:link w:val="8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776"/>
    <w:next w:val="776"/>
    <w:link w:val="8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776"/>
    <w:next w:val="776"/>
    <w:link w:val="8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 w:default="1">
    <w:name w:val="Default Paragraph Font"/>
    <w:uiPriority w:val="1"/>
    <w:semiHidden/>
    <w:unhideWhenUsed/>
  </w:style>
  <w:style w:type="table" w:styleId="7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8" w:default="1">
    <w:name w:val="No List"/>
    <w:uiPriority w:val="99"/>
    <w:semiHidden/>
    <w:unhideWhenUsed/>
  </w:style>
  <w:style w:type="character" w:styleId="789" w:customStyle="1">
    <w:name w:val="Heading 2 Char"/>
    <w:basedOn w:val="786"/>
    <w:uiPriority w:val="9"/>
    <w:rPr>
      <w:rFonts w:ascii="Arial" w:hAnsi="Arial" w:eastAsia="Arial" w:cs="Arial"/>
      <w:sz w:val="34"/>
    </w:rPr>
  </w:style>
  <w:style w:type="character" w:styleId="790" w:customStyle="1">
    <w:name w:val="Heading 3 Char"/>
    <w:basedOn w:val="786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Heading 4 Char"/>
    <w:basedOn w:val="786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5 Char"/>
    <w:basedOn w:val="786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Heading 6 Char"/>
    <w:basedOn w:val="786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Heading 7 Char"/>
    <w:basedOn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Heading 8 Char"/>
    <w:basedOn w:val="786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86"/>
    <w:uiPriority w:val="9"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86"/>
    <w:uiPriority w:val="10"/>
    <w:rPr>
      <w:sz w:val="48"/>
      <w:szCs w:val="48"/>
    </w:rPr>
  </w:style>
  <w:style w:type="character" w:styleId="798" w:customStyle="1">
    <w:name w:val="Subtitle Char"/>
    <w:basedOn w:val="786"/>
    <w:uiPriority w:val="11"/>
    <w:rPr>
      <w:sz w:val="24"/>
      <w:szCs w:val="24"/>
    </w:rPr>
  </w:style>
  <w:style w:type="character" w:styleId="799" w:customStyle="1">
    <w:name w:val="Quote Char"/>
    <w:uiPriority w:val="29"/>
    <w:rPr>
      <w:i/>
    </w:rPr>
  </w:style>
  <w:style w:type="character" w:styleId="800" w:customStyle="1">
    <w:name w:val="Intense Quote Char"/>
    <w:uiPriority w:val="30"/>
    <w:rPr>
      <w:i/>
    </w:rPr>
  </w:style>
  <w:style w:type="character" w:styleId="801" w:customStyle="1">
    <w:name w:val="Caption Char"/>
    <w:basedOn w:val="786"/>
    <w:uiPriority w:val="35"/>
    <w:rPr>
      <w:b/>
      <w:bCs/>
      <w:color w:val="4f81bd" w:themeColor="accent1"/>
      <w:sz w:val="18"/>
      <w:szCs w:val="18"/>
    </w:rPr>
  </w:style>
  <w:style w:type="character" w:styleId="802" w:customStyle="1">
    <w:name w:val="Endnote Text Char"/>
    <w:uiPriority w:val="99"/>
    <w:rPr>
      <w:sz w:val="20"/>
    </w:rPr>
  </w:style>
  <w:style w:type="character" w:styleId="80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04" w:customStyle="1">
    <w:name w:val="Заголовок 2 Знак"/>
    <w:link w:val="778"/>
    <w:uiPriority w:val="9"/>
    <w:rPr>
      <w:rFonts w:ascii="Arial" w:hAnsi="Arial" w:eastAsia="Arial" w:cs="Arial"/>
      <w:sz w:val="34"/>
    </w:rPr>
  </w:style>
  <w:style w:type="character" w:styleId="805" w:customStyle="1">
    <w:name w:val="Заголовок 3 Знак"/>
    <w:link w:val="779"/>
    <w:uiPriority w:val="9"/>
    <w:rPr>
      <w:rFonts w:ascii="Arial" w:hAnsi="Arial" w:eastAsia="Arial" w:cs="Arial"/>
      <w:sz w:val="30"/>
      <w:szCs w:val="30"/>
    </w:rPr>
  </w:style>
  <w:style w:type="character" w:styleId="806" w:customStyle="1">
    <w:name w:val="Заголовок 4 Знак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807" w:customStyle="1">
    <w:name w:val="Заголовок 5 Знак"/>
    <w:link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Заголовок 6 Знак"/>
    <w:link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809" w:customStyle="1">
    <w:name w:val="Заголовок 7 Знак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0" w:customStyle="1">
    <w:name w:val="Заголовок 8 Знак"/>
    <w:link w:val="784"/>
    <w:uiPriority w:val="9"/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Заголовок 9 Знак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812">
    <w:name w:val="List Paragraph"/>
    <w:basedOn w:val="776"/>
    <w:uiPriority w:val="34"/>
    <w:qFormat/>
    <w:pPr>
      <w:contextualSpacing/>
      <w:ind w:left="720"/>
    </w:pPr>
    <w:rPr>
      <w:sz w:val="24"/>
      <w:szCs w:val="24"/>
    </w:rPr>
  </w:style>
  <w:style w:type="paragraph" w:styleId="813">
    <w:name w:val="No Spacing"/>
    <w:uiPriority w:val="1"/>
    <w:qFormat/>
  </w:style>
  <w:style w:type="paragraph" w:styleId="814">
    <w:name w:val="Title"/>
    <w:basedOn w:val="776"/>
    <w:next w:val="776"/>
    <w:link w:val="8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5" w:customStyle="1">
    <w:name w:val="Название Знак"/>
    <w:link w:val="814"/>
    <w:uiPriority w:val="10"/>
    <w:rPr>
      <w:sz w:val="48"/>
      <w:szCs w:val="48"/>
    </w:rPr>
  </w:style>
  <w:style w:type="paragraph" w:styleId="816">
    <w:name w:val="Subtitle"/>
    <w:basedOn w:val="776"/>
    <w:next w:val="776"/>
    <w:link w:val="817"/>
    <w:uiPriority w:val="11"/>
    <w:qFormat/>
    <w:pPr>
      <w:spacing w:before="200" w:after="200"/>
    </w:pPr>
    <w:rPr>
      <w:sz w:val="24"/>
      <w:szCs w:val="24"/>
    </w:rPr>
  </w:style>
  <w:style w:type="character" w:styleId="817" w:customStyle="1">
    <w:name w:val="Подзаголовок Знак"/>
    <w:link w:val="816"/>
    <w:uiPriority w:val="11"/>
    <w:rPr>
      <w:sz w:val="24"/>
      <w:szCs w:val="24"/>
    </w:rPr>
  </w:style>
  <w:style w:type="paragraph" w:styleId="818">
    <w:name w:val="Quote"/>
    <w:basedOn w:val="776"/>
    <w:next w:val="776"/>
    <w:link w:val="819"/>
    <w:uiPriority w:val="29"/>
    <w:qFormat/>
    <w:pPr>
      <w:ind w:left="720" w:right="720"/>
    </w:pPr>
    <w:rPr>
      <w:i/>
    </w:rPr>
  </w:style>
  <w:style w:type="character" w:styleId="819" w:customStyle="1">
    <w:name w:val="Цитата 2 Знак"/>
    <w:link w:val="818"/>
    <w:uiPriority w:val="29"/>
    <w:rPr>
      <w:i/>
    </w:rPr>
  </w:style>
  <w:style w:type="paragraph" w:styleId="820">
    <w:name w:val="Intense Quote"/>
    <w:basedOn w:val="776"/>
    <w:next w:val="776"/>
    <w:link w:val="8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1" w:customStyle="1">
    <w:name w:val="Выделенная цитата Знак"/>
    <w:link w:val="820"/>
    <w:uiPriority w:val="30"/>
    <w:rPr>
      <w:i/>
    </w:rPr>
  </w:style>
  <w:style w:type="paragraph" w:styleId="822">
    <w:name w:val="Header"/>
    <w:basedOn w:val="776"/>
    <w:link w:val="972"/>
    <w:uiPriority w:val="99"/>
    <w:pPr>
      <w:tabs>
        <w:tab w:val="center" w:pos="4153" w:leader="none"/>
        <w:tab w:val="right" w:pos="8306" w:leader="none"/>
      </w:tabs>
    </w:pPr>
  </w:style>
  <w:style w:type="character" w:styleId="823" w:customStyle="1">
    <w:name w:val="Header Char"/>
    <w:uiPriority w:val="99"/>
  </w:style>
  <w:style w:type="paragraph" w:styleId="824">
    <w:name w:val="Footer"/>
    <w:basedOn w:val="776"/>
    <w:link w:val="973"/>
    <w:uiPriority w:val="99"/>
    <w:pPr>
      <w:tabs>
        <w:tab w:val="center" w:pos="4153" w:leader="none"/>
        <w:tab w:val="right" w:pos="8306" w:leader="none"/>
      </w:tabs>
    </w:pPr>
  </w:style>
  <w:style w:type="character" w:styleId="825" w:customStyle="1">
    <w:name w:val="Footer Char"/>
    <w:uiPriority w:val="99"/>
  </w:style>
  <w:style w:type="paragraph" w:styleId="826">
    <w:name w:val="Caption"/>
    <w:basedOn w:val="776"/>
    <w:next w:val="776"/>
    <w:link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7" w:customStyle="1">
    <w:name w:val="Название объекта Знак"/>
    <w:link w:val="826"/>
    <w:uiPriority w:val="35"/>
    <w:rPr>
      <w:b/>
      <w:bCs/>
      <w:color w:val="4f81bd" w:themeColor="accent1"/>
      <w:sz w:val="18"/>
      <w:szCs w:val="18"/>
    </w:rPr>
  </w:style>
  <w:style w:type="table" w:styleId="828">
    <w:name w:val="Table Grid"/>
    <w:basedOn w:val="787"/>
    <w:uiPriority w:val="59"/>
    <w:tblPr/>
  </w:style>
  <w:style w:type="table" w:styleId="82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3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7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8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6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4">
    <w:name w:val="Hyperlink"/>
    <w:uiPriority w:val="99"/>
    <w:rPr>
      <w:rFonts w:cs="Times New Roman"/>
      <w:color w:val="0000ff"/>
      <w:u w:val="single"/>
    </w:rPr>
  </w:style>
  <w:style w:type="paragraph" w:styleId="955">
    <w:name w:val="footnote text"/>
    <w:basedOn w:val="776"/>
    <w:link w:val="974"/>
    <w:uiPriority w:val="99"/>
  </w:style>
  <w:style w:type="character" w:styleId="956" w:customStyle="1">
    <w:name w:val="Footnote Text Char"/>
    <w:uiPriority w:val="99"/>
    <w:rPr>
      <w:sz w:val="18"/>
    </w:rPr>
  </w:style>
  <w:style w:type="character" w:styleId="957">
    <w:name w:val="footnote reference"/>
    <w:uiPriority w:val="99"/>
    <w:rPr>
      <w:rFonts w:cs="Times New Roman"/>
      <w:vertAlign w:val="superscript"/>
    </w:rPr>
  </w:style>
  <w:style w:type="paragraph" w:styleId="958">
    <w:name w:val="endnote text"/>
    <w:basedOn w:val="776"/>
    <w:link w:val="959"/>
    <w:uiPriority w:val="99"/>
    <w:semiHidden/>
    <w:unhideWhenUsed/>
  </w:style>
  <w:style w:type="character" w:styleId="959" w:customStyle="1">
    <w:name w:val="Текст концевой сноски Знак"/>
    <w:link w:val="958"/>
    <w:uiPriority w:val="99"/>
    <w:rPr>
      <w:sz w:val="20"/>
    </w:rPr>
  </w:style>
  <w:style w:type="character" w:styleId="960">
    <w:name w:val="endnote reference"/>
    <w:uiPriority w:val="99"/>
    <w:semiHidden/>
    <w:unhideWhenUsed/>
    <w:rPr>
      <w:vertAlign w:val="superscript"/>
    </w:rPr>
  </w:style>
  <w:style w:type="paragraph" w:styleId="961">
    <w:name w:val="toc 1"/>
    <w:basedOn w:val="776"/>
    <w:next w:val="776"/>
    <w:uiPriority w:val="39"/>
    <w:unhideWhenUsed/>
    <w:pPr>
      <w:spacing w:after="57"/>
    </w:pPr>
  </w:style>
  <w:style w:type="paragraph" w:styleId="962">
    <w:name w:val="toc 2"/>
    <w:basedOn w:val="776"/>
    <w:next w:val="776"/>
    <w:uiPriority w:val="39"/>
    <w:unhideWhenUsed/>
    <w:pPr>
      <w:ind w:left="283"/>
      <w:spacing w:after="57"/>
    </w:pPr>
  </w:style>
  <w:style w:type="paragraph" w:styleId="963">
    <w:name w:val="toc 3"/>
    <w:basedOn w:val="776"/>
    <w:next w:val="776"/>
    <w:uiPriority w:val="39"/>
    <w:unhideWhenUsed/>
    <w:pPr>
      <w:ind w:left="567"/>
      <w:spacing w:after="57"/>
    </w:pPr>
  </w:style>
  <w:style w:type="paragraph" w:styleId="964">
    <w:name w:val="toc 4"/>
    <w:basedOn w:val="776"/>
    <w:next w:val="776"/>
    <w:uiPriority w:val="39"/>
    <w:unhideWhenUsed/>
    <w:pPr>
      <w:ind w:left="850"/>
      <w:spacing w:after="57"/>
    </w:pPr>
  </w:style>
  <w:style w:type="paragraph" w:styleId="965">
    <w:name w:val="toc 5"/>
    <w:basedOn w:val="776"/>
    <w:next w:val="776"/>
    <w:uiPriority w:val="39"/>
    <w:unhideWhenUsed/>
    <w:pPr>
      <w:ind w:left="1134"/>
      <w:spacing w:after="57"/>
    </w:pPr>
  </w:style>
  <w:style w:type="paragraph" w:styleId="966">
    <w:name w:val="toc 6"/>
    <w:basedOn w:val="776"/>
    <w:next w:val="776"/>
    <w:uiPriority w:val="39"/>
    <w:unhideWhenUsed/>
    <w:pPr>
      <w:ind w:left="1417"/>
      <w:spacing w:after="57"/>
    </w:pPr>
  </w:style>
  <w:style w:type="paragraph" w:styleId="967">
    <w:name w:val="toc 7"/>
    <w:basedOn w:val="776"/>
    <w:next w:val="776"/>
    <w:uiPriority w:val="39"/>
    <w:unhideWhenUsed/>
    <w:pPr>
      <w:ind w:left="1701"/>
      <w:spacing w:after="57"/>
    </w:pPr>
  </w:style>
  <w:style w:type="paragraph" w:styleId="968">
    <w:name w:val="toc 8"/>
    <w:basedOn w:val="776"/>
    <w:next w:val="776"/>
    <w:uiPriority w:val="39"/>
    <w:unhideWhenUsed/>
    <w:pPr>
      <w:ind w:left="1984"/>
      <w:spacing w:after="57"/>
    </w:pPr>
  </w:style>
  <w:style w:type="paragraph" w:styleId="969">
    <w:name w:val="toc 9"/>
    <w:basedOn w:val="776"/>
    <w:next w:val="776"/>
    <w:uiPriority w:val="39"/>
    <w:unhideWhenUsed/>
    <w:pPr>
      <w:ind w:left="2268"/>
      <w:spacing w:after="57"/>
    </w:pPr>
  </w:style>
  <w:style w:type="paragraph" w:styleId="970">
    <w:name w:val="TOC Heading"/>
    <w:uiPriority w:val="39"/>
    <w:unhideWhenUsed/>
  </w:style>
  <w:style w:type="paragraph" w:styleId="971">
    <w:name w:val="table of figures"/>
    <w:basedOn w:val="776"/>
    <w:next w:val="776"/>
    <w:uiPriority w:val="99"/>
    <w:unhideWhenUsed/>
  </w:style>
  <w:style w:type="character" w:styleId="972" w:customStyle="1">
    <w:name w:val="Верхний колонтитул Знак"/>
    <w:link w:val="822"/>
    <w:uiPriority w:val="99"/>
    <w:rPr>
      <w:rFonts w:ascii="Times New Roman" w:hAnsi="Times New Roman" w:cs="Times New Roman"/>
      <w:sz w:val="20"/>
      <w:szCs w:val="20"/>
    </w:rPr>
  </w:style>
  <w:style w:type="character" w:styleId="973" w:customStyle="1">
    <w:name w:val="Нижний колонтитул Знак"/>
    <w:link w:val="82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974" w:customStyle="1">
    <w:name w:val="Текст сноски Знак"/>
    <w:link w:val="95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975">
    <w:name w:val="Body Text Indent"/>
    <w:basedOn w:val="776"/>
    <w:link w:val="976"/>
    <w:uiPriority w:val="99"/>
    <w:unhideWhenUsed/>
    <w:pPr>
      <w:ind w:left="283"/>
      <w:spacing w:after="120"/>
    </w:pPr>
    <w:rPr>
      <w:sz w:val="26"/>
      <w:szCs w:val="26"/>
    </w:rPr>
  </w:style>
  <w:style w:type="character" w:styleId="976" w:customStyle="1">
    <w:name w:val="Основной текст с отступом Знак"/>
    <w:link w:val="975"/>
    <w:uiPriority w:val="99"/>
    <w:rPr>
      <w:rFonts w:ascii="Times New Roman" w:hAnsi="Times New Roman" w:eastAsia="Times New Roman"/>
      <w:sz w:val="26"/>
      <w:szCs w:val="26"/>
    </w:rPr>
  </w:style>
  <w:style w:type="character" w:styleId="977">
    <w:name w:val="Placeholder Text"/>
    <w:uiPriority w:val="99"/>
    <w:semiHidden/>
    <w:rPr>
      <w:color w:val="808080"/>
    </w:rPr>
  </w:style>
  <w:style w:type="character" w:styleId="978" w:customStyle="1">
    <w:name w:val="Заголовок 1 Знак"/>
    <w:link w:val="777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979" w:customStyle="1">
    <w:name w:val="Таблица_содержание"/>
    <w:basedOn w:val="776"/>
    <w:pPr>
      <w:spacing w:before="60" w:after="60"/>
      <w:tabs>
        <w:tab w:val="left" w:pos="554" w:leader="none"/>
      </w:tabs>
    </w:pPr>
    <w:rPr>
      <w:rFonts w:ascii="Arial" w:hAnsi="Arial" w:cs="Arial"/>
      <w:lang w:val="en-US"/>
    </w:rPr>
  </w:style>
  <w:style w:type="paragraph" w:styleId="980">
    <w:name w:val="Body Text"/>
    <w:basedOn w:val="776"/>
    <w:link w:val="981"/>
    <w:pPr>
      <w:spacing w:after="120"/>
    </w:pPr>
    <w:rPr>
      <w:sz w:val="24"/>
      <w:szCs w:val="24"/>
    </w:rPr>
  </w:style>
  <w:style w:type="character" w:styleId="981" w:customStyle="1">
    <w:name w:val="Основной текст Знак"/>
    <w:link w:val="980"/>
    <w:rPr>
      <w:rFonts w:ascii="Times New Roman" w:hAnsi="Times New Roman"/>
      <w:sz w:val="24"/>
      <w:szCs w:val="24"/>
    </w:rPr>
  </w:style>
  <w:style w:type="paragraph" w:styleId="982">
    <w:name w:val="Balloon Text"/>
    <w:basedOn w:val="776"/>
    <w:link w:val="983"/>
    <w:uiPriority w:val="99"/>
    <w:semiHidden/>
    <w:unhideWhenUsed/>
    <w:rPr>
      <w:rFonts w:ascii="Tahoma" w:hAnsi="Tahoma" w:cs="Tahoma"/>
      <w:sz w:val="16"/>
      <w:szCs w:val="16"/>
    </w:rPr>
  </w:style>
  <w:style w:type="character" w:styleId="983" w:customStyle="1">
    <w:name w:val="Текст выноски Знак"/>
    <w:link w:val="982"/>
    <w:uiPriority w:val="99"/>
    <w:semiHidden/>
    <w:rPr>
      <w:rFonts w:ascii="Tahoma" w:hAnsi="Tahoma" w:cs="Tahoma"/>
      <w:sz w:val="16"/>
      <w:szCs w:val="16"/>
    </w:rPr>
  </w:style>
  <w:style w:type="paragraph" w:styleId="984" w:customStyle="1">
    <w:name w:val="Текст ТД"/>
    <w:basedOn w:val="776"/>
    <w:link w:val="985"/>
    <w:qFormat/>
    <w:pPr>
      <w:numPr>
        <w:ilvl w:val="0"/>
        <w:numId w:val="25"/>
      </w:numPr>
      <w:jc w:val="both"/>
      <w:spacing w:after="200"/>
    </w:pPr>
    <w:rPr>
      <w:rFonts w:eastAsia="Calibri"/>
      <w:sz w:val="24"/>
      <w:szCs w:val="24"/>
      <w:lang w:eastAsia="en-US"/>
    </w:rPr>
  </w:style>
  <w:style w:type="character" w:styleId="985" w:customStyle="1">
    <w:name w:val="Текст ТД Знак"/>
    <w:link w:val="984"/>
    <w:rPr>
      <w:rFonts w:ascii="Times New Roman" w:hAnsi="Times New Roman" w:eastAsia="Calibri"/>
      <w:sz w:val="24"/>
      <w:szCs w:val="24"/>
      <w:lang w:eastAsia="en-US"/>
    </w:rPr>
  </w:style>
  <w:style w:type="paragraph" w:styleId="986" w:customStyle="1">
    <w:name w:val="ConsNormal"/>
    <w:link w:val="987"/>
    <w:pPr>
      <w:ind w:firstLine="720"/>
    </w:pPr>
    <w:rPr>
      <w:rFonts w:ascii="Arial" w:hAnsi="Arial" w:cs="Arial"/>
      <w:lang w:eastAsia="ru-RU"/>
    </w:rPr>
  </w:style>
  <w:style w:type="character" w:styleId="987" w:customStyle="1">
    <w:name w:val="ConsNormal Знак"/>
    <w:link w:val="986"/>
    <w:rPr>
      <w:rFonts w:ascii="Arial" w:hAnsi="Arial" w:cs="Arial"/>
    </w:rPr>
  </w:style>
  <w:style w:type="paragraph" w:styleId="988">
    <w:name w:val="Body Text Indent 2"/>
    <w:basedOn w:val="776"/>
    <w:link w:val="989"/>
    <w:uiPriority w:val="99"/>
    <w:semiHidden/>
    <w:unhideWhenUsed/>
    <w:pPr>
      <w:ind w:left="283"/>
      <w:spacing w:after="120" w:line="480" w:lineRule="auto"/>
    </w:pPr>
  </w:style>
  <w:style w:type="character" w:styleId="989" w:customStyle="1">
    <w:name w:val="Основной текст с отступом 2 Знак"/>
    <w:link w:val="988"/>
    <w:uiPriority w:val="99"/>
    <w:semiHidden/>
    <w:rPr>
      <w:rFonts w:ascii="Times New Roman" w:hAnsi="Times New Roman"/>
    </w:rPr>
  </w:style>
  <w:style w:type="character" w:styleId="990">
    <w:name w:val="FollowedHyperlink"/>
    <w:uiPriority w:val="99"/>
    <w:semiHidden/>
    <w:unhideWhenUsed/>
    <w:rPr>
      <w:color w:val="800080"/>
      <w:u w:val="single"/>
    </w:rPr>
  </w:style>
  <w:style w:type="paragraph" w:styleId="991" w:customStyle="1">
    <w:name w:val="xl66"/>
    <w:basedOn w:val="776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992" w:customStyle="1">
    <w:name w:val="xl67"/>
    <w:basedOn w:val="776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993" w:customStyle="1">
    <w:name w:val="xl68"/>
    <w:basedOn w:val="776"/>
    <w:pPr>
      <w:jc w:val="center"/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4" w:customStyle="1">
    <w:name w:val="xl69"/>
    <w:basedOn w:val="776"/>
    <w:pPr>
      <w:jc w:val="center"/>
      <w:spacing w:before="100" w:beforeAutospacing="1" w:after="100" w:afterAutospacing="1"/>
      <w:shd w:val="clear" w:color="000000" w:fill="fabf8f"/>
    </w:pPr>
    <w:rPr>
      <w:sz w:val="24"/>
      <w:szCs w:val="24"/>
    </w:rPr>
  </w:style>
  <w:style w:type="paragraph" w:styleId="995" w:customStyle="1">
    <w:name w:val="xl70"/>
    <w:basedOn w:val="776"/>
    <w:pPr>
      <w:jc w:val="center"/>
      <w:spacing w:before="100" w:beforeAutospacing="1" w:after="100" w:afterAutospacing="1"/>
      <w:shd w:val="clear" w:color="000000" w:fill="fde9d9"/>
    </w:pPr>
    <w:rPr>
      <w:sz w:val="24"/>
      <w:szCs w:val="24"/>
    </w:rPr>
  </w:style>
  <w:style w:type="paragraph" w:styleId="996" w:customStyle="1">
    <w:name w:val="xl71"/>
    <w:basedOn w:val="776"/>
    <w:pPr>
      <w:jc w:val="center"/>
      <w:spacing w:before="100" w:beforeAutospacing="1" w:after="100" w:afterAutospacing="1"/>
      <w:shd w:val="clear" w:color="000000" w:fill="fde9d9"/>
    </w:pPr>
    <w:rPr>
      <w:sz w:val="24"/>
      <w:szCs w:val="24"/>
    </w:rPr>
  </w:style>
  <w:style w:type="paragraph" w:styleId="997" w:customStyle="1">
    <w:name w:val="xl72"/>
    <w:basedOn w:val="7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73"/>
    <w:basedOn w:val="7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9" w:customStyle="1">
    <w:name w:val="xl74"/>
    <w:basedOn w:val="7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0" w:customStyle="1">
    <w:name w:val="xl75"/>
    <w:basedOn w:val="776"/>
    <w:pPr>
      <w:jc w:val="center"/>
      <w:spacing w:before="100" w:beforeAutospacing="1" w:after="100" w:afterAutospacing="1"/>
      <w:shd w:val="clear" w:color="000000" w:fill="fabf8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1" w:customStyle="1">
    <w:name w:val="xl76"/>
    <w:basedOn w:val="776"/>
    <w:pPr>
      <w:jc w:val="center"/>
      <w:spacing w:before="100" w:beforeAutospacing="1" w:after="100" w:afterAutospacing="1"/>
      <w:shd w:val="clear" w:color="000000" w:fill="fabf8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2" w:customStyle="1">
    <w:name w:val="xl77"/>
    <w:basedOn w:val="776"/>
    <w:pPr>
      <w:jc w:val="center"/>
      <w:spacing w:before="100" w:beforeAutospacing="1" w:after="100" w:afterAutospacing="1"/>
      <w:shd w:val="clear" w:color="000000" w:fill="fabf8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1003" w:customStyle="1">
    <w:name w:val="xl78"/>
    <w:basedOn w:val="776"/>
    <w:pPr>
      <w:jc w:val="center"/>
      <w:spacing w:before="100" w:beforeAutospacing="1" w:after="100" w:afterAutospacing="1"/>
      <w:shd w:val="clear" w:color="000000" w:fill="fde9d9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4" w:customStyle="1">
    <w:name w:val="xl79"/>
    <w:basedOn w:val="7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5" w:customStyle="1">
    <w:name w:val="xl80"/>
    <w:basedOn w:val="776"/>
    <w:pPr>
      <w:jc w:val="center"/>
      <w:spacing w:before="100" w:beforeAutospacing="1" w:after="100" w:afterAutospacing="1"/>
      <w:shd w:val="clear" w:color="000000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6" w:customStyle="1">
    <w:name w:val="xl81"/>
    <w:basedOn w:val="776"/>
    <w:pPr>
      <w:jc w:val="center"/>
      <w:spacing w:before="100" w:beforeAutospacing="1" w:after="100" w:afterAutospacing="1"/>
      <w:shd w:val="clear" w:color="000000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07" w:customStyle="1">
    <w:name w:val="xl82"/>
    <w:basedOn w:val="776"/>
    <w:pPr>
      <w:spacing w:before="100" w:beforeAutospacing="1" w:after="100" w:afterAutospacing="1"/>
      <w:shd w:val="clear" w:color="000000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8" w:customStyle="1">
    <w:name w:val="xl83"/>
    <w:basedOn w:val="776"/>
    <w:pPr>
      <w:jc w:val="center"/>
      <w:spacing w:before="100" w:beforeAutospacing="1" w:after="100" w:afterAutospacing="1"/>
      <w:shd w:val="clear" w:color="000000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9" w:customStyle="1">
    <w:name w:val="xl84"/>
    <w:basedOn w:val="776"/>
    <w:pPr>
      <w:jc w:val="center"/>
      <w:spacing w:before="100" w:beforeAutospacing="1" w:after="100" w:afterAutospacing="1"/>
      <w:shd w:val="clear" w:color="000000" w:fill="92d05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0" w:customStyle="1">
    <w:name w:val="xl85"/>
    <w:basedOn w:val="776"/>
    <w:pPr>
      <w:jc w:val="center"/>
      <w:spacing w:before="100" w:beforeAutospacing="1" w:after="100" w:afterAutospacing="1"/>
      <w:shd w:val="clear" w:color="000000" w:fill="9bbb5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1" w:customStyle="1">
    <w:name w:val="xl86"/>
    <w:basedOn w:val="776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12" w:customStyle="1">
    <w:name w:val="xl87"/>
    <w:basedOn w:val="776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color w:val="000000"/>
    </w:rPr>
  </w:style>
  <w:style w:type="paragraph" w:styleId="1013" w:customStyle="1">
    <w:name w:val="xl88"/>
    <w:basedOn w:val="776"/>
    <w:pPr>
      <w:jc w:val="center"/>
      <w:spacing w:before="100" w:beforeAutospacing="1" w:after="100" w:afterAutospacing="1"/>
      <w:shd w:val="clear" w:color="000000" w:fill="fabf8f"/>
    </w:pPr>
    <w:rPr>
      <w:color w:val="000000"/>
      <w:sz w:val="12"/>
      <w:szCs w:val="12"/>
    </w:rPr>
  </w:style>
  <w:style w:type="paragraph" w:styleId="1014" w:customStyle="1">
    <w:name w:val="xl89"/>
    <w:basedOn w:val="776"/>
    <w:pPr>
      <w:jc w:val="center"/>
      <w:spacing w:before="100" w:beforeAutospacing="1" w:after="100" w:afterAutospacing="1"/>
      <w:shd w:val="clear" w:color="000000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5" w:customStyle="1">
    <w:name w:val="xl90"/>
    <w:basedOn w:val="776"/>
    <w:pPr>
      <w:jc w:val="center"/>
      <w:spacing w:before="100" w:beforeAutospacing="1" w:after="100" w:afterAutospacing="1"/>
      <w:shd w:val="clear" w:color="000000" w:fill="fabf8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  <w:sz w:val="18"/>
      <w:szCs w:val="18"/>
    </w:rPr>
  </w:style>
  <w:style w:type="paragraph" w:styleId="1016" w:customStyle="1">
    <w:name w:val="xl91"/>
    <w:basedOn w:val="776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17" w:customStyle="1">
    <w:name w:val="xl92"/>
    <w:basedOn w:val="776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8" w:customStyle="1">
    <w:name w:val="xl93"/>
    <w:basedOn w:val="776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19" w:customStyle="1">
    <w:name w:val="xl94"/>
    <w:basedOn w:val="77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20" w:customStyle="1">
    <w:name w:val="xl95"/>
    <w:basedOn w:val="77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21" w:customStyle="1">
    <w:name w:val="xl96"/>
    <w:basedOn w:val="776"/>
    <w:pPr>
      <w:jc w:val="center"/>
      <w:spacing w:before="100" w:beforeAutospacing="1" w:after="100" w:afterAutospacing="1"/>
      <w:shd w:val="clear" w:color="000000" w:fill="fabf8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022" w:customStyle="1">
    <w:name w:val="xl97"/>
    <w:basedOn w:val="776"/>
    <w:pPr>
      <w:jc w:val="center"/>
      <w:spacing w:before="100" w:beforeAutospacing="1" w:after="100" w:afterAutospacing="1"/>
      <w:shd w:val="clear" w:color="000000" w:fill="fabf8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3" w:customStyle="1">
    <w:name w:val="xl64"/>
    <w:basedOn w:val="776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1024" w:customStyle="1">
    <w:name w:val="xl65"/>
    <w:basedOn w:val="776"/>
    <w:pPr>
      <w:jc w:val="center"/>
      <w:spacing w:before="100" w:beforeAutospacing="1" w:after="100" w:afterAutospacing="1"/>
    </w:pPr>
    <w:rPr>
      <w:sz w:val="24"/>
      <w:szCs w:val="24"/>
    </w:rPr>
  </w:style>
  <w:style w:type="table" w:styleId="1025" w:customStyle="1">
    <w:name w:val="OTR1"/>
    <w:basedOn w:val="787"/>
    <w:next w:val="828"/>
    <w:rPr>
      <w:rFonts w:ascii="Times New Roman" w:hAnsi="Times New Roman"/>
    </w:rPr>
    <w:tblPr/>
  </w:style>
  <w:style w:type="paragraph" w:styleId="1026" w:customStyle="1">
    <w:name w:val="Обычный таблица"/>
    <w:basedOn w:val="776"/>
    <w:rPr>
      <w:sz w:val="18"/>
      <w:szCs w:val="18"/>
      <w:lang w:eastAsia="zh-CN"/>
    </w:rPr>
  </w:style>
  <w:style w:type="paragraph" w:styleId="1027">
    <w:name w:val="Normal (Web)"/>
    <w:basedOn w:val="77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28" w:customStyle="1">
    <w:name w:val="Текст сноски"/>
    <w:basedOn w:val="948"/>
    <w:next w:val="957"/>
    <w:link w:val="958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29" w:customStyle="1">
    <w:name w:val="Знак сноски"/>
    <w:next w:val="959"/>
    <w:link w:val="948"/>
    <w:uiPriority w:val="99"/>
    <w:rPr>
      <w:rFonts w:cs="Times New Roman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КонсультантПлюс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52.kurochkinaam</cp:lastModifiedBy>
  <cp:revision>18</cp:revision>
  <dcterms:created xsi:type="dcterms:W3CDTF">2014-12-02T12:57:00Z</dcterms:created>
  <dcterms:modified xsi:type="dcterms:W3CDTF">2026-06-04T05:30:32Z</dcterms:modified>
  <cp:version>917504</cp:version>
</cp:coreProperties>
</file>