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2"/>
        <w:spacing w:after="0" w:before="0" w:line="240" w:lineRule="auto"/>
        <w:ind/>
        <w:jc w:val="center"/>
        <w:rPr>
          <w:rFonts w:ascii="Serif" w:hAnsi="Serif"/>
          <w:b w:val="1"/>
          <w:color w:val="000000"/>
          <w:sz w:val="24"/>
        </w:rPr>
      </w:pPr>
      <w:r>
        <w:rPr>
          <w:rFonts w:ascii="Serif" w:hAnsi="Serif"/>
          <w:b w:val="1"/>
          <w:color w:val="000000"/>
          <w:sz w:val="24"/>
        </w:rPr>
        <w:t>ГОСУДАРСТВЕННЫЙ КОНТРАКТ № ______</w:t>
      </w:r>
    </w:p>
    <w:p w14:paraId="06000000">
      <w:pPr>
        <w:pStyle w:val="Style_2"/>
        <w:spacing w:after="0" w:before="0" w:line="240" w:lineRule="auto"/>
        <w:ind/>
        <w:jc w:val="center"/>
        <w:rPr>
          <w:rFonts w:ascii="Serif" w:hAnsi="Serif"/>
          <w:b w:val="1"/>
          <w:color w:val="000000"/>
          <w:sz w:val="24"/>
        </w:rPr>
      </w:pPr>
      <w:r>
        <w:rPr>
          <w:rFonts w:ascii="Serif" w:hAnsi="Serif"/>
          <w:b w:val="1"/>
          <w:color w:val="000000"/>
          <w:sz w:val="24"/>
        </w:rPr>
        <w:t xml:space="preserve">на поставку химических реактивов </w:t>
      </w:r>
    </w:p>
    <w:p w14:paraId="07000000">
      <w:pPr>
        <w:pStyle w:val="Style_2"/>
        <w:spacing w:after="0" w:before="0" w:line="240" w:lineRule="auto"/>
        <w:ind/>
        <w:jc w:val="both"/>
        <w:rPr>
          <w:rFonts w:ascii="Serif" w:hAnsi="Serif"/>
          <w:b w:val="0"/>
          <w:color w:val="000000"/>
          <w:sz w:val="24"/>
        </w:rPr>
      </w:pPr>
    </w:p>
    <w:p w14:paraId="08000000">
      <w:pPr>
        <w:pStyle w:val="Style_2"/>
        <w:spacing w:after="0" w:before="0" w:line="240" w:lineRule="auto"/>
        <w:ind/>
        <w:jc w:val="both"/>
        <w:rPr>
          <w:rFonts w:ascii="Serif" w:hAnsi="Serif"/>
          <w:color w:val="000000"/>
          <w:sz w:val="24"/>
        </w:rPr>
      </w:pPr>
      <w:r>
        <w:rPr>
          <w:rFonts w:ascii="Serif" w:hAnsi="Serif"/>
          <w:color w:val="000000"/>
          <w:sz w:val="24"/>
        </w:rPr>
        <w:t xml:space="preserve">г. Ялуторовск                    </w:t>
      </w:r>
      <w:r>
        <w:rPr>
          <w:rFonts w:ascii="Serif" w:hAnsi="Serif"/>
          <w:color w:val="000000"/>
          <w:sz w:val="24"/>
        </w:rPr>
        <w:tab/>
      </w:r>
      <w:r>
        <w:rPr>
          <w:rFonts w:ascii="Serif" w:hAnsi="Serif"/>
          <w:color w:val="000000"/>
          <w:sz w:val="24"/>
        </w:rPr>
        <w:t xml:space="preserve">                                                                    «_____» ___________ 2026 г. </w:t>
      </w:r>
    </w:p>
    <w:p w14:paraId="09000000">
      <w:pPr>
        <w:pStyle w:val="Style_2"/>
        <w:tabs>
          <w:tab w:leader="none" w:pos="709" w:val="clear"/>
          <w:tab w:leader="none" w:pos="851" w:val="left"/>
        </w:tabs>
        <w:spacing w:after="0" w:before="0" w:line="240" w:lineRule="auto"/>
        <w:ind w:firstLine="567" w:left="0" w:right="57"/>
        <w:jc w:val="both"/>
        <w:rPr>
          <w:rFonts w:ascii="Serif" w:hAnsi="Serif"/>
          <w:b w:val="1"/>
          <w:color w:val="000000"/>
          <w:sz w:val="24"/>
        </w:rPr>
      </w:pPr>
    </w:p>
    <w:p w14:paraId="0A000000">
      <w:pPr>
        <w:pStyle w:val="Style_2"/>
        <w:tabs>
          <w:tab w:leader="none" w:pos="709" w:val="clear"/>
          <w:tab w:leader="none" w:pos="851" w:val="left"/>
        </w:tabs>
        <w:spacing w:after="0" w:before="0" w:line="240" w:lineRule="auto"/>
        <w:ind w:firstLine="567" w:left="0" w:right="57"/>
        <w:jc w:val="both"/>
        <w:rPr>
          <w:rFonts w:ascii="Serif" w:hAnsi="Serif"/>
          <w:b w:val="1"/>
          <w:color w:val="000000"/>
          <w:sz w:val="24"/>
        </w:rPr>
      </w:pPr>
      <w:r>
        <w:rPr>
          <w:rFonts w:ascii="Serif" w:hAnsi="Serif"/>
          <w:b w:val="1"/>
          <w:color w:val="000000"/>
          <w:sz w:val="24"/>
        </w:rPr>
        <w:t xml:space="preserve">Федеральное казенное учреждение «Центр хранения страхового фонда» (ЦХСФ), </w:t>
      </w:r>
      <w:r>
        <w:rPr>
          <w:rFonts w:ascii="Serif" w:hAnsi="Serif"/>
          <w:color w:val="000000"/>
          <w:sz w:val="24"/>
        </w:rPr>
        <w:t xml:space="preserve">именуемое в дальнейшем </w:t>
      </w:r>
      <w:r>
        <w:rPr>
          <w:rFonts w:ascii="Serif" w:hAnsi="Serif"/>
          <w:b w:val="1"/>
          <w:color w:val="000000"/>
          <w:sz w:val="24"/>
        </w:rPr>
        <w:t>"Заказчик"</w:t>
      </w:r>
      <w:r>
        <w:rPr>
          <w:rFonts w:ascii="Serif" w:hAnsi="Serif"/>
          <w:color w:val="000000"/>
          <w:sz w:val="24"/>
        </w:rPr>
        <w:t xml:space="preserve">, в лице директора Васильева Дмитрия Сергеевича, действующего на основании Устава,  с одной стороны, и </w:t>
      </w:r>
      <w:r>
        <w:rPr>
          <w:rFonts w:ascii="Serif" w:hAnsi="Serif"/>
          <w:b w:val="1"/>
          <w:color w:val="000000"/>
          <w:sz w:val="24"/>
        </w:rPr>
        <w:t>______________________________________,</w:t>
      </w:r>
      <w:r>
        <w:rPr>
          <w:rFonts w:ascii="Serif" w:hAnsi="Serif"/>
          <w:b w:val="1"/>
          <w:color w:val="000000"/>
          <w:sz w:val="24"/>
        </w:rPr>
        <w:t xml:space="preserve"> </w:t>
      </w:r>
      <w:r>
        <w:rPr>
          <w:rFonts w:ascii="Serif" w:hAnsi="Serif"/>
          <w:color w:val="000000"/>
          <w:sz w:val="24"/>
        </w:rPr>
        <w:t xml:space="preserve">именуемое в дальнейшем </w:t>
      </w:r>
      <w:r>
        <w:rPr>
          <w:rFonts w:ascii="Serif" w:hAnsi="Serif"/>
          <w:b w:val="1"/>
          <w:color w:val="000000"/>
          <w:sz w:val="24"/>
        </w:rPr>
        <w:t>"Поставщик"</w:t>
      </w:r>
      <w:r>
        <w:rPr>
          <w:rFonts w:ascii="Serif" w:hAnsi="Serif"/>
          <w:color w:val="000000"/>
          <w:sz w:val="24"/>
        </w:rPr>
        <w:t>, в лице _______________________________________, действующего на основании ____________</w:t>
      </w:r>
      <w:r>
        <w:rPr>
          <w:rFonts w:ascii="Serif" w:hAnsi="Serif"/>
          <w:color w:val="000000"/>
          <w:sz w:val="24"/>
        </w:rPr>
        <w:t xml:space="preserve">, с другой стороны, вместе именуемые "Стороны",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Serif" w:hAnsi="Serif"/>
          <w:color w:val="000000"/>
          <w:sz w:val="24"/>
        </w:rPr>
        <w:t>ИКЗ </w:t>
      </w:r>
      <w:r>
        <w:rPr>
          <w:rFonts w:ascii="Serif" w:hAnsi="Serif"/>
          <w:b w:val="0"/>
          <w:i w:val="0"/>
          <w:strike w:val="0"/>
          <w:color w:val="000000"/>
          <w:sz w:val="24"/>
          <w:u w:val="none"/>
        </w:rPr>
        <w:t>261720700028972070100100130000000000</w:t>
      </w:r>
      <w:r>
        <w:rPr>
          <w:rFonts w:ascii="Serif" w:hAnsi="Serif"/>
          <w:color w:val="000000"/>
          <w:sz w:val="24"/>
        </w:rPr>
        <w:t xml:space="preserve"> заключили настоящий государственный контракт  (далее – Контракт) о нижеследующем:</w:t>
      </w:r>
    </w:p>
    <w:p w14:paraId="0B000000">
      <w:pPr>
        <w:pStyle w:val="Style_2"/>
        <w:tabs>
          <w:tab w:leader="none" w:pos="709" w:val="clear"/>
          <w:tab w:leader="none" w:pos="851" w:val="left"/>
        </w:tabs>
        <w:spacing w:after="0" w:before="0" w:line="240" w:lineRule="auto"/>
        <w:ind w:firstLine="0" w:left="0" w:right="57"/>
        <w:jc w:val="center"/>
        <w:rPr>
          <w:rFonts w:ascii="Serif" w:hAnsi="Serif"/>
          <w:b w:val="1"/>
          <w:color w:val="000000"/>
          <w:sz w:val="24"/>
        </w:rPr>
      </w:pPr>
      <w:r>
        <w:rPr>
          <w:rFonts w:ascii="Serif" w:hAnsi="Serif"/>
          <w:b w:val="1"/>
          <w:color w:val="000000"/>
          <w:sz w:val="24"/>
        </w:rPr>
        <w:t>1. ПРЕДМЕТ КОНТРАКТА</w:t>
      </w:r>
    </w:p>
    <w:p w14:paraId="0C000000">
      <w:pPr>
        <w:pStyle w:val="Style_2"/>
        <w:widowControl w:val="0"/>
        <w:tabs>
          <w:tab w:leader="none" w:pos="709" w:val="left"/>
        </w:tabs>
        <w:spacing w:after="0" w:before="0" w:line="240" w:lineRule="auto"/>
        <w:ind w:firstLine="567" w:left="0" w:right="0"/>
        <w:jc w:val="both"/>
        <w:rPr>
          <w:rFonts w:ascii="Serif" w:hAnsi="Serif"/>
          <w:color w:val="000000"/>
          <w:sz w:val="24"/>
        </w:rPr>
      </w:pPr>
      <w:r>
        <w:rPr>
          <w:rFonts w:ascii="Serif" w:hAnsi="Serif"/>
          <w:color w:val="000000"/>
          <w:sz w:val="24"/>
        </w:rPr>
        <w:t xml:space="preserve">1.1. </w:t>
      </w:r>
      <w:r>
        <w:rPr>
          <w:rFonts w:ascii="Serif" w:hAnsi="Serif"/>
          <w:color w:val="000000"/>
          <w:sz w:val="24"/>
        </w:rPr>
        <w:t>Поставщик обязуется осуществить поставку расходных материалов для проведения работ по консервационно-профилактической обработке страхового фонда копий уникальных и особо ценных документов, хранящихся в федеральных архивах, в лаборатории федерального казенного учреждения «Центр хранения страхового фонда» (ЦХСФ)(Диоксан 1.4(чда), Ацетон(чда) и Формалин технический)</w:t>
      </w:r>
      <w:r>
        <w:rPr>
          <w:rFonts w:ascii="Serif" w:hAnsi="Serif"/>
          <w:color w:val="000000"/>
          <w:sz w:val="24"/>
        </w:rPr>
        <w:t xml:space="preserve"> </w:t>
      </w:r>
      <w:r>
        <w:rPr>
          <w:rFonts w:ascii="Serif" w:hAnsi="Serif"/>
          <w:color w:val="000000"/>
          <w:sz w:val="24"/>
        </w:rPr>
        <w:t xml:space="preserve">(далее – Товар) в количестве, ассортименте, комплектности и с характеристиками согласно </w:t>
      </w:r>
      <w:r>
        <w:rPr>
          <w:rFonts w:ascii="Serif" w:hAnsi="Serif"/>
          <w:color w:val="000000"/>
          <w:sz w:val="24"/>
        </w:rPr>
        <w:t>Техническому заданию</w:t>
      </w:r>
      <w:r>
        <w:rPr>
          <w:rFonts w:ascii="Serif" w:hAnsi="Serif"/>
          <w:color w:val="000000"/>
          <w:sz w:val="24"/>
        </w:rPr>
        <w:t xml:space="preserve"> </w:t>
      </w:r>
      <w:r>
        <w:rPr>
          <w:rFonts w:ascii="Serif" w:hAnsi="Serif"/>
          <w:color w:val="000000"/>
          <w:sz w:val="24"/>
        </w:rPr>
        <w:t>(Приложение №</w:t>
      </w:r>
      <w:r>
        <w:rPr>
          <w:rFonts w:ascii="Serif" w:hAnsi="Serif"/>
          <w:color w:val="000000"/>
          <w:sz w:val="24"/>
        </w:rPr>
        <w:t xml:space="preserve"> 1) и Спецификации (Приложение №2), явля</w:t>
      </w:r>
      <w:r>
        <w:rPr>
          <w:rFonts w:ascii="Serif" w:hAnsi="Serif"/>
          <w:color w:val="000000"/>
          <w:sz w:val="24"/>
        </w:rPr>
        <w:t>ющимся  неотъемлемой частью настоящего Контракта, а Заказчик обязуется принять и оплатить поставленный Товар в порядке и на условиях, предусмотренных настоящим Контрактом.</w:t>
      </w:r>
    </w:p>
    <w:p w14:paraId="0D000000">
      <w:pPr>
        <w:pStyle w:val="Style_2"/>
        <w:widowControl w:val="0"/>
        <w:tabs>
          <w:tab w:leader="none" w:pos="709" w:val="left"/>
        </w:tabs>
        <w:spacing w:after="0" w:before="0" w:line="240" w:lineRule="auto"/>
        <w:ind w:firstLine="567" w:left="0" w:right="0"/>
        <w:jc w:val="both"/>
        <w:rPr>
          <w:rFonts w:ascii="Serif" w:hAnsi="Serif"/>
          <w:color w:val="000000"/>
          <w:sz w:val="24"/>
        </w:rPr>
      </w:pPr>
      <w:r>
        <w:rPr>
          <w:rFonts w:ascii="Serif" w:hAnsi="Serif"/>
          <w:color w:val="000000"/>
          <w:sz w:val="24"/>
        </w:rPr>
        <w:t>1.2. Место поставки Товара: 627014, Тюменская область, г. Ялуторовск, ул. Ишимская, д.138, в рабочее время Заказчик</w:t>
      </w:r>
      <w:r>
        <w:rPr>
          <w:rFonts w:ascii="Serif" w:hAnsi="Serif"/>
          <w:color w:val="000000"/>
          <w:sz w:val="24"/>
        </w:rPr>
        <w:t>а.</w:t>
      </w:r>
    </w:p>
    <w:p w14:paraId="0E000000">
      <w:pPr>
        <w:pStyle w:val="Style_2"/>
        <w:widowControl w:val="0"/>
        <w:tabs>
          <w:tab w:leader="none" w:pos="709" w:val="left"/>
        </w:tabs>
        <w:spacing w:after="0" w:before="0" w:line="240" w:lineRule="auto"/>
        <w:ind w:firstLine="567" w:left="0" w:right="0"/>
        <w:jc w:val="both"/>
        <w:rPr>
          <w:rFonts w:ascii="Serif" w:hAnsi="Serif"/>
          <w:color w:val="000000"/>
          <w:sz w:val="24"/>
        </w:rPr>
      </w:pPr>
      <w:r>
        <w:rPr>
          <w:rFonts w:ascii="Serif" w:hAnsi="Serif"/>
          <w:color w:val="000000"/>
          <w:sz w:val="24"/>
        </w:rPr>
        <w:t>1.3. Срок поставки Товара  с даты заключения Контракта</w:t>
      </w:r>
      <w:r>
        <w:rPr>
          <w:rFonts w:ascii="Serif" w:hAnsi="Serif"/>
          <w:b w:val="1"/>
          <w:color w:val="000000"/>
          <w:sz w:val="24"/>
        </w:rPr>
        <w:t xml:space="preserve"> по 11 мая 2026 года.</w:t>
      </w:r>
    </w:p>
    <w:p w14:paraId="0F000000">
      <w:pPr>
        <w:pStyle w:val="Style_2"/>
        <w:widowControl w:val="0"/>
        <w:spacing w:after="0" w:before="0" w:line="240" w:lineRule="auto"/>
        <w:ind w:firstLine="720" w:left="0" w:right="0"/>
        <w:rPr>
          <w:rFonts w:ascii="Serif" w:hAnsi="Serif"/>
          <w:color w:val="000000"/>
          <w:sz w:val="24"/>
        </w:rPr>
      </w:pPr>
    </w:p>
    <w:p w14:paraId="10000000">
      <w:pPr>
        <w:pStyle w:val="Style_2"/>
        <w:spacing w:after="0" w:before="0" w:line="240" w:lineRule="auto"/>
        <w:ind w:firstLine="0" w:left="0" w:right="57"/>
        <w:rPr>
          <w:rFonts w:ascii="Serif" w:hAnsi="Serif"/>
          <w:b w:val="1"/>
          <w:color w:val="000000"/>
          <w:sz w:val="24"/>
        </w:rPr>
      </w:pPr>
      <w:r>
        <w:rPr>
          <w:rFonts w:ascii="Serif" w:hAnsi="Serif"/>
          <w:b w:val="1"/>
          <w:color w:val="000000"/>
          <w:sz w:val="24"/>
        </w:rPr>
        <w:t xml:space="preserve">                                                 </w:t>
      </w:r>
      <w:r>
        <w:rPr>
          <w:rFonts w:ascii="Serif" w:hAnsi="Serif"/>
          <w:b w:val="1"/>
          <w:color w:val="000000"/>
          <w:sz w:val="24"/>
        </w:rPr>
        <w:t>2. ЦЕНА КОНТРАКТА И ПОРЯДОК РАСЧЕТОВ</w:t>
      </w:r>
    </w:p>
    <w:p w14:paraId="11000000">
      <w:pPr>
        <w:pStyle w:val="Style_2"/>
        <w:tabs>
          <w:tab w:leader="none" w:pos="0" w:val="left"/>
          <w:tab w:leader="none" w:pos="709" w:val="clear"/>
        </w:tabs>
        <w:spacing w:after="0" w:before="0" w:line="240" w:lineRule="auto"/>
        <w:ind w:firstLine="567" w:left="0" w:right="57"/>
        <w:jc w:val="both"/>
        <w:rPr>
          <w:rFonts w:ascii="Serif" w:hAnsi="Serif"/>
          <w:color w:val="000000"/>
          <w:sz w:val="24"/>
        </w:rPr>
      </w:pPr>
      <w:r>
        <w:rPr>
          <w:rFonts w:ascii="Serif" w:hAnsi="Serif"/>
          <w:color w:val="000000"/>
          <w:sz w:val="24"/>
        </w:rPr>
        <w:t xml:space="preserve">2.1. Цена настоящего Контракта согласно итогового протокола закупочной сессии официального сайта ЕАТ №_________________________ от «___» ________ 2026 г., составляет _________ (____________) рублей ____ копеек, в том числе НДС/НДС не облагается. </w:t>
      </w:r>
    </w:p>
    <w:p w14:paraId="12000000">
      <w:pPr>
        <w:pStyle w:val="Style_2"/>
        <w:tabs>
          <w:tab w:leader="none" w:pos="0" w:val="left"/>
          <w:tab w:leader="none" w:pos="709" w:val="clear"/>
        </w:tabs>
        <w:spacing w:after="0" w:before="0" w:line="240" w:lineRule="auto"/>
        <w:ind w:firstLine="567" w:left="0" w:right="57"/>
        <w:jc w:val="both"/>
        <w:rPr>
          <w:rFonts w:ascii="Serif" w:hAnsi="Serif"/>
          <w:color w:val="000000"/>
          <w:sz w:val="24"/>
        </w:rPr>
      </w:pPr>
      <w:r>
        <w:rPr>
          <w:rFonts w:ascii="Serif" w:hAnsi="Serif"/>
          <w:color w:val="000000"/>
          <w:sz w:val="24"/>
        </w:rPr>
        <w:t>Авансирование по настоящему Контракту не предусматривается.</w:t>
      </w:r>
    </w:p>
    <w:p w14:paraId="13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Цена настоящего Контракта является твердой и определяется на весь срок действия настоящего Контракта,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Serif" w:hAnsi="Serif"/>
          <w:b w:val="0"/>
          <w:color w:val="000000"/>
          <w:spacing w:val="-5"/>
          <w:sz w:val="24"/>
        </w:rPr>
        <w:tab/>
      </w:r>
    </w:p>
    <w:p w14:paraId="14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 xml:space="preserve">2.2. Цена Контракта включает в себя: стоимость Товара, затаривания и/или упаковки Товара, стоимость доставки Товара до места поставки, все затраты Поставщика, напрямую и косвенно связанные с поставкой Товара, расходы по уплате предусмотренных законодательством налогов, сборов и других обязательных платежей, установленных действующим законодательством Российской Федерации и иные расходы Поставщика, в том числе сопутствующие, связанные с исполнением настоящего Контракта. </w:t>
      </w:r>
    </w:p>
    <w:p w14:paraId="15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6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 xml:space="preserve">2.3. </w:t>
      </w:r>
      <w:r>
        <w:rPr>
          <w:rFonts w:ascii="Serif" w:hAnsi="Serif"/>
          <w:b w:val="1"/>
          <w:color w:val="000000"/>
          <w:spacing w:val="-5"/>
          <w:sz w:val="24"/>
        </w:rPr>
        <w:t>Источник финансирования: средства федерального бюджета Российской Федерации, выделенные на 2026 год.</w:t>
      </w:r>
    </w:p>
    <w:p w14:paraId="17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 xml:space="preserve">2.4. Оплата производится Заказчиком по факту поставки Товара. Государственный заказчик производит оплату путем перечесления денежных средств на расчетный счет Поставщика в  течение 7 (семи) рабочих дней со дня, следующего за днем подписания Государственным заказчиком документа о приемке товара. </w:t>
      </w:r>
    </w:p>
    <w:p w14:paraId="18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2.5.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9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2.6.  В случае, уменьшения ранее доведенных до Заказчика как получателя бюджетных средств лимитов бюджетных обязательств в соответствии с пунктом 6 статьи 161 Бюджетного кодекса Российской Федерации,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A000000">
      <w:pPr>
        <w:pStyle w:val="Style_2"/>
        <w:tabs>
          <w:tab w:leader="none" w:pos="0" w:val="left"/>
          <w:tab w:leader="none" w:pos="709" w:val="clear"/>
        </w:tabs>
        <w:spacing w:after="0" w:before="0" w:line="240" w:lineRule="auto"/>
        <w:ind w:firstLine="567" w:left="0" w:right="57"/>
        <w:jc w:val="both"/>
        <w:rPr>
          <w:rFonts w:ascii="Serif" w:hAnsi="Serif"/>
          <w:color w:val="000000"/>
          <w:sz w:val="24"/>
        </w:rPr>
      </w:pPr>
      <w:r>
        <w:rPr>
          <w:rFonts w:ascii="Serif" w:hAnsi="Serif"/>
          <w:b w:val="0"/>
          <w:color w:val="000000"/>
          <w:spacing w:val="-5"/>
          <w:sz w:val="24"/>
        </w:rPr>
        <w:t>2.7. В случае изменения расчетного счета (или иных реквизитов, необходимых для оплаты) Поставщика,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Поставщика, несет Поставщик.</w:t>
      </w:r>
    </w:p>
    <w:p w14:paraId="1B000000">
      <w:pPr>
        <w:pStyle w:val="Style_2"/>
        <w:tabs>
          <w:tab w:leader="none" w:pos="0" w:val="left"/>
          <w:tab w:leader="none" w:pos="709" w:val="left"/>
        </w:tabs>
        <w:spacing w:after="0" w:before="0" w:line="240" w:lineRule="auto"/>
        <w:ind w:firstLine="851" w:left="0" w:right="57"/>
        <w:jc w:val="center"/>
        <w:rPr>
          <w:rFonts w:ascii="Serif" w:hAnsi="Serif"/>
          <w:b w:val="1"/>
          <w:color w:val="000000"/>
          <w:sz w:val="24"/>
        </w:rPr>
      </w:pPr>
    </w:p>
    <w:p w14:paraId="1C000000">
      <w:pPr>
        <w:pStyle w:val="Style_2"/>
        <w:tabs>
          <w:tab w:leader="none" w:pos="0" w:val="left"/>
          <w:tab w:leader="none" w:pos="709" w:val="left"/>
        </w:tabs>
        <w:spacing w:after="0" w:before="0" w:line="240" w:lineRule="auto"/>
        <w:ind w:firstLine="851" w:left="0" w:right="57"/>
        <w:jc w:val="center"/>
        <w:rPr>
          <w:rFonts w:ascii="Serif" w:hAnsi="Serif"/>
          <w:b w:val="1"/>
          <w:color w:val="000000"/>
          <w:sz w:val="24"/>
        </w:rPr>
      </w:pPr>
      <w:r>
        <w:rPr>
          <w:rFonts w:ascii="Serif" w:hAnsi="Serif"/>
          <w:b w:val="1"/>
          <w:color w:val="000000"/>
          <w:sz w:val="24"/>
        </w:rPr>
        <w:t>3. УСЛОВИЯ И СРОКИ ПОСТАВКИ ТОВАРА</w:t>
      </w:r>
    </w:p>
    <w:p w14:paraId="1D000000">
      <w:pPr>
        <w:pStyle w:val="Style_2"/>
        <w:spacing w:after="0" w:before="0" w:line="240" w:lineRule="auto"/>
        <w:ind w:firstLine="567" w:left="0" w:right="57"/>
        <w:jc w:val="both"/>
        <w:rPr>
          <w:rFonts w:ascii="Serif" w:hAnsi="Serif"/>
          <w:b w:val="1"/>
          <w:color w:val="000000"/>
          <w:sz w:val="24"/>
        </w:rPr>
      </w:pPr>
      <w:r>
        <w:rPr>
          <w:rFonts w:ascii="Serif" w:hAnsi="Serif"/>
          <w:color w:val="000000"/>
          <w:sz w:val="24"/>
        </w:rPr>
        <w:t xml:space="preserve">3.1. </w:t>
      </w:r>
      <w:r>
        <w:rPr>
          <w:rFonts w:ascii="Serif" w:hAnsi="Serif"/>
          <w:b w:val="0"/>
          <w:color w:val="000000"/>
          <w:sz w:val="24"/>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настоящего Контракта.</w:t>
      </w:r>
    </w:p>
    <w:p w14:paraId="1E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 xml:space="preserve">3.2. Поставка товара осуществляется с даты заключения Контракта </w:t>
      </w:r>
      <w:r>
        <w:rPr>
          <w:rFonts w:ascii="Serif" w:hAnsi="Serif"/>
          <w:b w:val="1"/>
          <w:color w:val="000000"/>
          <w:sz w:val="24"/>
        </w:rPr>
        <w:t>по 11 мая 2026 года.</w:t>
      </w:r>
    </w:p>
    <w:p w14:paraId="1F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 xml:space="preserve">Поставка Товара осуществляется силами и средствами Поставщика в соответствии с правилами перевозки, установленными законодательством, соответствующими нормами и правилами для поставки данных видов товара. </w:t>
      </w:r>
    </w:p>
    <w:p w14:paraId="20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Товар поставляется согласно Техническому заданию (Приложение №1 к Контракту), нормативным и/или техническим характеристикам Товара, требованиям к качественным и прочи</w:t>
      </w:r>
      <w:r>
        <w:rPr>
          <w:rFonts w:ascii="Serif" w:hAnsi="Serif"/>
          <w:b w:val="0"/>
          <w:color w:val="000000"/>
          <w:sz w:val="24"/>
        </w:rPr>
        <w:t xml:space="preserve">м характеристикам Товара, требованиям к упаковке, отгрузке Товара. </w:t>
      </w:r>
    </w:p>
    <w:p w14:paraId="21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3.3. Поставляемый Товар должен быть новым (не бывшим в эксплуатации, не прошедшим ремонт,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w:t>
      </w:r>
    </w:p>
    <w:p w14:paraId="22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3.4. Товар должен иметь документы, подтверждающие соответствие качества поставляемого Товара установленным стандартам (технический паспорт/сертификат качества и пр.). Подтверждающие документы предоставляются Поставщиком Заказчику одновременно с передачей Товара.</w:t>
      </w:r>
    </w:p>
    <w:p w14:paraId="23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Документы должны быть составлены на русском языке, иметь четкие обозначения изготовителя, номера партии и даты изготовления.</w:t>
      </w:r>
    </w:p>
    <w:p w14:paraId="24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3.5. Товар должен отгружаться в стандартной таре и/или упаковке с учетом необходимых маркировок, в соответствии с санитарными и гигиеническими нормами, требованиями стандартов и технических условий, а также действующего законодательства Российской Федерации.</w:t>
      </w:r>
    </w:p>
    <w:p w14:paraId="25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 xml:space="preserve">Товар должен отгружаться в таре и/или упаковке, соответствующей характеру поставляемого Товара и способу транспортировки. Тара и/или упаковка должны обеспечивать сохранность Товара при условии надлежащего и бережного обращения согласно имеющейся предупредительной маркировке и при соблюдении правил складирования, погрузки/разгрузки и транспортировки, предохранять Товар от всякого рода повреждений, утраты товарного вида с учетом возможных перегрузок в пути и длительного хранения. </w:t>
      </w:r>
    </w:p>
    <w:p w14:paraId="26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3.6. Одновременно с поставленным товаром Поставщик должен передать Заказчику сопроводительные документы, относящиеся к поставленному Товару: товарную/товарно транспортную накладную  (или УПД), счет/счет – фактуру и другие документы в соответствии с условиями настоящего Контракта.</w:t>
      </w:r>
    </w:p>
    <w:p w14:paraId="27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В случае отсутствия вышеназванных документов Заказчик вправе отказаться от приемки Товара. Товар будет считаться не поставленным.</w:t>
      </w:r>
    </w:p>
    <w:p w14:paraId="28000000">
      <w:pPr>
        <w:pStyle w:val="Style_2"/>
        <w:widowControl w:val="0"/>
        <w:spacing w:after="0" w:before="0" w:line="240" w:lineRule="auto"/>
        <w:ind/>
        <w:jc w:val="center"/>
        <w:rPr>
          <w:rFonts w:ascii="Serif" w:hAnsi="Serif"/>
          <w:b w:val="1"/>
          <w:color w:val="000000"/>
          <w:sz w:val="24"/>
        </w:rPr>
      </w:pPr>
    </w:p>
    <w:p w14:paraId="29000000">
      <w:pPr>
        <w:pStyle w:val="Style_2"/>
        <w:widowControl w:val="0"/>
        <w:spacing w:after="0" w:before="0" w:line="240" w:lineRule="auto"/>
        <w:ind/>
        <w:jc w:val="center"/>
        <w:rPr>
          <w:rFonts w:ascii="Serif" w:hAnsi="Serif"/>
          <w:b w:val="1"/>
          <w:color w:val="000000"/>
          <w:sz w:val="24"/>
        </w:rPr>
      </w:pPr>
      <w:r>
        <w:rPr>
          <w:rFonts w:ascii="Serif" w:hAnsi="Serif"/>
          <w:b w:val="1"/>
          <w:color w:val="000000"/>
          <w:sz w:val="24"/>
        </w:rPr>
        <w:t>4. ПОРЯДОК СДАЧИ И ПРИЕМКИ ПОСТАВЛЕННОГО ТОВАРА</w:t>
      </w:r>
    </w:p>
    <w:p w14:paraId="2A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4.1. Приемка Товара осуществляется в течении 7 (семи) рабочих дней. Уполномоченный соответствующей доверенностью Представитель Поставщика вправе присутствовать при проведении приемки Товара Заказчиком. </w:t>
      </w:r>
    </w:p>
    <w:p w14:paraId="2B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4.2. Поставщик не позднее, чем за 2 (два) рабочих дня до даты поставки Товара должен уведомить Заказчика о планируемой дате поставки. </w:t>
      </w:r>
    </w:p>
    <w:p w14:paraId="2C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4.3. Приемка Товара осуществляется Заказчиком путем передачи Поставщиком Товара и документов, указанных в </w:t>
      </w:r>
      <w:r>
        <w:rPr>
          <w:rFonts w:ascii="Serif" w:hAnsi="Serif"/>
          <w:color w:val="000000"/>
          <w:sz w:val="24"/>
        </w:rPr>
        <w:t xml:space="preserve">пункте 3.6. </w:t>
      </w:r>
    </w:p>
    <w:p w14:paraId="2D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14:paraId="2E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4.5. Если при проведении экспертизы были обнаружены недостатки (по количеству, качеству и иных недостатков) и несоответствия условиям Контракта, Поставщик обязан возместить Заказчику понесенные расходы на оплату услуг эксперта, экспертной организации, а также всех расходов. </w:t>
      </w:r>
    </w:p>
    <w:p w14:paraId="2F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4.6. В случае если по итогам проведения экспертизы Заказчиком поставленного Товара, будет принято решение, что Товар поставлен в полном соответствии с </w:t>
      </w:r>
      <w:r>
        <w:rPr>
          <w:rFonts w:ascii="Serif" w:hAnsi="Serif"/>
          <w:color w:val="000000"/>
          <w:sz w:val="24"/>
        </w:rPr>
        <w:t>Техническим заданием (Приложение № 1 к Контракту)</w:t>
      </w:r>
      <w:r>
        <w:rPr>
          <w:rFonts w:ascii="Serif" w:hAnsi="Serif"/>
          <w:color w:val="000000"/>
          <w:sz w:val="24"/>
        </w:rPr>
        <w:t xml:space="preserve">, то Заказчиком подписываются документы, указанные в </w:t>
      </w:r>
      <w:r>
        <w:rPr>
          <w:rFonts w:ascii="Serif" w:hAnsi="Serif"/>
          <w:color w:val="000000"/>
          <w:sz w:val="24"/>
        </w:rPr>
        <w:t>п. 3.6.</w:t>
      </w:r>
      <w:r>
        <w:rPr>
          <w:rFonts w:ascii="Serif" w:hAnsi="Serif"/>
          <w:color w:val="000000"/>
          <w:sz w:val="24"/>
        </w:rPr>
        <w:t xml:space="preserve"> Контракта.</w:t>
      </w:r>
    </w:p>
    <w:p w14:paraId="30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4.7. В случае обнаружения недостатков (по количеству, качеству и иных недостатков) Заказчик направляет Поставщику в течение 5 (пяти) календарных дней с даты обнаружения указанных недостатков мотивированный отказ от приемки Товара. </w:t>
      </w:r>
    </w:p>
    <w:p w14:paraId="31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4.8. Поставщик в течении 5 (пяти) календарных дней,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14:paraId="32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4.9. Расходы, связанные с возвратом или заменой Товара ненадлежащего качества, осуществляются за счет средств Поставщика.</w:t>
      </w:r>
    </w:p>
    <w:p w14:paraId="33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4.10. Товар, не соответствующий по качеству условиям настоящего Контракта, считается не поставленным.</w:t>
      </w:r>
    </w:p>
    <w:p w14:paraId="34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4.11. После устранения выявленных недостатков (нарушений настоящего Контракта, Технического задания), зафиксированных в письменном мотивированном отказе Заказчика от приемки Товара, Поставщик передает Заказчику документы, указанные в </w:t>
      </w:r>
      <w:r>
        <w:rPr>
          <w:rFonts w:ascii="Serif" w:hAnsi="Serif"/>
          <w:color w:val="000000"/>
          <w:sz w:val="24"/>
        </w:rPr>
        <w:t>пункте 3.6.</w:t>
      </w:r>
      <w:r>
        <w:rPr>
          <w:rFonts w:ascii="Serif" w:hAnsi="Serif"/>
          <w:color w:val="000000"/>
          <w:sz w:val="24"/>
        </w:rPr>
        <w:t>, (с учетом устраненных недостатков). Порядок приемки Заказчиком Товара в данном случае аналогичен порядку, изложенному в настоящем разделе Контракта.</w:t>
      </w:r>
    </w:p>
    <w:p w14:paraId="35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4.12. По окончании приемки поставленного Товара Заказчик формирует и подписывает Акт приемки товаров, работ, услуг (ф. 0510452) по унифицированной форме, установленной Приказом Минфина России от 15.06.2021 № 61н (далее – Акт приемки).</w:t>
      </w:r>
    </w:p>
    <w:p w14:paraId="36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4.13. Акт приемки формируется на основании документов, предоставленных Поставщиком и подтверждающих поставку Товара. Участие представителя Поставщика при оформлении Заказчиком Акта приемки не предусматривается.</w:t>
      </w:r>
    </w:p>
    <w:p w14:paraId="37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4.14. </w:t>
      </w:r>
      <w:r>
        <w:rPr>
          <w:rFonts w:ascii="Serif" w:hAnsi="Serif"/>
          <w:color w:val="000000"/>
          <w:sz w:val="24"/>
        </w:rPr>
        <w:t>Доставка Товара, проход персонала Поставщика на территорию, осуществляется на охраняемом объекте, в соответствии с требованиями пропускного и внутриобъектового режимов.</w:t>
      </w:r>
    </w:p>
    <w:p w14:paraId="38000000">
      <w:pPr>
        <w:pStyle w:val="Style_2"/>
        <w:spacing w:after="0" w:before="0" w:line="240" w:lineRule="auto"/>
        <w:ind w:firstLine="510" w:left="57" w:right="57"/>
        <w:jc w:val="center"/>
        <w:rPr>
          <w:rFonts w:ascii="Serif" w:hAnsi="Serif"/>
          <w:b w:val="1"/>
          <w:color w:val="000000"/>
          <w:sz w:val="24"/>
        </w:rPr>
      </w:pPr>
    </w:p>
    <w:p w14:paraId="39000000">
      <w:pPr>
        <w:pStyle w:val="Style_2"/>
        <w:spacing w:after="0" w:before="0" w:line="240" w:lineRule="auto"/>
        <w:ind w:firstLine="510" w:left="57" w:right="57"/>
        <w:jc w:val="center"/>
        <w:rPr>
          <w:rFonts w:ascii="Serif" w:hAnsi="Serif"/>
          <w:b w:val="1"/>
          <w:color w:val="000000"/>
          <w:sz w:val="24"/>
        </w:rPr>
      </w:pPr>
      <w:r>
        <w:rPr>
          <w:rFonts w:ascii="Serif" w:hAnsi="Serif"/>
          <w:b w:val="1"/>
          <w:color w:val="000000"/>
          <w:sz w:val="24"/>
        </w:rPr>
        <w:t>5. ПРАВА И ОБЯЗАННОСТИ СТОРОН</w:t>
      </w:r>
    </w:p>
    <w:p w14:paraId="3A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5.1. </w:t>
      </w:r>
      <w:r>
        <w:rPr>
          <w:rFonts w:ascii="Serif" w:hAnsi="Serif"/>
          <w:b w:val="1"/>
          <w:color w:val="000000"/>
          <w:sz w:val="24"/>
        </w:rPr>
        <w:t>Заказчик вправе:</w:t>
      </w:r>
    </w:p>
    <w:p w14:paraId="3B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5.1.1. Требовать от Поставщика надлежащего исполнения обязательств в соответствии с Контрактом.</w:t>
      </w:r>
    </w:p>
    <w:p w14:paraId="3C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5.1.2. Запрашивать у Поставщика информацию о ходе исполнения обязательств по Контракту.</w:t>
      </w:r>
    </w:p>
    <w:p w14:paraId="3D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5.2. </w:t>
      </w:r>
      <w:r>
        <w:rPr>
          <w:rFonts w:ascii="Serif" w:hAnsi="Serif"/>
          <w:b w:val="1"/>
          <w:color w:val="000000"/>
          <w:sz w:val="24"/>
        </w:rPr>
        <w:t>Заказчик обязан:</w:t>
      </w:r>
    </w:p>
    <w:p w14:paraId="3E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5.2.1.  Своевременно принять и оплатить поставленный Товар в соответствии с Контрактом.</w:t>
      </w:r>
    </w:p>
    <w:p w14:paraId="3F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5.2.2. Исполнять иные обязанности, предусмотренные законодательством Российской Федерации и условиями Контракта.</w:t>
      </w:r>
    </w:p>
    <w:p w14:paraId="40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5.3. </w:t>
      </w:r>
      <w:r>
        <w:rPr>
          <w:rFonts w:ascii="Serif" w:hAnsi="Serif"/>
          <w:b w:val="1"/>
          <w:color w:val="000000"/>
          <w:sz w:val="24"/>
        </w:rPr>
        <w:t>Поставщик вправе:</w:t>
      </w:r>
    </w:p>
    <w:p w14:paraId="41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5.3.1. В случае соответствия поставленного Товара Техническому з</w:t>
      </w:r>
      <w:r>
        <w:rPr>
          <w:rFonts w:ascii="Serif" w:hAnsi="Serif"/>
          <w:color w:val="000000"/>
          <w:sz w:val="24"/>
        </w:rPr>
        <w:t>аданию</w:t>
      </w:r>
      <w:r>
        <w:rPr>
          <w:rFonts w:ascii="Serif" w:hAnsi="Serif"/>
          <w:color w:val="000000"/>
          <w:sz w:val="24"/>
        </w:rPr>
        <w:t xml:space="preserve"> (Приложение №1 к Контракту</w:t>
      </w:r>
      <w:r>
        <w:rPr>
          <w:rFonts w:ascii="Serif" w:hAnsi="Serif"/>
          <w:color w:val="000000"/>
          <w:sz w:val="24"/>
        </w:rPr>
        <w:t>) по ассортименту, количеству и качеству, требовать от Заказчика подписания Заказчиком документов, указанных в пункте 3.6.  Контракта.</w:t>
      </w:r>
    </w:p>
    <w:p w14:paraId="42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5.3.2. Требовать своевременной оплаты за поставленный Товар надлежащего качества в соответствии с условиями Контракта.</w:t>
      </w:r>
    </w:p>
    <w:p w14:paraId="43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5.3.3. Запрашивать у Заказчика разъяснения и уточнения относительно Товара в рамках Контракта.</w:t>
      </w:r>
    </w:p>
    <w:p w14:paraId="44000000">
      <w:pPr>
        <w:pStyle w:val="Style_2"/>
        <w:widowControl w:val="0"/>
        <w:spacing w:after="0" w:before="0" w:line="240" w:lineRule="auto"/>
        <w:ind w:firstLine="567" w:left="0" w:right="0"/>
        <w:jc w:val="both"/>
        <w:rPr>
          <w:rFonts w:ascii="Serif" w:hAnsi="Serif"/>
          <w:color w:val="000000"/>
          <w:spacing w:val="1"/>
          <w:sz w:val="24"/>
        </w:rPr>
      </w:pPr>
      <w:r>
        <w:rPr>
          <w:rFonts w:ascii="Serif" w:hAnsi="Serif"/>
          <w:color w:val="000000"/>
          <w:sz w:val="24"/>
        </w:rPr>
        <w:t>5.3.4.  Досрочно исполнить обязательства по Контракту.</w:t>
      </w:r>
    </w:p>
    <w:p w14:paraId="45000000">
      <w:pPr>
        <w:pStyle w:val="Style_2"/>
        <w:widowControl w:val="0"/>
        <w:spacing w:after="0" w:before="0" w:line="240" w:lineRule="auto"/>
        <w:ind w:firstLine="567" w:left="0" w:right="0"/>
        <w:jc w:val="both"/>
        <w:rPr>
          <w:rFonts w:ascii="Serif" w:hAnsi="Serif"/>
          <w:color w:val="000000"/>
          <w:spacing w:val="1"/>
          <w:sz w:val="24"/>
        </w:rPr>
      </w:pPr>
      <w:r>
        <w:rPr>
          <w:rFonts w:ascii="Serif" w:hAnsi="Serif"/>
          <w:color w:val="000000"/>
          <w:spacing w:val="1"/>
          <w:sz w:val="24"/>
        </w:rPr>
        <w:t>5.3.5. Осуществить доставку Товара силами и средствами третьих лиц.</w:t>
      </w:r>
    </w:p>
    <w:p w14:paraId="46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5.3.6. Пользоваться иными правами, установленными Контрактом и законодательством Российской Федерации.</w:t>
      </w:r>
    </w:p>
    <w:p w14:paraId="47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5.4. </w:t>
      </w:r>
      <w:r>
        <w:rPr>
          <w:rFonts w:ascii="Serif" w:hAnsi="Serif"/>
          <w:b w:val="1"/>
          <w:color w:val="000000"/>
          <w:sz w:val="24"/>
        </w:rPr>
        <w:t>Поставщик обязан:</w:t>
      </w:r>
    </w:p>
    <w:p w14:paraId="48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3.6. Контракта, по итогам исполнения Контракта. </w:t>
      </w:r>
    </w:p>
    <w:p w14:paraId="49000000">
      <w:pPr>
        <w:pStyle w:val="Style_3"/>
        <w:ind w:firstLine="567" w:left="0" w:right="0"/>
        <w:jc w:val="both"/>
        <w:rPr>
          <w:rFonts w:ascii="Serif" w:hAnsi="Serif"/>
          <w:color w:val="000000"/>
          <w:sz w:val="24"/>
        </w:rPr>
      </w:pPr>
      <w:r>
        <w:rPr>
          <w:rFonts w:ascii="Serif" w:hAnsi="Serif"/>
          <w:color w:val="000000"/>
          <w:sz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A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 xml:space="preserve">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установленным законодательством Российской Федерации и предоставить Заказчику на каждый вид товара соответствующий сертификат (при наличии). </w:t>
      </w:r>
    </w:p>
    <w:p w14:paraId="4B000000">
      <w:pPr>
        <w:pStyle w:val="Style_2"/>
        <w:widowControl w:val="0"/>
        <w:tabs>
          <w:tab w:leader="none" w:pos="709" w:val="left"/>
        </w:tabs>
        <w:spacing w:after="0" w:before="0" w:line="240" w:lineRule="auto"/>
        <w:ind w:firstLine="567" w:left="0" w:right="0"/>
        <w:jc w:val="both"/>
        <w:rPr>
          <w:rFonts w:ascii="Serif" w:hAnsi="Serif"/>
          <w:color w:val="000000"/>
          <w:sz w:val="24"/>
        </w:rPr>
      </w:pPr>
      <w:r>
        <w:rPr>
          <w:rFonts w:ascii="Serif" w:hAnsi="Serif"/>
          <w:color w:val="000000"/>
          <w:sz w:val="24"/>
        </w:rPr>
        <w:t xml:space="preserve">5.4.4. В срок до 1 (одних) суток с момента изменения почтовых и банковских реквизитов, письменно уведомить об указанных изменениях Заказчика. В случае непредставления уведомления об изменении выше указанных сведений Поставщика, его банковские реквизиты, указанные в Контракте, будут считаться действительными. </w:t>
      </w:r>
    </w:p>
    <w:p w14:paraId="4C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5.4.5.  Исполнять иные обязанности, предусмотренные Контрактом.</w:t>
      </w:r>
    </w:p>
    <w:p w14:paraId="4D000000">
      <w:pPr>
        <w:pStyle w:val="Style_2"/>
        <w:widowControl w:val="0"/>
        <w:spacing w:after="0" w:before="0" w:line="240" w:lineRule="auto"/>
        <w:ind w:firstLine="567" w:left="0" w:right="0"/>
        <w:jc w:val="both"/>
        <w:rPr>
          <w:rFonts w:ascii="Serif" w:hAnsi="Serif"/>
          <w:color w:val="000000"/>
          <w:sz w:val="24"/>
        </w:rPr>
      </w:pPr>
    </w:p>
    <w:p w14:paraId="4E000000">
      <w:pPr>
        <w:pStyle w:val="Style_2"/>
        <w:spacing w:after="0" w:before="0" w:line="240" w:lineRule="auto"/>
        <w:ind w:firstLine="207" w:left="360" w:right="57"/>
        <w:jc w:val="center"/>
        <w:rPr>
          <w:rFonts w:ascii="Serif" w:hAnsi="Serif"/>
          <w:b w:val="1"/>
          <w:color w:val="000000"/>
          <w:sz w:val="24"/>
        </w:rPr>
      </w:pPr>
      <w:r>
        <w:rPr>
          <w:rFonts w:ascii="Serif" w:hAnsi="Serif"/>
          <w:b w:val="1"/>
          <w:color w:val="000000"/>
          <w:sz w:val="24"/>
        </w:rPr>
        <w:t>6. ГАРАНТИЙНЫЕ ОБЯЗАТЕЛЬСТВА</w:t>
      </w:r>
    </w:p>
    <w:p w14:paraId="4F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6.1. Поставщик гарантирует, что поставленный по настоящему Контракту Товар полностью соответствует стандартам и требованиям, заявленным в настоящем Контракте и Приложение № 1 к Контракту.</w:t>
      </w:r>
    </w:p>
    <w:p w14:paraId="50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6.2. Поставщик гарантирует качество и безопасность Товара в соответствии с действующими стандартами, утвержденными для данных видов товаров, и наличием сертификатов соответствия (или иных документов, подтверждающих соответствие качества Товара, в порядке, установленном законодательством Российской Федерации).</w:t>
      </w:r>
    </w:p>
    <w:p w14:paraId="51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 xml:space="preserve">6.3. Гарантийный срок на поставляемый Товар </w:t>
      </w:r>
      <w:r>
        <w:rPr>
          <w:rFonts w:ascii="Serif" w:hAnsi="Serif"/>
          <w:color w:val="000000"/>
          <w:sz w:val="24"/>
        </w:rPr>
        <w:t>в соответствии с п.22 Технического задания приложение №1 к контракту.</w:t>
      </w:r>
    </w:p>
    <w:p w14:paraId="52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53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 xml:space="preserve">6.4. В случае выявления поставки некачественного Товара Поставщик обязуется произвести замену данного Товара на доброкачественный Товар в течение 10 (десять) календарных дней с момента предъявления Заказчиком соответствующей претензии. </w:t>
      </w:r>
    </w:p>
    <w:p w14:paraId="54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 xml:space="preserve">6.5. На Товар, поставленный взамен некачественного, устанавливается новый гарантийный срок, исчисляемый с момента его получения и подписания товарной накладной Заказчиком. </w:t>
      </w:r>
    </w:p>
    <w:p w14:paraId="55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6.6. Товар должен соответствовать требованиям безопасности, установленным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56000000">
      <w:pPr>
        <w:pStyle w:val="Style_2"/>
        <w:spacing w:after="0" w:before="0" w:line="240" w:lineRule="auto"/>
        <w:ind w:firstLine="567" w:left="0" w:right="57"/>
        <w:jc w:val="center"/>
        <w:rPr>
          <w:rFonts w:ascii="Serif" w:hAnsi="Serif"/>
          <w:color w:val="000000"/>
          <w:sz w:val="24"/>
        </w:rPr>
      </w:pPr>
    </w:p>
    <w:p w14:paraId="57000000">
      <w:pPr>
        <w:pStyle w:val="Style_2"/>
        <w:spacing w:after="0" w:before="0" w:line="240" w:lineRule="auto"/>
        <w:ind w:firstLine="567" w:left="0" w:right="57"/>
        <w:jc w:val="center"/>
        <w:rPr>
          <w:rFonts w:ascii="Serif" w:hAnsi="Serif"/>
          <w:color w:val="000000"/>
          <w:sz w:val="24"/>
        </w:rPr>
      </w:pPr>
      <w:r>
        <w:rPr>
          <w:rFonts w:ascii="Serif" w:hAnsi="Serif"/>
          <w:b w:val="1"/>
          <w:color w:val="000000"/>
          <w:sz w:val="24"/>
        </w:rPr>
        <w:t>7.ОТВЕТСТВЕННОСТЬ СТОРОН</w:t>
      </w:r>
    </w:p>
    <w:p w14:paraId="58000000">
      <w:pPr>
        <w:pStyle w:val="Style_3"/>
        <w:ind w:firstLine="567" w:left="0" w:right="0"/>
        <w:jc w:val="both"/>
        <w:rPr>
          <w:rFonts w:ascii="Serif" w:hAnsi="Serif"/>
          <w:color w:val="000000"/>
          <w:sz w:val="24"/>
        </w:rPr>
      </w:pPr>
      <w:r>
        <w:rPr>
          <w:rFonts w:ascii="Serif" w:hAnsi="Serif"/>
          <w:color w:val="000000"/>
          <w:sz w:val="24"/>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59000000">
      <w:pPr>
        <w:pStyle w:val="Style_3"/>
        <w:ind w:firstLine="567" w:left="0" w:right="0"/>
        <w:jc w:val="both"/>
        <w:rPr>
          <w:rFonts w:ascii="Serif" w:hAnsi="Serif"/>
          <w:color w:val="000000"/>
          <w:sz w:val="24"/>
        </w:rPr>
      </w:pPr>
      <w:r>
        <w:rPr>
          <w:rFonts w:ascii="Serif" w:hAnsi="Serif"/>
          <w:color w:val="000000"/>
          <w:sz w:val="24"/>
        </w:rPr>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A000000">
      <w:pPr>
        <w:pStyle w:val="Style_3"/>
        <w:ind w:firstLine="567" w:left="0" w:right="0"/>
        <w:jc w:val="both"/>
        <w:rPr>
          <w:rFonts w:ascii="Serif" w:hAnsi="Serif"/>
          <w:color w:val="000000"/>
          <w:sz w:val="24"/>
        </w:rPr>
      </w:pPr>
      <w:r>
        <w:rPr>
          <w:rFonts w:ascii="Serif" w:hAnsi="Serif"/>
          <w:color w:val="000000"/>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B000000">
      <w:pPr>
        <w:pStyle w:val="Style_3"/>
        <w:ind w:firstLine="567" w:left="0" w:right="0"/>
        <w:jc w:val="both"/>
        <w:rPr>
          <w:rFonts w:ascii="Serif" w:hAnsi="Serif"/>
          <w:color w:val="000000"/>
          <w:sz w:val="24"/>
        </w:rPr>
      </w:pPr>
      <w:r>
        <w:rPr>
          <w:rFonts w:ascii="Serif" w:hAnsi="Serif"/>
          <w:color w:val="000000"/>
          <w:sz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C000000">
      <w:pPr>
        <w:pStyle w:val="Style_3"/>
        <w:ind w:firstLine="567" w:left="0" w:right="0"/>
        <w:jc w:val="both"/>
        <w:rPr>
          <w:rFonts w:ascii="Serif" w:hAnsi="Serif"/>
          <w:color w:val="000000"/>
          <w:sz w:val="24"/>
        </w:rPr>
      </w:pPr>
      <w:r>
        <w:rPr>
          <w:rFonts w:ascii="Serif" w:hAnsi="Serif"/>
          <w:color w:val="000000"/>
          <w:sz w:val="24"/>
        </w:rPr>
        <w:t>а) 1000 рублей, если цена Контракта не превышает 3 млн. рублей (включительно);</w:t>
      </w:r>
    </w:p>
    <w:p w14:paraId="5D000000">
      <w:pPr>
        <w:pStyle w:val="Style_3"/>
        <w:ind w:firstLine="567" w:left="0" w:right="0"/>
        <w:jc w:val="both"/>
        <w:rPr>
          <w:rFonts w:ascii="Serif" w:hAnsi="Serif"/>
          <w:color w:val="000000"/>
          <w:sz w:val="24"/>
        </w:rPr>
      </w:pPr>
      <w:r>
        <w:rPr>
          <w:rFonts w:ascii="Serif" w:hAnsi="Serif"/>
          <w:color w:val="000000"/>
          <w:sz w:val="24"/>
        </w:rPr>
        <w:t>б) 5000 рублей, если цена контракта составляет от 3 млн. рублей до 50 млн. рублей (включительно);</w:t>
      </w:r>
    </w:p>
    <w:p w14:paraId="5E000000">
      <w:pPr>
        <w:pStyle w:val="Style_3"/>
        <w:ind w:firstLine="567" w:left="0" w:right="0"/>
        <w:jc w:val="both"/>
        <w:rPr>
          <w:rFonts w:ascii="Serif" w:hAnsi="Serif"/>
          <w:color w:val="000000"/>
          <w:sz w:val="24"/>
        </w:rPr>
      </w:pPr>
      <w:r>
        <w:rPr>
          <w:rFonts w:ascii="Serif" w:hAnsi="Serif"/>
          <w:color w:val="000000"/>
          <w:sz w:val="24"/>
        </w:rPr>
        <w:t>в) 10000 рублей, если цена контракта составляет от 50 млн. рублей до 100 млн. рублей (включительно);</w:t>
      </w:r>
    </w:p>
    <w:p w14:paraId="5F000000">
      <w:pPr>
        <w:pStyle w:val="Style_3"/>
        <w:ind w:firstLine="567" w:left="0" w:right="0"/>
        <w:jc w:val="both"/>
        <w:rPr>
          <w:rFonts w:ascii="Serif" w:hAnsi="Serif"/>
          <w:color w:val="000000"/>
          <w:sz w:val="24"/>
        </w:rPr>
      </w:pPr>
      <w:r>
        <w:rPr>
          <w:rFonts w:ascii="Serif" w:hAnsi="Serif"/>
          <w:color w:val="000000"/>
          <w:sz w:val="24"/>
        </w:rPr>
        <w:t>г) 100000 рублей, если цена контракта превышает 100 млн. рублей.</w:t>
      </w:r>
    </w:p>
    <w:p w14:paraId="60000000">
      <w:pPr>
        <w:pStyle w:val="Style_3"/>
        <w:ind w:firstLine="567" w:left="0" w:right="0"/>
        <w:jc w:val="both"/>
        <w:rPr>
          <w:rFonts w:ascii="Serif" w:hAnsi="Serif"/>
          <w:color w:val="000000"/>
          <w:sz w:val="24"/>
        </w:rPr>
      </w:pPr>
      <w:r>
        <w:rPr>
          <w:rFonts w:ascii="Serif" w:hAnsi="Serif"/>
          <w:color w:val="000000"/>
          <w:sz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000000">
      <w:pPr>
        <w:pStyle w:val="Style_3"/>
        <w:ind w:firstLine="567" w:left="0" w:right="0"/>
        <w:jc w:val="both"/>
        <w:rPr>
          <w:rFonts w:ascii="Serif" w:hAnsi="Serif"/>
          <w:color w:val="000000"/>
          <w:sz w:val="24"/>
        </w:rPr>
      </w:pPr>
      <w:r>
        <w:rPr>
          <w:rFonts w:ascii="Serif" w:hAnsi="Serif"/>
          <w:color w:val="000000"/>
          <w:sz w:val="24"/>
        </w:rPr>
        <w:t>7.5.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2000000">
      <w:pPr>
        <w:pStyle w:val="Style_3"/>
        <w:ind w:firstLine="567" w:left="0" w:right="0"/>
        <w:jc w:val="both"/>
        <w:rPr>
          <w:rFonts w:ascii="Serif" w:hAnsi="Serif"/>
          <w:color w:val="000000"/>
          <w:sz w:val="24"/>
        </w:rPr>
      </w:pPr>
      <w:r>
        <w:rPr>
          <w:rFonts w:ascii="Serif" w:hAnsi="Serif"/>
          <w:color w:val="000000"/>
          <w:sz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3000000">
      <w:pPr>
        <w:pStyle w:val="Style_3"/>
        <w:ind w:firstLine="567" w:left="0" w:right="0"/>
        <w:jc w:val="both"/>
        <w:rPr>
          <w:rFonts w:ascii="Serif" w:hAnsi="Serif"/>
          <w:color w:val="000000"/>
          <w:sz w:val="24"/>
        </w:rPr>
      </w:pPr>
      <w:r>
        <w:rPr>
          <w:rFonts w:ascii="Serif" w:hAnsi="Serif"/>
          <w:color w:val="000000"/>
          <w:sz w:val="24"/>
        </w:rPr>
        <w:t>7.6.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который устанавливается в следующем порядке:</w:t>
      </w:r>
    </w:p>
    <w:p w14:paraId="64000000">
      <w:pPr>
        <w:pStyle w:val="Style_3"/>
        <w:ind w:firstLine="567" w:left="0" w:right="0"/>
        <w:jc w:val="both"/>
        <w:rPr>
          <w:rFonts w:ascii="Serif" w:hAnsi="Serif"/>
          <w:color w:val="000000"/>
          <w:sz w:val="24"/>
        </w:rPr>
      </w:pPr>
      <w:r>
        <w:rPr>
          <w:rFonts w:ascii="Serif" w:hAnsi="Serif"/>
          <w:color w:val="000000"/>
          <w:sz w:val="24"/>
        </w:rPr>
        <w:t>а) 10 процентов цены контракта (этапа) в случае, если цена контракта (этапа) не превышает 3 млн рублей;</w:t>
      </w:r>
    </w:p>
    <w:p w14:paraId="65000000">
      <w:pPr>
        <w:pStyle w:val="Style_3"/>
        <w:ind w:firstLine="567" w:left="0" w:right="0"/>
        <w:jc w:val="both"/>
        <w:rPr>
          <w:rFonts w:ascii="Serif" w:hAnsi="Serif"/>
          <w:color w:val="000000"/>
          <w:sz w:val="24"/>
        </w:rPr>
      </w:pPr>
      <w:r>
        <w:rPr>
          <w:rFonts w:ascii="Serif" w:hAnsi="Serif"/>
          <w:color w:val="000000"/>
          <w:sz w:val="24"/>
        </w:rPr>
        <w:t>б) 5 процентов цены контракта (этапа) в случае, если цена контракта (этапа) составляет от 3 млн рублей до 50 млн рублей (включительно);</w:t>
      </w:r>
    </w:p>
    <w:p w14:paraId="66000000">
      <w:pPr>
        <w:pStyle w:val="Style_3"/>
        <w:ind w:firstLine="567" w:left="0" w:right="0"/>
        <w:jc w:val="both"/>
        <w:rPr>
          <w:rFonts w:ascii="Serif" w:hAnsi="Serif"/>
          <w:color w:val="000000"/>
          <w:sz w:val="24"/>
        </w:rPr>
      </w:pPr>
      <w:r>
        <w:rPr>
          <w:rFonts w:ascii="Serif" w:hAnsi="Serif"/>
          <w:color w:val="000000"/>
          <w:sz w:val="24"/>
        </w:rPr>
        <w:t>в) 1 процент цены контракта (этапа) в случае, если цена контракта (этапа) составляет от 50 млн рублей до 100 млн рублей (включительно);</w:t>
      </w:r>
    </w:p>
    <w:p w14:paraId="67000000">
      <w:pPr>
        <w:pStyle w:val="Style_3"/>
        <w:ind w:firstLine="567" w:left="0" w:right="0"/>
        <w:jc w:val="both"/>
        <w:rPr>
          <w:rFonts w:ascii="Serif" w:hAnsi="Serif"/>
          <w:color w:val="000000"/>
          <w:sz w:val="24"/>
        </w:rPr>
      </w:pPr>
      <w:r>
        <w:rPr>
          <w:rFonts w:ascii="Serif" w:hAnsi="Serif"/>
          <w:color w:val="000000"/>
          <w:sz w:val="24"/>
        </w:rPr>
        <w:t>г) 0,5 процента цены контракта (этапа) в случае, если цена контракта (этапа) составляет от 100 млн рублей до 500 млн рублей (включительно);</w:t>
      </w:r>
    </w:p>
    <w:p w14:paraId="68000000">
      <w:pPr>
        <w:pStyle w:val="Style_3"/>
        <w:ind w:firstLine="567" w:left="0" w:right="0"/>
        <w:jc w:val="both"/>
        <w:rPr>
          <w:rFonts w:ascii="Serif" w:hAnsi="Serif"/>
          <w:color w:val="000000"/>
          <w:sz w:val="24"/>
        </w:rPr>
      </w:pPr>
      <w:r>
        <w:rPr>
          <w:rFonts w:ascii="Serif" w:hAnsi="Serif"/>
          <w:color w:val="000000"/>
          <w:sz w:val="24"/>
        </w:rPr>
        <w:t>д) 0,4 процента цены контракта (этапа) в случае, если цена контракта (этапа) составляет от 500 млн рублей до 1 млрд рублей (включительно);</w:t>
      </w:r>
    </w:p>
    <w:p w14:paraId="69000000">
      <w:pPr>
        <w:pStyle w:val="Style_3"/>
        <w:ind w:firstLine="567" w:left="0" w:right="0"/>
        <w:jc w:val="both"/>
        <w:rPr>
          <w:rFonts w:ascii="Serif" w:hAnsi="Serif"/>
          <w:color w:val="000000"/>
          <w:sz w:val="24"/>
        </w:rPr>
      </w:pPr>
      <w:r>
        <w:rPr>
          <w:rFonts w:ascii="Serif" w:hAnsi="Serif"/>
          <w:color w:val="000000"/>
          <w:sz w:val="24"/>
        </w:rPr>
        <w:t>е) 0,3 процента цены контракта (этапа) в случае, если цена контракта (этапа) составляет от 1 млрд рублей до 2 млрд рублей (включительно);</w:t>
      </w:r>
    </w:p>
    <w:p w14:paraId="6A000000">
      <w:pPr>
        <w:pStyle w:val="Style_3"/>
        <w:ind w:firstLine="567" w:left="0" w:right="0"/>
        <w:jc w:val="both"/>
        <w:rPr>
          <w:rFonts w:ascii="Serif" w:hAnsi="Serif"/>
          <w:color w:val="000000"/>
          <w:sz w:val="24"/>
        </w:rPr>
      </w:pPr>
      <w:r>
        <w:rPr>
          <w:rFonts w:ascii="Serif" w:hAnsi="Serif"/>
          <w:color w:val="000000"/>
          <w:sz w:val="24"/>
        </w:rPr>
        <w:t>ж) 0,25 процента цены контракта (этапа) в случае, если цена контракта (этапа) составляет от 2 млрд рублей до 5 млрд рублей (включительно);</w:t>
      </w:r>
    </w:p>
    <w:p w14:paraId="6B000000">
      <w:pPr>
        <w:pStyle w:val="Style_3"/>
        <w:ind w:firstLine="567" w:left="0" w:right="0"/>
        <w:jc w:val="both"/>
        <w:rPr>
          <w:rFonts w:ascii="Serif" w:hAnsi="Serif"/>
          <w:color w:val="000000"/>
          <w:sz w:val="24"/>
        </w:rPr>
      </w:pPr>
      <w:r>
        <w:rPr>
          <w:rFonts w:ascii="Serif" w:hAnsi="Serif"/>
          <w:color w:val="000000"/>
          <w:sz w:val="24"/>
        </w:rPr>
        <w:t>з) 0,2 процента цены контракта (этапа) в случае, если цена контракта (этапа) составляет от 5 млрд рублей до 10 млрд рублей (включительно);</w:t>
      </w:r>
    </w:p>
    <w:p w14:paraId="6C000000">
      <w:pPr>
        <w:pStyle w:val="Style_3"/>
        <w:ind w:firstLine="567" w:left="0" w:right="0"/>
        <w:jc w:val="both"/>
        <w:rPr>
          <w:rFonts w:ascii="Serif" w:hAnsi="Serif"/>
          <w:color w:val="000000"/>
          <w:sz w:val="24"/>
        </w:rPr>
      </w:pPr>
      <w:r>
        <w:rPr>
          <w:rFonts w:ascii="Serif" w:hAnsi="Serif"/>
          <w:color w:val="000000"/>
          <w:sz w:val="24"/>
        </w:rPr>
        <w:t>и) 0,1 процента цены контракта (этапа) в случае, если цена контракта (этапа) превышает 10 млрд рублей.</w:t>
      </w:r>
    </w:p>
    <w:p w14:paraId="6D000000">
      <w:pPr>
        <w:pStyle w:val="Style_3"/>
        <w:ind w:firstLine="567" w:left="0" w:right="0"/>
        <w:jc w:val="both"/>
        <w:rPr>
          <w:rFonts w:ascii="Serif" w:hAnsi="Serif"/>
          <w:color w:val="000000"/>
          <w:sz w:val="24"/>
        </w:rPr>
      </w:pPr>
      <w:r>
        <w:rPr>
          <w:rFonts w:ascii="Serif" w:hAnsi="Serif"/>
          <w:color w:val="000000"/>
          <w:sz w:val="24"/>
        </w:rPr>
        <w:t>7.7. За каждый факт неисполнения или ненадлежащего исполнения Пставщиком обязательств, предусмотренных Контрактом, заключенным по результатам определения Поставщика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E000000">
      <w:pPr>
        <w:pStyle w:val="Style_3"/>
        <w:ind w:firstLine="567" w:left="0" w:right="0"/>
        <w:jc w:val="both"/>
        <w:rPr>
          <w:rFonts w:ascii="Serif" w:hAnsi="Serif"/>
          <w:color w:val="000000"/>
          <w:sz w:val="24"/>
        </w:rPr>
      </w:pPr>
      <w:r>
        <w:rPr>
          <w:rFonts w:ascii="Serif" w:hAnsi="Serif"/>
          <w:color w:val="000000"/>
          <w:sz w:val="24"/>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F000000">
      <w:pPr>
        <w:pStyle w:val="Style_3"/>
        <w:ind w:firstLine="567" w:left="0" w:right="0"/>
        <w:jc w:val="both"/>
        <w:rPr>
          <w:rFonts w:ascii="Serif" w:hAnsi="Serif"/>
          <w:color w:val="000000"/>
          <w:sz w:val="24"/>
        </w:rPr>
      </w:pPr>
      <w:r>
        <w:rPr>
          <w:rFonts w:ascii="Serif" w:hAnsi="Serif"/>
          <w:color w:val="000000"/>
          <w:sz w:val="24"/>
        </w:rPr>
        <w:t>а) в случае, если цена Контракта не превышает начальную (максимальную) цену Контракта:</w:t>
      </w:r>
    </w:p>
    <w:p w14:paraId="70000000">
      <w:pPr>
        <w:pStyle w:val="Style_3"/>
        <w:ind w:firstLine="567" w:left="0" w:right="0"/>
        <w:jc w:val="both"/>
        <w:rPr>
          <w:rFonts w:ascii="Serif" w:hAnsi="Serif"/>
          <w:color w:val="000000"/>
          <w:sz w:val="24"/>
        </w:rPr>
      </w:pPr>
      <w:r>
        <w:rPr>
          <w:rFonts w:ascii="Serif" w:hAnsi="Serif"/>
          <w:color w:val="000000"/>
          <w:sz w:val="24"/>
        </w:rPr>
        <w:t>10 процентов начальной (максимальной) цены Контракта, если цена Контракта не превышает 3 млн. рублей;</w:t>
      </w:r>
    </w:p>
    <w:p w14:paraId="71000000">
      <w:pPr>
        <w:pStyle w:val="Style_3"/>
        <w:ind w:firstLine="567" w:left="0" w:right="0"/>
        <w:jc w:val="both"/>
        <w:rPr>
          <w:rFonts w:ascii="Serif" w:hAnsi="Serif"/>
          <w:color w:val="000000"/>
          <w:sz w:val="24"/>
        </w:rPr>
      </w:pPr>
      <w:r>
        <w:rPr>
          <w:rFonts w:ascii="Serif" w:hAnsi="Serif"/>
          <w:color w:val="000000"/>
          <w:sz w:val="24"/>
        </w:rPr>
        <w:t>5 процентов начальной (максимальной) цены Контракта, если цена Контракта составляет от 3 млн. рублей до 50 млн. рублей (включительно);</w:t>
      </w:r>
    </w:p>
    <w:p w14:paraId="72000000">
      <w:pPr>
        <w:pStyle w:val="Style_3"/>
        <w:ind w:firstLine="567" w:left="0" w:right="0"/>
        <w:jc w:val="both"/>
        <w:rPr>
          <w:rFonts w:ascii="Serif" w:hAnsi="Serif"/>
          <w:color w:val="000000"/>
          <w:sz w:val="24"/>
        </w:rPr>
      </w:pPr>
      <w:r>
        <w:rPr>
          <w:rFonts w:ascii="Serif" w:hAnsi="Serif"/>
          <w:color w:val="000000"/>
          <w:sz w:val="24"/>
        </w:rPr>
        <w:t>1 процент начальной (максимальной) цены Контракта, если цена Контракта составляет от 50 млн. рублей до 100 млн. рублей (включительно);</w:t>
      </w:r>
    </w:p>
    <w:p w14:paraId="73000000">
      <w:pPr>
        <w:pStyle w:val="Style_3"/>
        <w:ind w:firstLine="567" w:left="0" w:right="0"/>
        <w:jc w:val="both"/>
        <w:rPr>
          <w:rFonts w:ascii="Serif" w:hAnsi="Serif"/>
          <w:color w:val="000000"/>
          <w:sz w:val="24"/>
        </w:rPr>
      </w:pPr>
      <w:r>
        <w:rPr>
          <w:rFonts w:ascii="Serif" w:hAnsi="Serif"/>
          <w:color w:val="000000"/>
          <w:sz w:val="24"/>
        </w:rPr>
        <w:t>б) в случае, если цена Контракта превышает начальную (максимальную) цену Контракта:</w:t>
      </w:r>
    </w:p>
    <w:p w14:paraId="74000000">
      <w:pPr>
        <w:pStyle w:val="Style_3"/>
        <w:ind w:firstLine="567" w:left="0" w:right="0"/>
        <w:jc w:val="both"/>
        <w:rPr>
          <w:rFonts w:ascii="Serif" w:hAnsi="Serif"/>
          <w:color w:val="000000"/>
          <w:sz w:val="24"/>
        </w:rPr>
      </w:pPr>
      <w:r>
        <w:rPr>
          <w:rFonts w:ascii="Serif" w:hAnsi="Serif"/>
          <w:color w:val="000000"/>
          <w:sz w:val="24"/>
        </w:rPr>
        <w:t>10 процентов цены Контракта, если цена Контракта не превышает 3 млн. рублей;</w:t>
      </w:r>
    </w:p>
    <w:p w14:paraId="75000000">
      <w:pPr>
        <w:pStyle w:val="Style_3"/>
        <w:ind w:firstLine="567" w:left="0" w:right="0"/>
        <w:jc w:val="both"/>
        <w:rPr>
          <w:rFonts w:ascii="Serif" w:hAnsi="Serif"/>
          <w:color w:val="000000"/>
          <w:sz w:val="24"/>
        </w:rPr>
      </w:pPr>
      <w:r>
        <w:rPr>
          <w:rFonts w:ascii="Serif" w:hAnsi="Serif"/>
          <w:color w:val="000000"/>
          <w:sz w:val="24"/>
        </w:rPr>
        <w:t>5 процентов цены Контракта, если цена Контракта составляет от 3 млн. рублей до 50 млн. рублей (включительно);</w:t>
      </w:r>
    </w:p>
    <w:p w14:paraId="76000000">
      <w:pPr>
        <w:pStyle w:val="Style_3"/>
        <w:ind w:firstLine="567" w:left="0" w:right="0"/>
        <w:jc w:val="both"/>
        <w:rPr>
          <w:rFonts w:ascii="Serif" w:hAnsi="Serif"/>
          <w:color w:val="000000"/>
          <w:sz w:val="24"/>
        </w:rPr>
      </w:pPr>
      <w:r>
        <w:rPr>
          <w:rFonts w:ascii="Serif" w:hAnsi="Serif"/>
          <w:color w:val="000000"/>
          <w:sz w:val="24"/>
        </w:rPr>
        <w:t>1 процент цены Контракта, если цена Контракта составляет от 50 млн. рублей до 100 млн. рублей (включительно).</w:t>
      </w:r>
    </w:p>
    <w:p w14:paraId="77000000">
      <w:pPr>
        <w:pStyle w:val="Style_3"/>
        <w:ind w:firstLine="567" w:left="0" w:right="0"/>
        <w:jc w:val="both"/>
        <w:rPr>
          <w:rFonts w:ascii="Serif" w:hAnsi="Serif"/>
          <w:color w:val="000000"/>
          <w:sz w:val="24"/>
        </w:rPr>
      </w:pPr>
      <w:r>
        <w:rPr>
          <w:rFonts w:ascii="Serif" w:hAnsi="Serif"/>
          <w:color w:val="000000"/>
          <w:sz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8000000">
      <w:pPr>
        <w:pStyle w:val="Style_3"/>
        <w:ind w:firstLine="567" w:left="0" w:right="0"/>
        <w:jc w:val="both"/>
        <w:rPr>
          <w:rFonts w:ascii="Serif" w:hAnsi="Serif"/>
          <w:color w:val="000000"/>
          <w:sz w:val="24"/>
        </w:rPr>
      </w:pPr>
      <w:r>
        <w:rPr>
          <w:rFonts w:ascii="Serif" w:hAnsi="Serif"/>
          <w:color w:val="000000"/>
          <w:sz w:val="24"/>
        </w:rPr>
        <w:t>а) 1000 рублей, если цена Контракта не превышает 3 млн. рублей;</w:t>
      </w:r>
    </w:p>
    <w:p w14:paraId="79000000">
      <w:pPr>
        <w:pStyle w:val="Style_3"/>
        <w:ind w:firstLine="567" w:left="0" w:right="0"/>
        <w:jc w:val="both"/>
        <w:rPr>
          <w:rFonts w:ascii="Serif" w:hAnsi="Serif"/>
          <w:color w:val="000000"/>
          <w:sz w:val="24"/>
        </w:rPr>
      </w:pPr>
      <w:r>
        <w:rPr>
          <w:rFonts w:ascii="Serif" w:hAnsi="Serif"/>
          <w:color w:val="000000"/>
          <w:sz w:val="24"/>
        </w:rPr>
        <w:t>б) 5000 рублей, если цена Контракта составляет от 3 млн. рублей до 50 млн. рублей (включительно);</w:t>
      </w:r>
    </w:p>
    <w:p w14:paraId="7A000000">
      <w:pPr>
        <w:pStyle w:val="Style_3"/>
        <w:ind w:firstLine="567" w:left="0" w:right="0"/>
        <w:jc w:val="both"/>
        <w:rPr>
          <w:rFonts w:ascii="Serif" w:hAnsi="Serif"/>
          <w:color w:val="000000"/>
          <w:sz w:val="24"/>
        </w:rPr>
      </w:pPr>
      <w:r>
        <w:rPr>
          <w:rFonts w:ascii="Serif" w:hAnsi="Serif"/>
          <w:color w:val="000000"/>
          <w:sz w:val="24"/>
        </w:rPr>
        <w:t>в) 10000 рублей, если цена Контракта составляет от 50 млн. рублей до 100 млн. рублей (включительно);</w:t>
      </w:r>
    </w:p>
    <w:p w14:paraId="7B000000">
      <w:pPr>
        <w:pStyle w:val="Style_3"/>
        <w:ind w:firstLine="567" w:left="0" w:right="0"/>
        <w:jc w:val="both"/>
        <w:rPr>
          <w:rFonts w:ascii="Serif" w:hAnsi="Serif"/>
          <w:color w:val="000000"/>
          <w:sz w:val="24"/>
        </w:rPr>
      </w:pPr>
      <w:r>
        <w:rPr>
          <w:rFonts w:ascii="Serif" w:hAnsi="Serif"/>
          <w:color w:val="000000"/>
          <w:sz w:val="24"/>
        </w:rPr>
        <w:t>г) 100000 рублей, если цена Контракта превышает 100 млн. рублей.</w:t>
      </w:r>
    </w:p>
    <w:p w14:paraId="7C000000">
      <w:pPr>
        <w:pStyle w:val="Style_3"/>
        <w:ind w:firstLine="567" w:left="0" w:right="0"/>
        <w:jc w:val="both"/>
        <w:rPr>
          <w:rFonts w:ascii="Serif" w:hAnsi="Serif"/>
          <w:color w:val="000000"/>
          <w:sz w:val="24"/>
        </w:rPr>
      </w:pPr>
      <w:r>
        <w:rPr>
          <w:rFonts w:ascii="Serif" w:hAnsi="Serif"/>
          <w:color w:val="000000"/>
          <w:sz w:val="24"/>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D000000">
      <w:pPr>
        <w:pStyle w:val="Style_3"/>
        <w:ind w:firstLine="567" w:left="0" w:right="0"/>
        <w:jc w:val="both"/>
        <w:rPr>
          <w:rFonts w:ascii="Serif" w:hAnsi="Serif"/>
          <w:color w:val="000000"/>
          <w:sz w:val="24"/>
        </w:rPr>
      </w:pPr>
      <w:r>
        <w:rPr>
          <w:rFonts w:ascii="Serif" w:hAnsi="Serif"/>
          <w:color w:val="000000"/>
          <w:sz w:val="24"/>
        </w:rPr>
        <w:t>7.11.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7E000000">
      <w:pPr>
        <w:pStyle w:val="Style_3"/>
        <w:ind w:firstLine="567" w:left="0" w:right="0"/>
        <w:jc w:val="both"/>
        <w:rPr>
          <w:rFonts w:ascii="Serif" w:hAnsi="Serif"/>
          <w:color w:val="000000"/>
          <w:sz w:val="24"/>
        </w:rPr>
      </w:pPr>
      <w:r>
        <w:rPr>
          <w:rFonts w:ascii="Serif" w:hAnsi="Serif"/>
          <w:color w:val="000000"/>
          <w:sz w:val="24"/>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F000000">
      <w:pPr>
        <w:pStyle w:val="Style_2"/>
        <w:spacing w:after="0" w:before="0" w:line="240" w:lineRule="auto"/>
        <w:ind w:firstLine="0" w:left="57" w:right="57"/>
        <w:jc w:val="center"/>
        <w:rPr>
          <w:rFonts w:ascii="Serif" w:hAnsi="Serif"/>
          <w:color w:val="000000"/>
          <w:sz w:val="24"/>
        </w:rPr>
      </w:pPr>
    </w:p>
    <w:p w14:paraId="80000000">
      <w:pPr>
        <w:pStyle w:val="Style_2"/>
        <w:spacing w:after="0" w:before="0" w:line="240" w:lineRule="auto"/>
        <w:ind w:firstLine="0" w:left="57" w:right="57"/>
        <w:jc w:val="center"/>
        <w:rPr>
          <w:rFonts w:ascii="Serif" w:hAnsi="Serif"/>
          <w:b w:val="1"/>
          <w:color w:val="000000"/>
          <w:sz w:val="24"/>
        </w:rPr>
      </w:pPr>
      <w:r>
        <w:rPr>
          <w:rFonts w:ascii="Serif" w:hAnsi="Serif"/>
          <w:b w:val="1"/>
          <w:color w:val="000000"/>
          <w:sz w:val="24"/>
        </w:rPr>
        <w:t>8. ОБСТОЯТЕЛЬСТВА НЕПРЕОДОЛИМОЙ СИЛЫ</w:t>
      </w:r>
    </w:p>
    <w:p w14:paraId="81000000">
      <w:pPr>
        <w:pStyle w:val="Style_2"/>
        <w:widowControl w:val="1"/>
        <w:tabs>
          <w:tab w:leader="none" w:pos="510" w:val="left"/>
          <w:tab w:leader="none" w:pos="709" w:val="clear"/>
        </w:tabs>
        <w:spacing w:after="0" w:before="0" w:line="240" w:lineRule="auto"/>
        <w:ind w:firstLine="510" w:left="57" w:right="57"/>
        <w:jc w:val="both"/>
        <w:rPr>
          <w:rFonts w:ascii="Serif" w:hAnsi="Serif"/>
          <w:b w:val="0"/>
          <w:color w:val="000000"/>
          <w:sz w:val="24"/>
        </w:rPr>
      </w:pPr>
      <w:r>
        <w:rPr>
          <w:rFonts w:ascii="Serif" w:hAnsi="Serif"/>
          <w:b w:val="0"/>
          <w:color w:val="000000"/>
          <w:sz w:val="24"/>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82000000">
      <w:pPr>
        <w:pStyle w:val="Style_2"/>
        <w:widowControl w:val="1"/>
        <w:tabs>
          <w:tab w:leader="none" w:pos="510" w:val="left"/>
          <w:tab w:leader="none" w:pos="709" w:val="clear"/>
        </w:tabs>
        <w:spacing w:after="0" w:before="0" w:line="240" w:lineRule="auto"/>
        <w:ind w:firstLine="510" w:left="57" w:right="57"/>
        <w:jc w:val="both"/>
        <w:rPr>
          <w:rFonts w:ascii="Serif" w:hAnsi="Serif"/>
          <w:b w:val="0"/>
          <w:color w:val="000000"/>
          <w:sz w:val="24"/>
        </w:rPr>
      </w:pPr>
      <w:r>
        <w:rPr>
          <w:rFonts w:ascii="Serif" w:hAnsi="Serif"/>
          <w:b w:val="0"/>
          <w:color w:val="000000"/>
          <w:sz w:val="24"/>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83000000">
      <w:pPr>
        <w:pStyle w:val="Style_2"/>
        <w:widowControl w:val="1"/>
        <w:tabs>
          <w:tab w:leader="none" w:pos="510" w:val="left"/>
          <w:tab w:leader="none" w:pos="709" w:val="clear"/>
        </w:tabs>
        <w:spacing w:after="0" w:before="0" w:line="240" w:lineRule="auto"/>
        <w:ind w:firstLine="510" w:left="57" w:right="57"/>
        <w:jc w:val="both"/>
        <w:rPr>
          <w:rFonts w:ascii="Serif" w:hAnsi="Serif"/>
          <w:b w:val="0"/>
          <w:color w:val="000000"/>
          <w:sz w:val="24"/>
        </w:rPr>
      </w:pPr>
      <w:r>
        <w:rPr>
          <w:rFonts w:ascii="Serif" w:hAnsi="Serif"/>
          <w:b w:val="0"/>
          <w:color w:val="000000"/>
          <w:sz w:val="24"/>
        </w:rPr>
        <w:t>8.3. Неизвещение, либо несвоевременное извещение другой стороны согласно п.8.2. Контракта влечет за собой утрату права ссылаться на эти обстоятельства.</w:t>
      </w:r>
    </w:p>
    <w:p w14:paraId="84000000">
      <w:pPr>
        <w:pStyle w:val="Style_2"/>
        <w:spacing w:after="0" w:before="0" w:line="240" w:lineRule="auto"/>
        <w:ind w:firstLine="0" w:left="57" w:right="57"/>
        <w:jc w:val="center"/>
        <w:rPr>
          <w:rFonts w:ascii="Serif" w:hAnsi="Serif"/>
          <w:b w:val="1"/>
          <w:color w:val="000000"/>
          <w:sz w:val="24"/>
        </w:rPr>
      </w:pPr>
    </w:p>
    <w:p w14:paraId="85000000">
      <w:pPr>
        <w:pStyle w:val="Style_4"/>
        <w:widowControl w:val="1"/>
        <w:spacing w:after="0" w:before="0" w:line="240" w:lineRule="auto"/>
        <w:ind w:firstLine="0" w:left="0" w:right="0"/>
        <w:jc w:val="center"/>
        <w:rPr>
          <w:rFonts w:ascii="Serif" w:hAnsi="Serif"/>
          <w:color w:val="000000"/>
          <w:sz w:val="24"/>
        </w:rPr>
      </w:pPr>
      <w:r>
        <w:rPr>
          <w:rFonts w:ascii="Serif" w:hAnsi="Serif"/>
          <w:b w:val="1"/>
          <w:color w:val="000000"/>
          <w:sz w:val="24"/>
        </w:rPr>
        <w:t>9. АНТИКОРРУПЦИОННАЯ ОГОВОРКА</w:t>
      </w:r>
    </w:p>
    <w:p w14:paraId="86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87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9.1, в том числе со стороны руководства или работников Сторон, третьих лиц.</w:t>
      </w:r>
    </w:p>
    <w:p w14:paraId="88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89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9.4. Сторонам, их руководителям и работникам запрещается:</w:t>
      </w:r>
    </w:p>
    <w:p w14:paraId="8A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8B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8C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совершать иные действия, нарушающие действующее антикоррупционное законодательство Российской Федерации.</w:t>
      </w:r>
    </w:p>
    <w:p w14:paraId="8D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8E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Подтверждение должно быть направлено не позднее 5 (пяти) рабочих дней с даты получения письменного уведомления.</w:t>
      </w:r>
    </w:p>
    <w:p w14:paraId="8F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90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9.7. В отношении третьих лиц Стороны обязуются:</w:t>
      </w:r>
    </w:p>
    <w:p w14:paraId="91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92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не привлекать их в качестве канала для совершения коррупционных действий;</w:t>
      </w:r>
    </w:p>
    <w:p w14:paraId="93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не осуществлять им выплат, превышающих размер соответствующего вознаграждения.</w:t>
      </w:r>
    </w:p>
    <w:p w14:paraId="94000000">
      <w:pPr>
        <w:pStyle w:val="Style_4"/>
        <w:widowControl w:val="1"/>
        <w:spacing w:after="0" w:before="0" w:line="240" w:lineRule="auto"/>
        <w:ind w:firstLine="624" w:left="0" w:right="0"/>
        <w:jc w:val="both"/>
        <w:rPr>
          <w:rFonts w:ascii="Serif" w:hAnsi="Serif"/>
          <w:color w:val="000000"/>
          <w:sz w:val="24"/>
        </w:rPr>
      </w:pPr>
    </w:p>
    <w:p w14:paraId="95000000">
      <w:pPr>
        <w:pStyle w:val="Style_2"/>
        <w:spacing w:after="0" w:before="0" w:line="240" w:lineRule="auto"/>
        <w:ind w:firstLine="0" w:left="57" w:right="57"/>
        <w:jc w:val="center"/>
        <w:rPr>
          <w:rFonts w:ascii="Serif" w:hAnsi="Serif"/>
          <w:b w:val="1"/>
          <w:color w:val="000000"/>
          <w:sz w:val="24"/>
        </w:rPr>
      </w:pPr>
      <w:r>
        <w:rPr>
          <w:rFonts w:ascii="Serif" w:hAnsi="Serif"/>
          <w:b w:val="1"/>
          <w:color w:val="000000"/>
          <w:sz w:val="24"/>
        </w:rPr>
        <w:t>10. ПОРЯДОК УРЕГУЛИРОВАНИЯ СПОРОВ</w:t>
      </w:r>
    </w:p>
    <w:p w14:paraId="96000000">
      <w:pPr>
        <w:pStyle w:val="Style_2"/>
        <w:spacing w:after="0" w:before="0" w:line="240" w:lineRule="auto"/>
        <w:ind w:firstLine="567" w:left="0" w:right="57"/>
        <w:jc w:val="both"/>
        <w:rPr>
          <w:rFonts w:ascii="Serif" w:hAnsi="Serif"/>
          <w:b w:val="1"/>
          <w:color w:val="000000"/>
          <w:sz w:val="24"/>
        </w:rPr>
      </w:pPr>
      <w:r>
        <w:rPr>
          <w:rFonts w:ascii="Serif" w:hAnsi="Serif"/>
          <w:color w:val="000000"/>
          <w:sz w:val="24"/>
        </w:rPr>
        <w:t>10.1. Все споры и разногласия, которые могут возникнуть между Сторонами при исполнении условий настоящего Контракта, будут разрешаться путем переговоров.</w:t>
      </w:r>
    </w:p>
    <w:p w14:paraId="97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10.2. При не урегулировании в процессе переговоров спорных вопросов, споры разрешаются в Арбитражном суде Тюменской области (по месту нахождения Заказчика) в порядке, установленном действующим законодательством Российской Федерации.</w:t>
      </w:r>
    </w:p>
    <w:p w14:paraId="98000000">
      <w:pPr>
        <w:pStyle w:val="Style_2"/>
        <w:spacing w:after="0" w:before="0" w:line="240" w:lineRule="auto"/>
        <w:ind w:firstLine="567" w:left="0" w:right="-1"/>
        <w:jc w:val="both"/>
        <w:rPr>
          <w:rFonts w:ascii="Serif" w:hAnsi="Serif"/>
          <w:color w:val="000000"/>
          <w:sz w:val="24"/>
        </w:rPr>
      </w:pPr>
      <w:r>
        <w:rPr>
          <w:rFonts w:ascii="Serif" w:hAnsi="Serif"/>
          <w:color w:val="000000"/>
          <w:sz w:val="24"/>
        </w:rPr>
        <w:t xml:space="preserve">10.3. До передачи спора на разрешения Арбитражного суда Тюменской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дней от даты ее получения. </w:t>
      </w:r>
    </w:p>
    <w:p w14:paraId="99000000">
      <w:pPr>
        <w:pStyle w:val="Style_2"/>
        <w:spacing w:after="0" w:before="0" w:line="240" w:lineRule="auto"/>
        <w:ind w:firstLine="567" w:left="0" w:right="-1"/>
        <w:jc w:val="both"/>
        <w:rPr>
          <w:rFonts w:ascii="Serif" w:hAnsi="Serif"/>
          <w:color w:val="000000"/>
          <w:sz w:val="24"/>
        </w:rPr>
      </w:pPr>
    </w:p>
    <w:p w14:paraId="9A000000">
      <w:pPr>
        <w:pStyle w:val="Style_2"/>
        <w:spacing w:after="0" w:before="0" w:line="240" w:lineRule="auto"/>
        <w:ind w:firstLine="0" w:left="57" w:right="57"/>
        <w:jc w:val="center"/>
        <w:rPr>
          <w:rFonts w:ascii="Serif" w:hAnsi="Serif"/>
          <w:color w:val="000000"/>
          <w:sz w:val="24"/>
        </w:rPr>
      </w:pPr>
      <w:r>
        <w:rPr>
          <w:rFonts w:ascii="Serif" w:hAnsi="Serif"/>
          <w:b w:val="1"/>
          <w:color w:val="000000"/>
          <w:sz w:val="24"/>
        </w:rPr>
        <w:t>11. СРОК ДЕЙСТВИЯ, ПОРЯДОК ИЗМЕНЕНИЯ И РАСТОРЖЕНИЯ КОНТРАКТА</w:t>
      </w:r>
    </w:p>
    <w:p w14:paraId="9B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 xml:space="preserve">11.1. Настоящий Контракт вступает в силу с момента заключения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действует по </w:t>
      </w:r>
      <w:r>
        <w:rPr>
          <w:rFonts w:ascii="Serif" w:hAnsi="Serif"/>
          <w:b w:val="1"/>
          <w:color w:val="000000"/>
          <w:sz w:val="24"/>
        </w:rPr>
        <w:t>«30» июня 2026 г.</w:t>
      </w:r>
    </w:p>
    <w:p w14:paraId="9C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11.2.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9D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9E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9F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A0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 xml:space="preserve">11.6. Изменение существенных условий Контракта не допускается, за исключением случаев, предусмотренных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настоящим разделом. </w:t>
      </w:r>
    </w:p>
    <w:p w14:paraId="A1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11.7. Все изменения и дополнения к настоящему Контракту действительны в том случае, если они совершены в письменной форме и подписаны Сторонами. Все приложения к настоящему Контракту являются его неотъемлемой частью.</w:t>
      </w:r>
    </w:p>
    <w:p w14:paraId="A2000000">
      <w:pPr>
        <w:pStyle w:val="Style_2"/>
        <w:spacing w:after="0" w:before="0" w:line="240" w:lineRule="auto"/>
        <w:ind w:firstLine="851" w:left="0" w:right="57"/>
        <w:jc w:val="both"/>
        <w:rPr>
          <w:rFonts w:ascii="Serif" w:hAnsi="Serif"/>
          <w:b w:val="0"/>
          <w:color w:val="000000"/>
          <w:sz w:val="24"/>
        </w:rPr>
      </w:pPr>
      <w:r>
        <w:rPr>
          <w:rFonts w:ascii="Serif" w:hAnsi="Serif"/>
          <w:b w:val="0"/>
          <w:color w:val="000000"/>
          <w:sz w:val="24"/>
        </w:rPr>
        <w:t>11.8. Прекращение действия настоящего Контракта не влечет за собой прекращение обязательств Сторон по нему и не освобождает Стороны от ответственности за нарушения, если таковые имели место при исполнении условий настоящего Контракта.</w:t>
      </w:r>
    </w:p>
    <w:p w14:paraId="A3000000">
      <w:pPr>
        <w:pStyle w:val="Style_2"/>
        <w:spacing w:after="0" w:before="0" w:line="240" w:lineRule="auto"/>
        <w:ind w:firstLine="567" w:left="0" w:right="57"/>
        <w:jc w:val="both"/>
        <w:rPr>
          <w:rFonts w:ascii="Serif" w:hAnsi="Serif"/>
          <w:color w:val="000000"/>
          <w:sz w:val="24"/>
        </w:rPr>
      </w:pPr>
    </w:p>
    <w:p w14:paraId="A4000000">
      <w:pPr>
        <w:pStyle w:val="Style_2"/>
        <w:spacing w:after="0" w:before="0" w:line="240" w:lineRule="auto"/>
        <w:ind w:firstLine="510" w:left="57" w:right="57"/>
        <w:jc w:val="center"/>
        <w:rPr>
          <w:rFonts w:ascii="Serif" w:hAnsi="Serif"/>
          <w:b w:val="1"/>
          <w:color w:val="000000"/>
          <w:sz w:val="24"/>
        </w:rPr>
      </w:pPr>
      <w:r>
        <w:rPr>
          <w:rFonts w:ascii="Serif" w:hAnsi="Serif"/>
          <w:b w:val="1"/>
          <w:color w:val="000000"/>
          <w:sz w:val="24"/>
        </w:rPr>
        <w:t>12. ЗАКЛЮЧИТЕЛЬНЫЕ ПОЛОЖЕНИЯ</w:t>
      </w:r>
    </w:p>
    <w:p w14:paraId="A5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12.1. Настоящий Контракт составлен в 2 (Двух) экземплярах: в электронном виде и (или) на бумажном носителе. Контракты удостоверяются подписью руководителя Заказчика и Поставщика и скрепляются печатями. Один Экземпляр Контракта передается (направляется) Поставщику, а второй находится у Заказчика.</w:t>
      </w:r>
    </w:p>
    <w:p w14:paraId="A6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A7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Юридически значимые сообщения подлежат передаче путем почтовой, факсимильной, электронной связи.</w:t>
      </w:r>
    </w:p>
    <w:p w14:paraId="A8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A9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12.3. Стороны договорились, что при исполнении обязательств по Контракту могут обмениваться электронными документами с применением системы электронного документооборота (ЭДО)Диадок через оператора «Контурн Экстерн».</w:t>
      </w:r>
    </w:p>
    <w:p w14:paraId="AA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12.4. 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AB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 xml:space="preserve">12.5. В случае ликвидации Поставщика или проведения в отношении Поставщика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 </w:t>
      </w:r>
    </w:p>
    <w:p w14:paraId="AC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12.6. 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14:paraId="AD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12.7. По вопросам, не предусмотренным настоящим Контрактом, Стороны руководствуются действующим законодательством Российской Федерации.</w:t>
      </w:r>
    </w:p>
    <w:p w14:paraId="AE000000">
      <w:pPr>
        <w:pStyle w:val="Style_5"/>
        <w:spacing w:after="0" w:before="0"/>
        <w:ind w:firstLine="851" w:left="0" w:right="0"/>
        <w:jc w:val="both"/>
        <w:rPr>
          <w:rFonts w:ascii="Serif" w:hAnsi="Serif"/>
          <w:color w:val="000000"/>
          <w:sz w:val="24"/>
        </w:rPr>
      </w:pPr>
      <w:r>
        <w:rPr>
          <w:rFonts w:ascii="Serif" w:hAnsi="Serif"/>
          <w:color w:val="000000"/>
          <w:sz w:val="24"/>
        </w:rPr>
        <w:t xml:space="preserve">12.8. К настоящему Контракту прилагается и является его неотъемлемой частью: </w:t>
      </w:r>
      <w:r>
        <w:rPr>
          <w:rFonts w:ascii="Serif" w:hAnsi="Serif"/>
          <w:color w:val="000000"/>
          <w:sz w:val="24"/>
        </w:rPr>
        <w:tab/>
      </w:r>
    </w:p>
    <w:p w14:paraId="AF000000">
      <w:pPr>
        <w:pStyle w:val="Style_5"/>
        <w:spacing w:after="0" w:before="0"/>
        <w:ind w:firstLine="851" w:left="0" w:right="0"/>
        <w:jc w:val="both"/>
        <w:rPr>
          <w:rFonts w:ascii="Serif" w:hAnsi="Serif"/>
          <w:color w:val="000000"/>
          <w:sz w:val="24"/>
        </w:rPr>
      </w:pPr>
      <w:r>
        <w:rPr>
          <w:rFonts w:ascii="Serif" w:hAnsi="Serif"/>
          <w:color w:val="000000"/>
          <w:sz w:val="24"/>
        </w:rPr>
        <w:t>- Приложение № 1 – Техническое задание;</w:t>
      </w:r>
    </w:p>
    <w:p w14:paraId="B0000000">
      <w:pPr>
        <w:pStyle w:val="Style_5"/>
        <w:spacing w:after="0" w:before="0"/>
        <w:ind w:firstLine="851" w:left="0" w:right="0"/>
        <w:jc w:val="both"/>
        <w:rPr>
          <w:rFonts w:ascii="Serif" w:hAnsi="Serif"/>
          <w:color w:val="000000"/>
          <w:sz w:val="24"/>
        </w:rPr>
      </w:pPr>
      <w:r>
        <w:rPr>
          <w:rFonts w:ascii="Serif" w:hAnsi="Serif"/>
          <w:color w:val="000000"/>
          <w:sz w:val="24"/>
        </w:rPr>
        <w:t>- Приложение № 2 – Спецификация.</w:t>
      </w:r>
    </w:p>
    <w:p w14:paraId="B1000000">
      <w:pPr>
        <w:pStyle w:val="Style_2"/>
        <w:spacing w:after="0" w:before="0" w:line="240" w:lineRule="auto"/>
        <w:ind w:firstLine="567" w:left="0" w:right="0"/>
        <w:jc w:val="center"/>
        <w:rPr>
          <w:rFonts w:ascii="Serif" w:hAnsi="Serif"/>
          <w:b w:val="1"/>
          <w:color w:val="000000"/>
          <w:sz w:val="24"/>
        </w:rPr>
      </w:pPr>
    </w:p>
    <w:p w14:paraId="B2000000">
      <w:pPr>
        <w:pStyle w:val="Style_2"/>
        <w:spacing w:after="0" w:before="0" w:line="240" w:lineRule="auto"/>
        <w:ind/>
        <w:jc w:val="center"/>
        <w:rPr>
          <w:rFonts w:ascii="Serif" w:hAnsi="Serif"/>
          <w:b w:val="1"/>
          <w:color w:val="000000"/>
          <w:sz w:val="24"/>
        </w:rPr>
      </w:pPr>
      <w:r>
        <w:rPr>
          <w:rFonts w:ascii="Serif" w:hAnsi="Serif"/>
          <w:b w:val="1"/>
          <w:color w:val="000000"/>
          <w:sz w:val="24"/>
        </w:rPr>
        <w:t>13. АДРЕСА И БАНКОВСКИЕ РЕКВИЗИТЫ СТОРОН:</w:t>
      </w:r>
    </w:p>
    <w:p w14:paraId="B3000000">
      <w:pPr>
        <w:pStyle w:val="Style_2"/>
        <w:spacing w:after="0" w:before="0" w:line="240" w:lineRule="auto"/>
        <w:ind/>
        <w:jc w:val="center"/>
        <w:rPr>
          <w:rFonts w:ascii="Serif" w:hAnsi="Serif"/>
          <w:b w:val="1"/>
          <w:color w:val="000000"/>
          <w:sz w:val="24"/>
        </w:rPr>
      </w:pPr>
    </w:p>
    <w:tbl>
      <w:tblPr>
        <w:tblStyle w:val="Style_6"/>
        <w:tblW w:type="auto" w:w="0"/>
        <w:tblInd w:type="dxa" w:w="0"/>
        <w:tblLayout w:type="fixed"/>
        <w:tblCellMar>
          <w:top w:type="dxa" w:w="0"/>
          <w:left w:type="dxa" w:w="108"/>
          <w:bottom w:type="dxa" w:w="0"/>
          <w:right w:type="dxa" w:w="108"/>
        </w:tblCellMar>
      </w:tblPr>
      <w:tblGrid>
        <w:gridCol w:w="5325"/>
        <w:gridCol w:w="4935"/>
      </w:tblGrid>
      <w:tr>
        <w:trPr>
          <w:trHeight w:hRule="atLeast" w:val="5976"/>
        </w:trPr>
        <w:tc>
          <w:tcPr>
            <w:tcW w:type="dxa" w:w="5325"/>
            <w:shd w:fill="auto" w:val="clear"/>
            <w:tcMar>
              <w:top w:type="dxa" w:w="0"/>
              <w:left w:type="dxa" w:w="108"/>
              <w:bottom w:type="dxa" w:w="0"/>
              <w:right w:type="dxa" w:w="108"/>
            </w:tcMar>
          </w:tcPr>
          <w:p w14:paraId="B4000000">
            <w:pPr>
              <w:pStyle w:val="Style_2"/>
              <w:widowControl w:val="1"/>
              <w:spacing w:after="0" w:before="0"/>
              <w:ind w:firstLine="0" w:left="0" w:right="0"/>
              <w:jc w:val="center"/>
              <w:rPr>
                <w:rFonts w:ascii="Serif" w:hAnsi="Serif"/>
                <w:b w:val="1"/>
                <w:color w:val="000000"/>
                <w:sz w:val="24"/>
              </w:rPr>
            </w:pPr>
            <w:r>
              <w:rPr>
                <w:rFonts w:ascii="Serif" w:hAnsi="Serif"/>
                <w:b w:val="1"/>
                <w:color w:val="000000"/>
                <w:spacing w:val="0"/>
                <w:sz w:val="24"/>
              </w:rPr>
              <w:t>ЗАКАЗЧИК:</w:t>
            </w:r>
          </w:p>
          <w:p w14:paraId="B5000000">
            <w:pPr>
              <w:pStyle w:val="Style_2"/>
              <w:widowControl w:val="0"/>
              <w:spacing w:after="0" w:before="0"/>
              <w:ind w:firstLine="0" w:left="0" w:right="0"/>
              <w:jc w:val="left"/>
              <w:rPr>
                <w:rFonts w:ascii="Serif" w:hAnsi="Serif"/>
                <w:b w:val="1"/>
                <w:color w:val="000000"/>
                <w:sz w:val="24"/>
              </w:rPr>
            </w:pPr>
            <w:r>
              <w:rPr>
                <w:rFonts w:ascii="Serif" w:hAnsi="Serif"/>
                <w:b w:val="1"/>
                <w:color w:val="000000"/>
                <w:spacing w:val="0"/>
                <w:sz w:val="24"/>
              </w:rPr>
              <w:t>Федеральное казенное учреждение</w:t>
            </w:r>
          </w:p>
          <w:p w14:paraId="B6000000">
            <w:pPr>
              <w:pStyle w:val="Style_2"/>
              <w:widowControl w:val="0"/>
              <w:spacing w:after="0" w:before="0"/>
              <w:ind w:firstLine="0" w:left="0" w:right="0"/>
              <w:jc w:val="left"/>
              <w:rPr>
                <w:rFonts w:ascii="Serif" w:hAnsi="Serif"/>
                <w:b w:val="1"/>
                <w:color w:val="000000"/>
                <w:sz w:val="24"/>
              </w:rPr>
            </w:pPr>
            <w:r>
              <w:rPr>
                <w:rFonts w:ascii="Serif" w:hAnsi="Serif"/>
                <w:b w:val="1"/>
                <w:color w:val="000000"/>
                <w:spacing w:val="0"/>
                <w:sz w:val="24"/>
              </w:rPr>
              <w:t>«Центр хранения страхового фонда»</w:t>
            </w:r>
          </w:p>
          <w:p w14:paraId="B7000000">
            <w:pPr>
              <w:pStyle w:val="Style_2"/>
              <w:widowControl w:val="0"/>
              <w:spacing w:after="0" w:before="0"/>
              <w:ind w:firstLine="0" w:left="0" w:right="0"/>
              <w:jc w:val="left"/>
              <w:rPr>
                <w:rFonts w:ascii="Serif" w:hAnsi="Serif"/>
                <w:b w:val="1"/>
                <w:color w:val="000000"/>
                <w:sz w:val="24"/>
              </w:rPr>
            </w:pPr>
            <w:r>
              <w:rPr>
                <w:rFonts w:ascii="Serif" w:hAnsi="Serif"/>
                <w:b w:val="1"/>
                <w:color w:val="000000"/>
                <w:spacing w:val="0"/>
                <w:sz w:val="24"/>
              </w:rPr>
              <w:t>(ЦХСФ)</w:t>
            </w:r>
          </w:p>
          <w:p w14:paraId="B8000000">
            <w:pPr>
              <w:pStyle w:val="Style_2"/>
              <w:widowControl w:val="0"/>
              <w:spacing w:after="0" w:before="0"/>
              <w:ind w:firstLine="0" w:left="0" w:right="0"/>
              <w:jc w:val="left"/>
              <w:rPr>
                <w:rFonts w:ascii="Serif" w:hAnsi="Serif"/>
                <w:color w:val="000000"/>
                <w:sz w:val="24"/>
              </w:rPr>
            </w:pPr>
            <w:r>
              <w:rPr>
                <w:rFonts w:ascii="Serif" w:hAnsi="Serif"/>
                <w:color w:val="000000"/>
                <w:spacing w:val="0"/>
                <w:sz w:val="24"/>
              </w:rPr>
              <w:t>Юридический/ почтовый адрес:</w:t>
            </w:r>
          </w:p>
          <w:p w14:paraId="B9000000">
            <w:pPr>
              <w:pStyle w:val="Style_2"/>
              <w:widowControl w:val="0"/>
              <w:spacing w:after="0" w:before="0"/>
              <w:ind w:firstLine="0" w:left="0" w:right="0"/>
              <w:jc w:val="left"/>
              <w:rPr>
                <w:rFonts w:ascii="Serif" w:hAnsi="Serif"/>
                <w:color w:val="000000"/>
                <w:sz w:val="24"/>
              </w:rPr>
            </w:pPr>
            <w:r>
              <w:rPr>
                <w:rFonts w:ascii="Serif" w:hAnsi="Serif"/>
                <w:color w:val="000000"/>
                <w:spacing w:val="0"/>
                <w:sz w:val="24"/>
              </w:rPr>
              <w:t>627015, Тюменская обл.,</w:t>
            </w:r>
          </w:p>
          <w:p w14:paraId="BA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г. Ялуторовск, ул.Ишимская, д.138</w:t>
            </w:r>
          </w:p>
          <w:p w14:paraId="BB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Тел.: +7(34535)3-22-71</w:t>
            </w:r>
          </w:p>
          <w:p w14:paraId="BC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fldChar w:fldCharType="begin"/>
            </w:r>
            <w:r>
              <w:rPr>
                <w:rFonts w:ascii="Serif" w:hAnsi="Serif"/>
                <w:color w:val="000000"/>
                <w:spacing w:val="0"/>
                <w:sz w:val="24"/>
              </w:rPr>
              <w:instrText>HYPERLINK "mailto:email:yalarhiv@yandex.ru"</w:instrText>
            </w:r>
            <w:r>
              <w:rPr>
                <w:rFonts w:ascii="Serif" w:hAnsi="Serif"/>
                <w:color w:val="000000"/>
                <w:spacing w:val="0"/>
                <w:sz w:val="24"/>
              </w:rPr>
              <w:fldChar w:fldCharType="separate"/>
            </w:r>
            <w:r>
              <w:rPr>
                <w:rFonts w:ascii="Serif" w:hAnsi="Serif"/>
                <w:color w:val="000000"/>
                <w:spacing w:val="0"/>
                <w:sz w:val="24"/>
              </w:rPr>
              <w:t xml:space="preserve">email: </w:t>
            </w:r>
            <w:r>
              <w:rPr>
                <w:rFonts w:ascii="Serif" w:hAnsi="Serif"/>
                <w:b w:val="0"/>
                <w:i w:val="0"/>
                <w:caps w:val="0"/>
                <w:smallCaps w:val="0"/>
                <w:color w:val="000000"/>
                <w:spacing w:val="0"/>
                <w:sz w:val="24"/>
                <w:highlight w:val="white"/>
              </w:rPr>
              <w:t>yalarhiv@yandex.ru</w:t>
            </w:r>
            <w:r>
              <w:rPr>
                <w:rFonts w:ascii="Serif" w:hAnsi="Serif"/>
                <w:color w:val="000000"/>
                <w:spacing w:val="0"/>
                <w:sz w:val="24"/>
              </w:rPr>
              <w:fldChar w:fldCharType="end"/>
            </w:r>
          </w:p>
          <w:p w14:paraId="BD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ИНН 7207000289 КПП 720701001</w:t>
            </w:r>
          </w:p>
          <w:p w14:paraId="BE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УФК по Новосибирской области (ЦХСФ лицевой счет 03671086940)</w:t>
            </w:r>
          </w:p>
          <w:p w14:paraId="BF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ОКЦ №1 СибГУ Банка  России//УФК по Новосибирской области, г.Новосибирск</w:t>
            </w:r>
          </w:p>
          <w:p w14:paraId="C0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казначейский счет: 03211643000000015114</w:t>
            </w:r>
          </w:p>
          <w:p w14:paraId="C1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банковский счет:    40102810445370000043</w:t>
            </w:r>
          </w:p>
          <w:p w14:paraId="C2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БИК: 015004950</w:t>
            </w:r>
          </w:p>
          <w:p w14:paraId="C3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ОКТМО 71715000</w:t>
            </w:r>
          </w:p>
          <w:p w14:paraId="C4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z w:val="24"/>
              </w:rPr>
              <w:t>Директор________________Д.С.Васильев</w:t>
            </w:r>
          </w:p>
          <w:p w14:paraId="C5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z w:val="24"/>
              </w:rPr>
              <w:t>М.П.</w:t>
            </w:r>
          </w:p>
        </w:tc>
        <w:tc>
          <w:tcPr>
            <w:tcW w:type="dxa" w:w="4935"/>
            <w:shd w:fill="auto" w:val="clear"/>
            <w:tcMar>
              <w:top w:type="dxa" w:w="0"/>
              <w:left w:type="dxa" w:w="108"/>
              <w:bottom w:type="dxa" w:w="0"/>
              <w:right w:type="dxa" w:w="108"/>
            </w:tcMar>
          </w:tcPr>
          <w:p w14:paraId="C600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ПОСТАВЩИК:</w:t>
            </w:r>
          </w:p>
        </w:tc>
      </w:tr>
    </w:tbl>
    <w:p w14:paraId="C7000000">
      <w:pPr>
        <w:pStyle w:val="Style_2"/>
        <w:spacing w:after="0" w:before="0" w:line="240" w:lineRule="auto"/>
        <w:ind/>
        <w:rPr>
          <w:rFonts w:ascii="Serif" w:hAnsi="Serif"/>
          <w:color w:val="000000"/>
          <w:sz w:val="24"/>
        </w:rPr>
      </w:pPr>
    </w:p>
    <w:p w14:paraId="C8000000">
      <w:pPr>
        <w:pStyle w:val="Style_2"/>
        <w:widowControl w:val="0"/>
        <w:spacing w:after="0" w:before="0" w:line="240" w:lineRule="auto"/>
        <w:ind w:firstLine="680" w:left="0" w:right="0"/>
        <w:jc w:val="right"/>
        <w:rPr>
          <w:rFonts w:ascii="Serif" w:hAnsi="Serif"/>
          <w:color w:val="000000"/>
          <w:sz w:val="24"/>
        </w:rPr>
      </w:pPr>
    </w:p>
    <w:p w14:paraId="C9000000">
      <w:pPr>
        <w:pStyle w:val="Style_2"/>
        <w:widowControl w:val="0"/>
        <w:spacing w:after="0" w:before="0" w:line="240" w:lineRule="auto"/>
        <w:ind w:firstLine="680" w:left="0" w:right="0"/>
        <w:jc w:val="right"/>
        <w:rPr>
          <w:rFonts w:ascii="Serif" w:hAnsi="Serif"/>
          <w:color w:val="000000"/>
          <w:sz w:val="24"/>
        </w:rPr>
      </w:pPr>
    </w:p>
    <w:p w14:paraId="CA000000">
      <w:pPr>
        <w:pStyle w:val="Style_2"/>
        <w:widowControl w:val="0"/>
        <w:spacing w:after="0" w:before="0" w:line="240" w:lineRule="auto"/>
        <w:ind w:firstLine="680" w:left="0" w:right="0"/>
        <w:jc w:val="right"/>
        <w:rPr>
          <w:rFonts w:ascii="Serif" w:hAnsi="Serif"/>
          <w:color w:val="000000"/>
          <w:sz w:val="24"/>
        </w:rPr>
      </w:pPr>
    </w:p>
    <w:p w14:paraId="CB000000">
      <w:pPr>
        <w:pStyle w:val="Style_2"/>
        <w:widowControl w:val="0"/>
        <w:spacing w:after="0" w:before="0" w:line="240" w:lineRule="auto"/>
        <w:ind w:firstLine="680" w:left="0" w:right="0"/>
        <w:jc w:val="right"/>
        <w:rPr>
          <w:rFonts w:ascii="Serif" w:hAnsi="Serif"/>
          <w:color w:val="000000"/>
          <w:sz w:val="24"/>
        </w:rPr>
      </w:pPr>
    </w:p>
    <w:p w14:paraId="CC000000">
      <w:pPr>
        <w:pStyle w:val="Style_2"/>
        <w:widowControl w:val="0"/>
        <w:spacing w:after="0" w:before="0" w:line="240" w:lineRule="auto"/>
        <w:ind w:firstLine="680" w:left="0" w:right="0"/>
        <w:jc w:val="right"/>
        <w:rPr>
          <w:rFonts w:ascii="Serif" w:hAnsi="Serif"/>
          <w:color w:val="000000"/>
          <w:sz w:val="24"/>
        </w:rPr>
      </w:pPr>
    </w:p>
    <w:p w14:paraId="CD000000">
      <w:pPr>
        <w:pStyle w:val="Style_2"/>
        <w:widowControl w:val="0"/>
        <w:spacing w:after="0" w:before="0" w:line="240" w:lineRule="auto"/>
        <w:ind w:firstLine="680" w:left="0" w:right="0"/>
        <w:jc w:val="right"/>
        <w:rPr>
          <w:rFonts w:ascii="Serif" w:hAnsi="Serif"/>
          <w:color w:val="000000"/>
          <w:sz w:val="24"/>
        </w:rPr>
      </w:pPr>
    </w:p>
    <w:p w14:paraId="CE000000">
      <w:pPr>
        <w:pStyle w:val="Style_2"/>
        <w:widowControl w:val="0"/>
        <w:spacing w:after="0" w:before="0" w:line="240" w:lineRule="auto"/>
        <w:ind w:firstLine="680" w:left="0" w:right="0"/>
        <w:jc w:val="right"/>
        <w:rPr>
          <w:rFonts w:ascii="Serif" w:hAnsi="Serif"/>
          <w:color w:val="000000"/>
          <w:sz w:val="24"/>
        </w:rPr>
      </w:pPr>
    </w:p>
    <w:p w14:paraId="CF000000">
      <w:pPr>
        <w:pStyle w:val="Style_2"/>
        <w:widowControl w:val="0"/>
        <w:spacing w:after="0" w:before="0" w:line="240" w:lineRule="auto"/>
        <w:ind w:firstLine="680" w:left="0" w:right="0"/>
        <w:jc w:val="right"/>
        <w:rPr>
          <w:rFonts w:ascii="Serif" w:hAnsi="Serif"/>
          <w:color w:val="000000"/>
          <w:sz w:val="24"/>
        </w:rPr>
      </w:pPr>
      <w:r>
        <w:rPr>
          <w:rFonts w:ascii="Serif" w:hAnsi="Serif"/>
          <w:color w:val="000000"/>
          <w:sz w:val="24"/>
        </w:rPr>
        <w:br w:type="column"/>
      </w:r>
      <w:r>
        <w:rPr>
          <w:rFonts w:ascii="Serif" w:hAnsi="Serif"/>
          <w:color w:val="000000"/>
          <w:sz w:val="24"/>
        </w:rPr>
        <w:t xml:space="preserve">Приложение № 1 </w:t>
      </w:r>
    </w:p>
    <w:p w14:paraId="D0000000">
      <w:pPr>
        <w:pStyle w:val="Style_2"/>
        <w:widowControl w:val="0"/>
        <w:spacing w:after="0" w:before="0" w:line="240" w:lineRule="auto"/>
        <w:ind w:firstLine="680" w:left="0" w:right="0"/>
        <w:jc w:val="right"/>
        <w:rPr>
          <w:rFonts w:ascii="Serif" w:hAnsi="Serif"/>
          <w:color w:val="000000"/>
          <w:sz w:val="24"/>
        </w:rPr>
      </w:pPr>
      <w:r>
        <w:rPr>
          <w:rFonts w:ascii="Serif" w:hAnsi="Serif"/>
          <w:color w:val="000000"/>
          <w:sz w:val="24"/>
        </w:rPr>
        <w:t>к Контракту №______</w:t>
      </w:r>
    </w:p>
    <w:p w14:paraId="D1000000">
      <w:pPr>
        <w:pStyle w:val="Style_2"/>
        <w:spacing w:after="0" w:before="0" w:line="240" w:lineRule="auto"/>
        <w:ind w:firstLine="680" w:left="0" w:right="0"/>
        <w:jc w:val="right"/>
        <w:rPr>
          <w:rFonts w:ascii="Serif" w:hAnsi="Serif"/>
          <w:color w:val="000000"/>
          <w:sz w:val="24"/>
        </w:rPr>
      </w:pPr>
      <w:r>
        <w:rPr>
          <w:rFonts w:ascii="Serif" w:hAnsi="Serif"/>
          <w:color w:val="000000"/>
          <w:sz w:val="24"/>
        </w:rPr>
        <w:t xml:space="preserve"> </w:t>
      </w:r>
      <w:r>
        <w:rPr>
          <w:rFonts w:ascii="Serif" w:hAnsi="Serif"/>
          <w:color w:val="000000"/>
          <w:sz w:val="24"/>
        </w:rPr>
        <w:t>от «____» __________ 2026 г.</w:t>
      </w:r>
    </w:p>
    <w:p w14:paraId="D2000000">
      <w:pPr>
        <w:pStyle w:val="Style_2"/>
        <w:spacing w:after="0" w:before="0" w:line="240" w:lineRule="auto"/>
        <w:ind w:firstLine="680" w:left="0" w:right="0"/>
        <w:jc w:val="both"/>
        <w:rPr>
          <w:rFonts w:ascii="Serif" w:hAnsi="Serif"/>
          <w:color w:val="000000"/>
          <w:sz w:val="24"/>
        </w:rPr>
      </w:pPr>
    </w:p>
    <w:p w14:paraId="D3000000">
      <w:pPr>
        <w:pStyle w:val="Style_7"/>
        <w:rPr>
          <w:rFonts w:ascii="Serif" w:hAnsi="Serif"/>
          <w:b w:val="0"/>
          <w:sz w:val="24"/>
        </w:rPr>
      </w:pPr>
    </w:p>
    <w:p w14:paraId="D4000000">
      <w:pPr>
        <w:pStyle w:val="Style_7"/>
        <w:ind/>
        <w:jc w:val="center"/>
        <w:rPr>
          <w:rFonts w:ascii="Serif" w:hAnsi="Serif"/>
          <w:b w:val="1"/>
          <w:sz w:val="24"/>
        </w:rPr>
      </w:pPr>
      <w:r>
        <w:rPr>
          <w:rFonts w:ascii="Serif" w:hAnsi="Serif"/>
          <w:b w:val="1"/>
          <w:sz w:val="24"/>
        </w:rPr>
        <w:t>ТЕХНИЧЕСКОЕ ЗАДАНИЕ</w:t>
      </w:r>
    </w:p>
    <w:p w14:paraId="D5000000">
      <w:pPr>
        <w:pStyle w:val="Style_7"/>
        <w:ind/>
        <w:jc w:val="center"/>
        <w:rPr>
          <w:rFonts w:ascii="Serif" w:hAnsi="Serif"/>
          <w:b w:val="0"/>
          <w:sz w:val="24"/>
        </w:rPr>
      </w:pPr>
      <w:r>
        <w:rPr>
          <w:rFonts w:ascii="Serif" w:hAnsi="Serif"/>
          <w:b w:val="0"/>
          <w:sz w:val="24"/>
        </w:rPr>
        <w:t xml:space="preserve">закупка по п. 5 ч.1. ст. 93  Федерального закона от 05.04.2013 № 44-ФЗ </w:t>
      </w:r>
    </w:p>
    <w:p w14:paraId="D6000000">
      <w:pPr>
        <w:pStyle w:val="Style_7"/>
        <w:rPr>
          <w:rFonts w:ascii="Serif" w:hAnsi="Serif"/>
          <w:b w:val="0"/>
          <w:sz w:val="24"/>
        </w:rPr>
      </w:pPr>
    </w:p>
    <w:p w14:paraId="D7000000">
      <w:pPr>
        <w:pStyle w:val="Style_7"/>
        <w:ind w:firstLine="567"/>
        <w:rPr>
          <w:rFonts w:ascii="Serif" w:hAnsi="Serif"/>
          <w:b w:val="1"/>
          <w:sz w:val="24"/>
        </w:rPr>
      </w:pPr>
      <w:r>
        <w:rPr>
          <w:rFonts w:ascii="Serif" w:hAnsi="Serif"/>
          <w:b w:val="1"/>
          <w:sz w:val="24"/>
        </w:rPr>
        <w:t>1. Наименование и перечень видов поставляемого товара</w:t>
      </w:r>
      <w:r>
        <w:rPr>
          <w:rFonts w:ascii="Serif" w:hAnsi="Serif"/>
          <w:b w:val="1"/>
          <w:sz w:val="24"/>
        </w:rPr>
        <w:t xml:space="preserve">: </w:t>
      </w:r>
    </w:p>
    <w:p w14:paraId="D8000000">
      <w:pPr>
        <w:pStyle w:val="Style_7"/>
        <w:rPr>
          <w:rFonts w:ascii="Serif" w:hAnsi="Serif"/>
          <w:b w:val="0"/>
          <w:sz w:val="24"/>
        </w:rPr>
      </w:pPr>
      <w:r>
        <w:rPr>
          <w:rFonts w:ascii="Serif" w:hAnsi="Serif"/>
          <w:b w:val="0"/>
          <w:sz w:val="24"/>
        </w:rPr>
        <w:t xml:space="preserve">  Расходные материалы для проведения работ по консервационно-профилактической обработке страхового фонда копий уникальных и особо ценных документов, хранящихся в федеральных архивах, в лаборатории федерального казенного учреждения «Центр хранения страхового фонда» (ЦХСФ) (</w:t>
      </w:r>
      <w:r>
        <w:rPr>
          <w:rFonts w:ascii="Serif" w:hAnsi="Serif"/>
          <w:b w:val="0"/>
          <w:sz w:val="24"/>
        </w:rPr>
        <w:t>Диоксан</w:t>
      </w:r>
      <w:r>
        <w:rPr>
          <w:rFonts w:ascii="Serif" w:hAnsi="Serif"/>
          <w:b w:val="0"/>
          <w:sz w:val="24"/>
        </w:rPr>
        <w:t xml:space="preserve"> 1.4 (</w:t>
      </w:r>
      <w:r>
        <w:rPr>
          <w:rFonts w:ascii="Serif" w:hAnsi="Serif"/>
          <w:b w:val="0"/>
          <w:sz w:val="24"/>
        </w:rPr>
        <w:t>чда</w:t>
      </w:r>
      <w:r>
        <w:rPr>
          <w:rFonts w:ascii="Serif" w:hAnsi="Serif"/>
          <w:b w:val="0"/>
          <w:sz w:val="24"/>
        </w:rPr>
        <w:t xml:space="preserve">), </w:t>
      </w:r>
      <w:r>
        <w:rPr>
          <w:rFonts w:ascii="Serif" w:hAnsi="Serif"/>
          <w:b w:val="0"/>
          <w:sz w:val="24"/>
        </w:rPr>
        <w:t>Ацетон (</w:t>
      </w:r>
      <w:r>
        <w:rPr>
          <w:rFonts w:ascii="Serif" w:hAnsi="Serif"/>
          <w:b w:val="0"/>
          <w:sz w:val="24"/>
        </w:rPr>
        <w:t>чда</w:t>
      </w:r>
      <w:r>
        <w:rPr>
          <w:rFonts w:ascii="Serif" w:hAnsi="Serif"/>
          <w:b w:val="0"/>
          <w:sz w:val="24"/>
        </w:rPr>
        <w:t>) и Формалин технический).</w:t>
      </w:r>
    </w:p>
    <w:p w14:paraId="D9000000">
      <w:pPr>
        <w:pStyle w:val="Style_7"/>
        <w:rPr>
          <w:rFonts w:ascii="Serif" w:hAnsi="Serif"/>
          <w:b w:val="0"/>
          <w:sz w:val="24"/>
        </w:rPr>
      </w:pPr>
      <w:r>
        <w:rPr>
          <w:rFonts w:ascii="Serif" w:hAnsi="Serif"/>
          <w:b w:val="0"/>
          <w:sz w:val="24"/>
        </w:rPr>
        <w:t xml:space="preserve">Краткое описание сущности заказа в целом: </w:t>
      </w:r>
    </w:p>
    <w:p w14:paraId="DA000000">
      <w:pPr>
        <w:pStyle w:val="Style_7"/>
        <w:rPr>
          <w:rFonts w:ascii="Serif" w:hAnsi="Serif"/>
          <w:b w:val="0"/>
          <w:sz w:val="24"/>
        </w:rPr>
      </w:pPr>
      <w:r>
        <w:rPr>
          <w:rFonts w:ascii="Serif" w:hAnsi="Serif"/>
          <w:b w:val="0"/>
          <w:sz w:val="24"/>
        </w:rPr>
        <w:t xml:space="preserve">Поставка расходных материалов для проведения работ по консервационно-профилактической обработке страхового фонда копий уникальных и особо ценных документов, хранящихся в федеральных архивах, в лаборатории федерального казенного учреждения «Центр хранения страхового фонда» (ЦХСФ) (далее – Государственный заказчик). </w:t>
      </w:r>
      <w:r>
        <w:rPr>
          <w:rFonts w:ascii="Serif" w:hAnsi="Serif"/>
          <w:b w:val="0"/>
          <w:sz w:val="24"/>
        </w:rPr>
        <w:t xml:space="preserve"> </w:t>
      </w:r>
    </w:p>
    <w:p w14:paraId="DB000000">
      <w:pPr>
        <w:pStyle w:val="Style_7"/>
        <w:rPr>
          <w:rFonts w:ascii="Serif" w:hAnsi="Serif"/>
          <w:b w:val="0"/>
          <w:sz w:val="24"/>
        </w:rPr>
      </w:pPr>
      <w:r>
        <w:rPr>
          <w:rFonts w:ascii="Serif" w:hAnsi="Serif"/>
          <w:b w:val="0"/>
          <w:sz w:val="24"/>
        </w:rPr>
        <w:t xml:space="preserve">Код поставляемых товаров по Общероссийскому классификатору продукции по видам экономической деятельности (ОКПД-2), соответствующий предмету государственного контракта:                                                                                                                                               </w:t>
      </w:r>
    </w:p>
    <w:p w14:paraId="DC000000">
      <w:pPr>
        <w:pStyle w:val="Style_7"/>
        <w:rPr>
          <w:rFonts w:ascii="Serif" w:hAnsi="Serif"/>
          <w:b w:val="0"/>
          <w:sz w:val="24"/>
        </w:rPr>
      </w:pPr>
      <w:r>
        <w:rPr>
          <w:rFonts w:ascii="Serif" w:hAnsi="Serif"/>
          <w:b w:val="0"/>
          <w:sz w:val="24"/>
        </w:rPr>
        <w:t xml:space="preserve">Реактив химический </w:t>
      </w:r>
      <w:r>
        <w:rPr>
          <w:rFonts w:ascii="Serif" w:hAnsi="Serif"/>
          <w:b w:val="0"/>
          <w:sz w:val="24"/>
        </w:rPr>
        <w:t>Диоксан</w:t>
      </w:r>
      <w:r>
        <w:rPr>
          <w:rFonts w:ascii="Serif" w:hAnsi="Serif"/>
          <w:b w:val="0"/>
          <w:sz w:val="24"/>
        </w:rPr>
        <w:t xml:space="preserve"> 1.4 (</w:t>
      </w:r>
      <w:r>
        <w:rPr>
          <w:rFonts w:ascii="Serif" w:hAnsi="Serif"/>
          <w:b w:val="0"/>
          <w:sz w:val="24"/>
        </w:rPr>
        <w:t>чда</w:t>
      </w:r>
      <w:r>
        <w:rPr>
          <w:rFonts w:ascii="Serif" w:hAnsi="Serif"/>
          <w:b w:val="0"/>
          <w:sz w:val="24"/>
        </w:rPr>
        <w:t>) — 20.59.52.194 — «Реактивы химические общелабораторного назначения»;</w:t>
      </w:r>
    </w:p>
    <w:p w14:paraId="DD000000">
      <w:pPr>
        <w:pStyle w:val="Style_7"/>
        <w:rPr>
          <w:rFonts w:ascii="Serif" w:hAnsi="Serif"/>
          <w:b w:val="0"/>
          <w:sz w:val="24"/>
        </w:rPr>
      </w:pPr>
      <w:r>
        <w:rPr>
          <w:rFonts w:ascii="Serif" w:hAnsi="Serif"/>
          <w:b w:val="0"/>
          <w:sz w:val="24"/>
        </w:rPr>
        <w:t>Реактив химический Ацетон, (</w:t>
      </w:r>
      <w:r>
        <w:rPr>
          <w:rFonts w:ascii="Serif" w:hAnsi="Serif"/>
          <w:b w:val="0"/>
          <w:sz w:val="24"/>
        </w:rPr>
        <w:t>чда</w:t>
      </w:r>
      <w:r>
        <w:rPr>
          <w:rFonts w:ascii="Serif" w:hAnsi="Serif"/>
          <w:b w:val="0"/>
          <w:sz w:val="24"/>
        </w:rPr>
        <w:t>) - 20.59.52.194</w:t>
      </w:r>
      <w:r>
        <w:rPr>
          <w:rFonts w:ascii="Serif" w:hAnsi="Serif"/>
          <w:b w:val="0"/>
          <w:sz w:val="24"/>
        </w:rPr>
        <w:t xml:space="preserve"> - «Реактивы химические общелабораторного назначения»</w:t>
      </w:r>
      <w:r>
        <w:rPr>
          <w:rFonts w:ascii="Serif" w:hAnsi="Serif"/>
          <w:b w:val="0"/>
          <w:sz w:val="24"/>
        </w:rPr>
        <w:t>;</w:t>
      </w:r>
    </w:p>
    <w:p w14:paraId="DE000000">
      <w:pPr>
        <w:pStyle w:val="Style_7"/>
        <w:rPr>
          <w:rFonts w:ascii="Serif" w:hAnsi="Serif"/>
          <w:b w:val="0"/>
          <w:sz w:val="24"/>
        </w:rPr>
      </w:pPr>
      <w:r>
        <w:rPr>
          <w:rFonts w:ascii="Serif" w:hAnsi="Serif"/>
          <w:b w:val="0"/>
          <w:sz w:val="24"/>
        </w:rPr>
        <w:t xml:space="preserve">Формалин технический - </w:t>
      </w:r>
      <w:r>
        <w:rPr>
          <w:rFonts w:ascii="Serif" w:hAnsi="Serif"/>
          <w:b w:val="0"/>
          <w:sz w:val="24"/>
        </w:rPr>
        <w:t>20.14.61.000</w:t>
      </w:r>
      <w:r>
        <w:rPr>
          <w:rFonts w:ascii="Serif" w:hAnsi="Serif"/>
          <w:b w:val="0"/>
          <w:sz w:val="24"/>
        </w:rPr>
        <w:t xml:space="preserve"> - </w:t>
      </w:r>
      <w:r>
        <w:rPr>
          <w:rFonts w:ascii="Serif" w:hAnsi="Serif"/>
          <w:b w:val="0"/>
          <w:sz w:val="24"/>
        </w:rPr>
        <w:t xml:space="preserve">«Соединения с альдегидной функциональной группой». </w:t>
      </w:r>
    </w:p>
    <w:p w14:paraId="DF000000">
      <w:pPr>
        <w:pStyle w:val="Style_7"/>
        <w:ind w:firstLine="567"/>
        <w:rPr>
          <w:rFonts w:ascii="Serif" w:hAnsi="Serif"/>
          <w:b w:val="1"/>
          <w:sz w:val="24"/>
        </w:rPr>
      </w:pPr>
      <w:r>
        <w:rPr>
          <w:rFonts w:ascii="Serif" w:hAnsi="Serif"/>
          <w:b w:val="1"/>
          <w:sz w:val="24"/>
        </w:rPr>
        <w:t>2. Количество поставляемого товара</w:t>
      </w:r>
      <w:r>
        <w:rPr>
          <w:rFonts w:ascii="Serif" w:hAnsi="Serif"/>
          <w:b w:val="1"/>
          <w:sz w:val="24"/>
        </w:rPr>
        <w:t xml:space="preserve">:  </w:t>
      </w:r>
    </w:p>
    <w:p w14:paraId="E0000000">
      <w:pPr>
        <w:pStyle w:val="Style_7"/>
        <w:rPr>
          <w:rFonts w:ascii="Serif" w:hAnsi="Serif"/>
          <w:b w:val="0"/>
          <w:sz w:val="24"/>
        </w:rPr>
      </w:pPr>
      <w:r>
        <w:rPr>
          <w:rFonts w:ascii="Serif" w:hAnsi="Serif"/>
          <w:b w:val="0"/>
          <w:sz w:val="24"/>
        </w:rPr>
        <w:t xml:space="preserve"> Диоксан</w:t>
      </w:r>
      <w:r>
        <w:rPr>
          <w:rFonts w:ascii="Serif" w:hAnsi="Serif"/>
          <w:b w:val="0"/>
          <w:sz w:val="24"/>
        </w:rPr>
        <w:t xml:space="preserve"> 1.4 (</w:t>
      </w:r>
      <w:r>
        <w:rPr>
          <w:rFonts w:ascii="Serif" w:hAnsi="Serif"/>
          <w:b w:val="0"/>
          <w:sz w:val="24"/>
        </w:rPr>
        <w:t>чда</w:t>
      </w:r>
      <w:r>
        <w:rPr>
          <w:rFonts w:ascii="Serif" w:hAnsi="Serif"/>
          <w:b w:val="0"/>
          <w:sz w:val="24"/>
        </w:rPr>
        <w:t xml:space="preserve">) </w:t>
      </w:r>
      <w:r>
        <w:rPr>
          <w:rFonts w:ascii="Serif" w:hAnsi="Serif"/>
          <w:b w:val="0"/>
          <w:sz w:val="24"/>
        </w:rPr>
        <w:t>ГОСТ 10455-80</w:t>
      </w:r>
      <w:r>
        <w:rPr>
          <w:rFonts w:ascii="Serif" w:hAnsi="Serif"/>
          <w:b w:val="0"/>
          <w:sz w:val="24"/>
        </w:rPr>
        <w:t>. Единица упаковки</w:t>
      </w:r>
      <w:r>
        <w:rPr>
          <w:rFonts w:ascii="Serif" w:hAnsi="Serif"/>
          <w:b w:val="0"/>
          <w:sz w:val="24"/>
        </w:rPr>
        <w:t xml:space="preserve"> - стеклянная бутылка 1,03 кг. </w:t>
      </w:r>
    </w:p>
    <w:p w14:paraId="E1000000">
      <w:pPr>
        <w:pStyle w:val="Style_7"/>
        <w:rPr>
          <w:rFonts w:ascii="Serif" w:hAnsi="Serif"/>
          <w:b w:val="0"/>
          <w:sz w:val="24"/>
        </w:rPr>
      </w:pPr>
      <w:r>
        <w:rPr>
          <w:rFonts w:ascii="Serif" w:hAnsi="Serif"/>
          <w:b w:val="0"/>
          <w:sz w:val="24"/>
        </w:rPr>
        <w:t>Всего: 1 бутылка = 1,03 кг.</w:t>
      </w:r>
    </w:p>
    <w:p w14:paraId="E2000000">
      <w:pPr>
        <w:pStyle w:val="Style_7"/>
        <w:rPr>
          <w:rFonts w:ascii="Serif" w:hAnsi="Serif"/>
          <w:b w:val="0"/>
          <w:sz w:val="24"/>
        </w:rPr>
      </w:pPr>
      <w:r>
        <w:rPr>
          <w:rFonts w:ascii="Serif" w:hAnsi="Serif"/>
          <w:b w:val="0"/>
          <w:sz w:val="24"/>
        </w:rPr>
        <w:t>Ацетон (</w:t>
      </w:r>
      <w:r>
        <w:rPr>
          <w:rFonts w:ascii="Serif" w:hAnsi="Serif"/>
          <w:b w:val="0"/>
          <w:sz w:val="24"/>
        </w:rPr>
        <w:t>чда</w:t>
      </w:r>
      <w:r>
        <w:rPr>
          <w:rFonts w:ascii="Serif" w:hAnsi="Serif"/>
          <w:b w:val="0"/>
          <w:sz w:val="24"/>
        </w:rPr>
        <w:t xml:space="preserve">) ГОСТ 2603-79. </w:t>
      </w:r>
      <w:r>
        <w:rPr>
          <w:rFonts w:ascii="Serif" w:hAnsi="Serif"/>
          <w:b w:val="0"/>
          <w:sz w:val="24"/>
        </w:rPr>
        <w:t>Единица упаковки</w:t>
      </w:r>
      <w:r>
        <w:rPr>
          <w:rFonts w:ascii="Serif" w:hAnsi="Serif"/>
          <w:b w:val="0"/>
          <w:sz w:val="24"/>
        </w:rPr>
        <w:t xml:space="preserve"> - стеклянная бутылка 0,8 кг. </w:t>
      </w:r>
    </w:p>
    <w:p w14:paraId="E3000000">
      <w:pPr>
        <w:pStyle w:val="Style_7"/>
        <w:rPr>
          <w:rFonts w:ascii="Serif" w:hAnsi="Serif"/>
          <w:b w:val="0"/>
          <w:sz w:val="24"/>
        </w:rPr>
      </w:pPr>
      <w:r>
        <w:rPr>
          <w:rFonts w:ascii="Serif" w:hAnsi="Serif"/>
          <w:b w:val="0"/>
          <w:sz w:val="24"/>
        </w:rPr>
        <w:t>Всего: 2 бутылки = 1,6 кг.</w:t>
      </w:r>
    </w:p>
    <w:p w14:paraId="E4000000">
      <w:pPr>
        <w:pStyle w:val="Style_7"/>
        <w:rPr>
          <w:rFonts w:ascii="Serif" w:hAnsi="Serif"/>
          <w:b w:val="0"/>
          <w:sz w:val="24"/>
        </w:rPr>
      </w:pPr>
      <w:r>
        <w:rPr>
          <w:rFonts w:ascii="Serif" w:hAnsi="Serif"/>
          <w:b w:val="0"/>
          <w:sz w:val="24"/>
        </w:rPr>
        <w:t xml:space="preserve">Формалин технический. </w:t>
      </w:r>
      <w:r>
        <w:rPr>
          <w:rFonts w:ascii="Serif" w:hAnsi="Serif"/>
          <w:b w:val="0"/>
          <w:sz w:val="24"/>
        </w:rPr>
        <w:t>Единица упаковки</w:t>
      </w:r>
      <w:r>
        <w:rPr>
          <w:rFonts w:ascii="Serif" w:hAnsi="Serif"/>
          <w:b w:val="0"/>
          <w:sz w:val="24"/>
        </w:rPr>
        <w:t xml:space="preserve"> – пластиковая канистра 5 кг. </w:t>
      </w:r>
    </w:p>
    <w:p w14:paraId="E5000000">
      <w:pPr>
        <w:pStyle w:val="Style_7"/>
        <w:rPr>
          <w:rFonts w:ascii="Serif" w:hAnsi="Serif"/>
          <w:b w:val="0"/>
          <w:sz w:val="24"/>
        </w:rPr>
      </w:pPr>
      <w:r>
        <w:rPr>
          <w:rFonts w:ascii="Serif" w:hAnsi="Serif"/>
          <w:b w:val="0"/>
          <w:sz w:val="24"/>
        </w:rPr>
        <w:t xml:space="preserve">            Всего: 2 канистры = 10 кг.</w:t>
      </w:r>
    </w:p>
    <w:p w14:paraId="E6000000">
      <w:pPr>
        <w:pStyle w:val="Style_7"/>
        <w:ind w:firstLine="567"/>
        <w:rPr>
          <w:rFonts w:ascii="Serif" w:hAnsi="Serif"/>
          <w:b w:val="1"/>
          <w:sz w:val="24"/>
        </w:rPr>
      </w:pPr>
      <w:r>
        <w:rPr>
          <w:rFonts w:ascii="Serif" w:hAnsi="Serif"/>
          <w:b w:val="1"/>
          <w:sz w:val="24"/>
        </w:rPr>
        <w:t>3. Источник финансирования государственного заказа</w:t>
      </w:r>
      <w:r>
        <w:rPr>
          <w:rFonts w:ascii="Serif" w:hAnsi="Serif"/>
          <w:b w:val="1"/>
          <w:sz w:val="24"/>
        </w:rPr>
        <w:t xml:space="preserve">: </w:t>
      </w:r>
    </w:p>
    <w:p w14:paraId="E7000000">
      <w:pPr>
        <w:pStyle w:val="Style_7"/>
        <w:rPr>
          <w:rFonts w:ascii="Serif" w:hAnsi="Serif"/>
          <w:b w:val="0"/>
          <w:sz w:val="24"/>
        </w:rPr>
      </w:pPr>
      <w:r>
        <w:rPr>
          <w:rFonts w:ascii="Serif" w:hAnsi="Serif"/>
          <w:b w:val="0"/>
          <w:sz w:val="24"/>
        </w:rPr>
        <w:t xml:space="preserve"> Средства федерального бюджета Российской Федерации, выделенные на 2026 год, приказ Росархива  № 186 от 19.12.2025</w:t>
      </w:r>
      <w:r>
        <w:rPr>
          <w:rFonts w:ascii="Serif" w:hAnsi="Serif"/>
          <w:b w:val="0"/>
          <w:sz w:val="24"/>
        </w:rPr>
        <w:t>.</w:t>
      </w:r>
      <w:r>
        <w:rPr>
          <w:rFonts w:ascii="Serif" w:hAnsi="Serif"/>
          <w:b w:val="0"/>
          <w:sz w:val="24"/>
        </w:rPr>
        <w:t xml:space="preserve"> </w:t>
      </w:r>
    </w:p>
    <w:p w14:paraId="E8000000">
      <w:pPr>
        <w:pStyle w:val="Style_7"/>
        <w:ind w:firstLine="567"/>
        <w:rPr>
          <w:rFonts w:ascii="Serif" w:hAnsi="Serif"/>
          <w:b w:val="1"/>
          <w:sz w:val="24"/>
        </w:rPr>
      </w:pPr>
      <w:r>
        <w:rPr>
          <w:rFonts w:ascii="Serif" w:hAnsi="Serif"/>
          <w:b w:val="1"/>
          <w:sz w:val="24"/>
        </w:rPr>
        <w:t>4. Форма, сроки и порядок оплаты товара:</w:t>
      </w:r>
      <w:r>
        <w:rPr>
          <w:rFonts w:ascii="Serif" w:hAnsi="Serif"/>
          <w:b w:val="1"/>
          <w:sz w:val="24"/>
        </w:rPr>
        <w:t xml:space="preserve">  </w:t>
      </w:r>
      <w:r>
        <w:rPr>
          <w:rFonts w:ascii="Serif" w:hAnsi="Serif"/>
          <w:b w:val="1"/>
          <w:sz w:val="24"/>
        </w:rPr>
        <w:t xml:space="preserve">   </w:t>
      </w:r>
    </w:p>
    <w:p w14:paraId="E9000000">
      <w:pPr>
        <w:pStyle w:val="Style_7"/>
        <w:rPr>
          <w:rFonts w:ascii="Serif" w:hAnsi="Serif"/>
          <w:b w:val="0"/>
          <w:sz w:val="24"/>
        </w:rPr>
      </w:pPr>
      <w:r>
        <w:rPr>
          <w:rFonts w:ascii="Serif" w:hAnsi="Serif"/>
          <w:b w:val="0"/>
          <w:sz w:val="24"/>
        </w:rPr>
        <w:t xml:space="preserve">  Оплата осуществляется в безналичной форме в соответствии с доведенными лимитами бюджетных обязательств.</w:t>
      </w:r>
    </w:p>
    <w:p w14:paraId="EA000000">
      <w:pPr>
        <w:pStyle w:val="Style_7"/>
        <w:rPr>
          <w:rFonts w:ascii="Serif" w:hAnsi="Serif"/>
          <w:b w:val="0"/>
          <w:sz w:val="24"/>
        </w:rPr>
      </w:pPr>
      <w:r>
        <w:rPr>
          <w:rFonts w:ascii="Serif" w:hAnsi="Serif"/>
          <w:b w:val="0"/>
          <w:sz w:val="24"/>
        </w:rPr>
        <w:t xml:space="preserve"> Оплата производится по факту поставки товара. Государственный заказчик производит оплату путем перечисления денежных средств на расчетный счет Поставщика в течение 7 (семи) рабочих дней со дня, следующего за днём подписания Государственным заказчиком документа о приёмке товара. </w:t>
      </w:r>
    </w:p>
    <w:p w14:paraId="EB000000">
      <w:pPr>
        <w:pStyle w:val="Style_7"/>
        <w:rPr>
          <w:rFonts w:ascii="Serif" w:hAnsi="Serif"/>
          <w:b w:val="0"/>
          <w:sz w:val="24"/>
        </w:rPr>
      </w:pPr>
      <w:r>
        <w:rPr>
          <w:rFonts w:ascii="Serif" w:hAnsi="Serif"/>
          <w:b w:val="0"/>
          <w:sz w:val="24"/>
        </w:rPr>
        <w:t xml:space="preserve"> Авансирование не предусмотрено. </w:t>
      </w:r>
    </w:p>
    <w:p w14:paraId="EC000000">
      <w:pPr>
        <w:pStyle w:val="Style_7"/>
        <w:ind w:firstLine="567"/>
        <w:rPr>
          <w:rFonts w:ascii="Serif" w:hAnsi="Serif"/>
          <w:b w:val="1"/>
          <w:sz w:val="24"/>
        </w:rPr>
      </w:pPr>
      <w:r>
        <w:rPr>
          <w:rFonts w:ascii="Serif" w:hAnsi="Serif"/>
          <w:b w:val="1"/>
          <w:sz w:val="24"/>
        </w:rPr>
        <w:t xml:space="preserve">5. Начальная (максимальная) цена государственного контракта: </w:t>
      </w:r>
    </w:p>
    <w:p w14:paraId="ED000000">
      <w:pPr>
        <w:pStyle w:val="Style_7"/>
        <w:rPr>
          <w:rFonts w:ascii="Serif" w:hAnsi="Serif"/>
          <w:b w:val="0"/>
          <w:sz w:val="24"/>
        </w:rPr>
      </w:pPr>
      <w:r>
        <w:rPr>
          <w:rFonts w:ascii="Serif" w:hAnsi="Serif"/>
          <w:b w:val="0"/>
          <w:sz w:val="24"/>
        </w:rPr>
        <w:t>5 081 (Пять тысяч  восемьдесят один) рубль 29 копеек.</w:t>
      </w:r>
    </w:p>
    <w:p w14:paraId="EE000000">
      <w:pPr>
        <w:pStyle w:val="Style_7"/>
        <w:ind w:firstLine="567"/>
        <w:rPr>
          <w:rFonts w:ascii="Serif" w:hAnsi="Serif"/>
          <w:b w:val="1"/>
          <w:sz w:val="24"/>
        </w:rPr>
      </w:pPr>
      <w:r>
        <w:rPr>
          <w:rFonts w:ascii="Serif" w:hAnsi="Serif"/>
          <w:b w:val="1"/>
          <w:sz w:val="24"/>
        </w:rPr>
        <w:t>6. Порядок формирования цены государственного контракта</w:t>
      </w:r>
      <w:r>
        <w:rPr>
          <w:rFonts w:ascii="Serif" w:hAnsi="Serif"/>
          <w:b w:val="1"/>
          <w:sz w:val="24"/>
        </w:rPr>
        <w:t xml:space="preserve">: </w:t>
      </w:r>
    </w:p>
    <w:p w14:paraId="EF000000">
      <w:pPr>
        <w:pStyle w:val="Style_7"/>
        <w:rPr>
          <w:rFonts w:ascii="Serif" w:hAnsi="Serif"/>
          <w:b w:val="0"/>
          <w:sz w:val="24"/>
        </w:rPr>
      </w:pPr>
      <w:r>
        <w:rPr>
          <w:rFonts w:ascii="Serif" w:hAnsi="Serif"/>
          <w:b w:val="0"/>
          <w:sz w:val="24"/>
        </w:rPr>
        <w:t xml:space="preserve"> Цена сформирована с учетом накладных, транспортных расходов, налогов, расходов на погрузочно-разгрузочные работы, затрат по доставке товара по адресу Государственного заказчика, страхованию, уплате таможенных пошлин и всех иных расходов, связанных с выполнением обязательств Поставщика.</w:t>
      </w:r>
    </w:p>
    <w:p w14:paraId="F0000000">
      <w:pPr>
        <w:pStyle w:val="Style_7"/>
        <w:ind w:firstLine="567"/>
        <w:rPr>
          <w:rFonts w:ascii="Serif" w:hAnsi="Serif"/>
          <w:b w:val="1"/>
          <w:sz w:val="24"/>
        </w:rPr>
      </w:pPr>
      <w:r>
        <w:rPr>
          <w:rFonts w:ascii="Serif" w:hAnsi="Serif"/>
          <w:b w:val="1"/>
          <w:sz w:val="24"/>
        </w:rPr>
        <w:t>7. Место поставки товара:</w:t>
      </w:r>
      <w:r>
        <w:rPr>
          <w:rFonts w:ascii="Serif" w:hAnsi="Serif"/>
          <w:b w:val="1"/>
          <w:sz w:val="24"/>
        </w:rPr>
        <w:t xml:space="preserve"> </w:t>
      </w:r>
    </w:p>
    <w:p w14:paraId="F1000000">
      <w:pPr>
        <w:pStyle w:val="Style_7"/>
        <w:rPr>
          <w:rFonts w:ascii="Serif" w:hAnsi="Serif"/>
          <w:b w:val="0"/>
          <w:sz w:val="24"/>
        </w:rPr>
      </w:pPr>
      <w:r>
        <w:rPr>
          <w:rFonts w:ascii="Serif" w:hAnsi="Serif"/>
          <w:b w:val="0"/>
          <w:sz w:val="24"/>
        </w:rPr>
        <w:t xml:space="preserve"> Федеральное казенное учреждение «Центр хранения страхового фонда» (ЦХСФ): 627014, </w:t>
      </w:r>
      <w:r>
        <w:rPr>
          <w:rFonts w:ascii="Serif" w:hAnsi="Serif"/>
          <w:b w:val="0"/>
          <w:sz w:val="24"/>
        </w:rPr>
        <w:t>Тюменская</w:t>
      </w:r>
      <w:r>
        <w:rPr>
          <w:rFonts w:ascii="Serif" w:hAnsi="Serif"/>
          <w:b w:val="0"/>
          <w:sz w:val="24"/>
        </w:rPr>
        <w:t xml:space="preserve"> обл., г. Ялуторовск, ул. </w:t>
      </w:r>
      <w:r>
        <w:rPr>
          <w:rFonts w:ascii="Serif" w:hAnsi="Serif"/>
          <w:b w:val="0"/>
          <w:sz w:val="24"/>
        </w:rPr>
        <w:t>Ишимская</w:t>
      </w:r>
      <w:r>
        <w:rPr>
          <w:rFonts w:ascii="Serif" w:hAnsi="Serif"/>
          <w:b w:val="0"/>
          <w:sz w:val="24"/>
        </w:rPr>
        <w:t>,</w:t>
      </w:r>
      <w:r>
        <w:rPr>
          <w:rFonts w:ascii="Serif" w:hAnsi="Serif"/>
          <w:b w:val="0"/>
          <w:sz w:val="24"/>
        </w:rPr>
        <w:t xml:space="preserve"> </w:t>
      </w:r>
      <w:r>
        <w:rPr>
          <w:rFonts w:ascii="Serif" w:hAnsi="Serif"/>
          <w:b w:val="0"/>
          <w:sz w:val="24"/>
        </w:rPr>
        <w:t>д.</w:t>
      </w:r>
      <w:r>
        <w:rPr>
          <w:rFonts w:ascii="Serif" w:hAnsi="Serif"/>
          <w:b w:val="0"/>
          <w:sz w:val="24"/>
        </w:rPr>
        <w:t xml:space="preserve"> </w:t>
      </w:r>
      <w:r>
        <w:rPr>
          <w:rFonts w:ascii="Serif" w:hAnsi="Serif"/>
          <w:b w:val="0"/>
          <w:sz w:val="24"/>
        </w:rPr>
        <w:t>138.</w:t>
      </w:r>
    </w:p>
    <w:p w14:paraId="F2000000">
      <w:pPr>
        <w:pStyle w:val="Style_7"/>
        <w:ind w:firstLine="567"/>
        <w:rPr>
          <w:rFonts w:ascii="Serif" w:hAnsi="Serif"/>
          <w:b w:val="1"/>
          <w:sz w:val="24"/>
        </w:rPr>
      </w:pPr>
      <w:r>
        <w:rPr>
          <w:rFonts w:ascii="Serif" w:hAnsi="Serif"/>
          <w:b w:val="1"/>
          <w:sz w:val="24"/>
        </w:rPr>
        <w:t xml:space="preserve">8. Сроки поставки товара:   </w:t>
      </w:r>
    </w:p>
    <w:p w14:paraId="F3000000">
      <w:pPr>
        <w:pStyle w:val="Style_7"/>
        <w:rPr>
          <w:rFonts w:ascii="Serif" w:hAnsi="Serif"/>
          <w:b w:val="0"/>
          <w:sz w:val="24"/>
        </w:rPr>
      </w:pPr>
      <w:r>
        <w:rPr>
          <w:rFonts w:ascii="Serif" w:hAnsi="Serif"/>
          <w:b w:val="0"/>
          <w:sz w:val="24"/>
        </w:rPr>
        <w:t xml:space="preserve"> Поставка товара осуществляется одним этапом с даты заключения Государственного контракта </w:t>
      </w:r>
      <w:r>
        <w:rPr>
          <w:rFonts w:ascii="Serif" w:hAnsi="Serif"/>
          <w:b w:val="0"/>
          <w:sz w:val="24"/>
        </w:rPr>
        <w:t xml:space="preserve"> по 11.05.2026 г.</w:t>
      </w:r>
    </w:p>
    <w:p w14:paraId="F4000000">
      <w:pPr>
        <w:pStyle w:val="Style_7"/>
        <w:ind w:firstLine="567"/>
        <w:rPr>
          <w:rFonts w:ascii="Serif" w:hAnsi="Serif"/>
          <w:b w:val="1"/>
          <w:sz w:val="24"/>
        </w:rPr>
      </w:pPr>
      <w:r>
        <w:rPr>
          <w:rFonts w:ascii="Serif" w:hAnsi="Serif"/>
          <w:b w:val="1"/>
          <w:sz w:val="24"/>
        </w:rPr>
        <w:t>9. Назначение товара и цели использования:</w:t>
      </w:r>
    </w:p>
    <w:p w14:paraId="F5000000">
      <w:pPr>
        <w:pStyle w:val="Style_7"/>
        <w:rPr>
          <w:rFonts w:ascii="Serif" w:hAnsi="Serif"/>
          <w:b w:val="0"/>
          <w:sz w:val="24"/>
        </w:rPr>
      </w:pPr>
      <w:r>
        <w:rPr>
          <w:rFonts w:ascii="Serif" w:hAnsi="Serif"/>
          <w:b w:val="0"/>
          <w:sz w:val="24"/>
        </w:rPr>
        <w:t xml:space="preserve"> Диоксан</w:t>
      </w:r>
      <w:r>
        <w:rPr>
          <w:rFonts w:ascii="Serif" w:hAnsi="Serif"/>
          <w:b w:val="0"/>
          <w:sz w:val="24"/>
        </w:rPr>
        <w:t xml:space="preserve"> 1.4 (</w:t>
      </w:r>
      <w:r>
        <w:rPr>
          <w:rFonts w:ascii="Serif" w:hAnsi="Serif"/>
          <w:b w:val="0"/>
          <w:sz w:val="24"/>
        </w:rPr>
        <w:t>чда</w:t>
      </w:r>
      <w:r>
        <w:rPr>
          <w:rFonts w:ascii="Serif" w:hAnsi="Serif"/>
          <w:b w:val="0"/>
          <w:sz w:val="24"/>
        </w:rPr>
        <w:t>) и Ацетон, (</w:t>
      </w:r>
      <w:r>
        <w:rPr>
          <w:rFonts w:ascii="Serif" w:hAnsi="Serif"/>
          <w:b w:val="0"/>
          <w:sz w:val="24"/>
        </w:rPr>
        <w:t>чда</w:t>
      </w:r>
      <w:r>
        <w:rPr>
          <w:rFonts w:ascii="Serif" w:hAnsi="Serif"/>
          <w:b w:val="0"/>
          <w:sz w:val="24"/>
        </w:rPr>
        <w:t xml:space="preserve">) применяются для приготовления специального клея ГОСТ Р13.1.107-2005, (Типовой технологический регламент изготовления микрофильмов страхового фонда и фонда пользования на галогенсеребряной рулонной пленке РГАНТД 1999г.), который используется для склеивания микрофильмов на триацетатной основе при выполнении работ по подготовке страховых копий (контроль качества и прочность склеек) к проведению консервационно-профилактической обработки, а </w:t>
      </w:r>
      <w:r>
        <w:rPr>
          <w:rFonts w:ascii="Serif" w:hAnsi="Serif"/>
          <w:b w:val="0"/>
          <w:sz w:val="24"/>
        </w:rPr>
        <w:t>также</w:t>
      </w:r>
      <w:r>
        <w:rPr>
          <w:rFonts w:ascii="Serif" w:hAnsi="Serif"/>
          <w:b w:val="0"/>
          <w:sz w:val="24"/>
        </w:rPr>
        <w:t xml:space="preserve"> работ по контролю</w:t>
      </w:r>
      <w:r>
        <w:rPr>
          <w:rFonts w:ascii="Serif" w:hAnsi="Serif"/>
          <w:b w:val="0"/>
          <w:sz w:val="24"/>
        </w:rPr>
        <w:t xml:space="preserve"> технического состояния страховых копий на рулонной пленке.</w:t>
      </w:r>
    </w:p>
    <w:p w14:paraId="F6000000">
      <w:pPr>
        <w:pStyle w:val="Style_7"/>
        <w:rPr>
          <w:rFonts w:ascii="Serif" w:hAnsi="Serif"/>
          <w:b w:val="0"/>
          <w:sz w:val="24"/>
        </w:rPr>
      </w:pPr>
      <w:r>
        <w:rPr>
          <w:rFonts w:ascii="Serif" w:hAnsi="Serif"/>
          <w:b w:val="0"/>
          <w:sz w:val="24"/>
        </w:rPr>
        <w:t xml:space="preserve">Раствор формалина применяется для обеспечения физической сохранности страховых копий уникальных и особо ценных документов при проведении влажной уборки помещений, а </w:t>
      </w:r>
      <w:r>
        <w:rPr>
          <w:rFonts w:ascii="Serif" w:hAnsi="Serif"/>
          <w:b w:val="0"/>
          <w:sz w:val="24"/>
        </w:rPr>
        <w:t>также</w:t>
      </w:r>
      <w:r>
        <w:rPr>
          <w:rFonts w:ascii="Serif" w:hAnsi="Serif"/>
          <w:b w:val="0"/>
          <w:sz w:val="24"/>
        </w:rPr>
        <w:t xml:space="preserve"> для обработки стен подвальных помещений архивохранилищ и лабораторного здания</w:t>
      </w:r>
      <w:r>
        <w:rPr>
          <w:rFonts w:ascii="Serif" w:hAnsi="Serif"/>
          <w:b w:val="0"/>
          <w:sz w:val="24"/>
        </w:rPr>
        <w:t xml:space="preserve"> с целью уменьшения количества жизнеспособных спор плесневых грибов на поверхностях и в воздухе, т.е. снижения микробиологического загрязнения помещений и предотвращения плесневых поражений микроформ.</w:t>
      </w:r>
    </w:p>
    <w:p w14:paraId="F7000000">
      <w:pPr>
        <w:pStyle w:val="Style_7"/>
        <w:ind w:firstLine="567"/>
        <w:rPr>
          <w:rFonts w:ascii="Serif" w:hAnsi="Serif"/>
          <w:b w:val="1"/>
          <w:sz w:val="24"/>
        </w:rPr>
      </w:pPr>
      <w:r>
        <w:rPr>
          <w:rFonts w:ascii="Serif" w:hAnsi="Serif"/>
          <w:b w:val="1"/>
          <w:sz w:val="24"/>
        </w:rPr>
        <w:t>10. Краткое описание самого  заказчика и его деятельности в целом</w:t>
      </w:r>
      <w:r>
        <w:rPr>
          <w:rFonts w:ascii="Serif" w:hAnsi="Serif"/>
          <w:b w:val="1"/>
          <w:sz w:val="24"/>
        </w:rPr>
        <w:t>:</w:t>
      </w:r>
      <w:r>
        <w:rPr>
          <w:rFonts w:ascii="Serif" w:hAnsi="Serif"/>
          <w:b w:val="1"/>
          <w:sz w:val="24"/>
        </w:rPr>
        <w:t xml:space="preserve"> </w:t>
      </w:r>
    </w:p>
    <w:p w14:paraId="F8000000">
      <w:pPr>
        <w:pStyle w:val="Style_7"/>
        <w:rPr>
          <w:rFonts w:ascii="Serif" w:hAnsi="Serif"/>
          <w:b w:val="0"/>
          <w:sz w:val="24"/>
        </w:rPr>
      </w:pPr>
      <w:r>
        <w:rPr>
          <w:rFonts w:ascii="Serif" w:hAnsi="Serif"/>
          <w:b w:val="0"/>
          <w:sz w:val="24"/>
        </w:rPr>
        <w:t xml:space="preserve"> Государственный заказчик – ЦХСФ, является федеральным казенным учреждением, осуществляющим хранение, комплектование и учет </w:t>
      </w:r>
      <w:r>
        <w:rPr>
          <w:rFonts w:ascii="Serif" w:hAnsi="Serif"/>
          <w:b w:val="0"/>
          <w:sz w:val="24"/>
        </w:rPr>
        <w:t>страховых</w:t>
      </w:r>
      <w:r>
        <w:rPr>
          <w:rFonts w:ascii="Serif" w:hAnsi="Serif"/>
          <w:b w:val="0"/>
          <w:sz w:val="24"/>
        </w:rPr>
        <w:t xml:space="preserve"> копий уникальных и особо ценных документов Архивного фонда Российской Федерации.</w:t>
      </w:r>
    </w:p>
    <w:p w14:paraId="F9000000">
      <w:pPr>
        <w:pStyle w:val="Style_7"/>
        <w:ind w:firstLine="567"/>
        <w:rPr>
          <w:rFonts w:ascii="Serif" w:hAnsi="Serif"/>
          <w:b w:val="1"/>
          <w:sz w:val="24"/>
        </w:rPr>
      </w:pPr>
      <w:r>
        <w:rPr>
          <w:rFonts w:ascii="Serif" w:hAnsi="Serif"/>
          <w:b w:val="1"/>
          <w:sz w:val="24"/>
        </w:rPr>
        <w:t>11. Условия и порядок поставки товара</w:t>
      </w:r>
      <w:r>
        <w:rPr>
          <w:rFonts w:ascii="Serif" w:hAnsi="Serif"/>
          <w:b w:val="1"/>
          <w:sz w:val="24"/>
        </w:rPr>
        <w:t xml:space="preserve">: </w:t>
      </w:r>
    </w:p>
    <w:p w14:paraId="FA000000">
      <w:pPr>
        <w:pStyle w:val="Style_7"/>
        <w:rPr>
          <w:rFonts w:ascii="Serif" w:hAnsi="Serif"/>
          <w:b w:val="0"/>
          <w:sz w:val="24"/>
        </w:rPr>
      </w:pPr>
      <w:r>
        <w:rPr>
          <w:rFonts w:ascii="Serif" w:hAnsi="Serif"/>
          <w:b w:val="0"/>
          <w:sz w:val="24"/>
        </w:rPr>
        <w:t xml:space="preserve">  Поставка товаров осуществляется по наименованиям расходных материалов в сроки, указанные в пункте 8 настоящего технического задания, в </w:t>
      </w:r>
      <w:r>
        <w:rPr>
          <w:rFonts w:ascii="Serif" w:hAnsi="Serif"/>
          <w:b w:val="0"/>
          <w:sz w:val="24"/>
        </w:rPr>
        <w:t>рабочие дни с 08 часов 30 минут до 12 часов 00 минут и с 13 часов 00 минут до 16 часов 00 минут (по местному времени) в полном объеме одной партией, в соответствии с требованиями настоящего технического задания.</w:t>
      </w:r>
    </w:p>
    <w:p w14:paraId="FB000000">
      <w:pPr>
        <w:pStyle w:val="Style_7"/>
        <w:rPr>
          <w:rFonts w:ascii="Serif" w:hAnsi="Serif"/>
          <w:b w:val="0"/>
          <w:sz w:val="24"/>
        </w:rPr>
      </w:pPr>
      <w:r>
        <w:rPr>
          <w:rFonts w:ascii="Serif" w:hAnsi="Serif"/>
          <w:b w:val="0"/>
          <w:sz w:val="24"/>
        </w:rPr>
        <w:t>Поставка товаров осуществляется транспортом Поставщика или транспортом третьих лиц за счет Поставщика.</w:t>
      </w:r>
    </w:p>
    <w:p w14:paraId="FC000000">
      <w:pPr>
        <w:pStyle w:val="Style_7"/>
        <w:rPr>
          <w:rFonts w:ascii="Serif" w:hAnsi="Serif"/>
          <w:b w:val="0"/>
          <w:sz w:val="24"/>
        </w:rPr>
      </w:pPr>
      <w:r>
        <w:rPr>
          <w:rFonts w:ascii="Serif" w:hAnsi="Serif"/>
          <w:b w:val="0"/>
          <w:sz w:val="24"/>
        </w:rPr>
        <w:t>До начала поставки Поставщик обязан заблаговременно подать заявку для получения разового пропуска на въезд на территорию Государственного заказчика и досмотр транспорта и груза, с указанием марки транспортного средства, государственного номерного знака, времени проезда, фамилии, имени, отчества водителя.</w:t>
      </w:r>
    </w:p>
    <w:p w14:paraId="FD000000">
      <w:pPr>
        <w:pStyle w:val="Style_7"/>
        <w:rPr>
          <w:rFonts w:ascii="Serif" w:hAnsi="Serif"/>
          <w:b w:val="0"/>
          <w:sz w:val="24"/>
        </w:rPr>
      </w:pPr>
      <w:r>
        <w:rPr>
          <w:rFonts w:ascii="Serif" w:hAnsi="Serif"/>
          <w:b w:val="0"/>
          <w:sz w:val="24"/>
        </w:rPr>
        <w:t>Доставка товара, погрузочно-разгрузочные работы производятся силами и за счет Поставщика. Все риски, связанные с доставкой товара, возлагаются на Поставщика. Переход ответственности и риска по поставке товара осуществляется от Поставщика к Государственному заказчику после подписания последним документа о приёмке товара.</w:t>
      </w:r>
    </w:p>
    <w:p w14:paraId="FE000000">
      <w:pPr>
        <w:pStyle w:val="Style_7"/>
        <w:ind w:firstLine="567"/>
        <w:rPr>
          <w:rFonts w:ascii="Serif" w:hAnsi="Serif"/>
          <w:b w:val="1"/>
          <w:sz w:val="24"/>
        </w:rPr>
      </w:pPr>
      <w:r>
        <w:rPr>
          <w:rFonts w:ascii="Serif" w:hAnsi="Serif"/>
          <w:b w:val="1"/>
          <w:sz w:val="24"/>
        </w:rPr>
        <w:t>12. Общие требования к товару</w:t>
      </w:r>
      <w:r>
        <w:rPr>
          <w:rFonts w:ascii="Serif" w:hAnsi="Serif"/>
          <w:b w:val="1"/>
          <w:sz w:val="24"/>
        </w:rPr>
        <w:t xml:space="preserve">: </w:t>
      </w:r>
    </w:p>
    <w:p w14:paraId="FF000000">
      <w:pPr>
        <w:pStyle w:val="Style_7"/>
        <w:rPr>
          <w:rFonts w:ascii="Serif" w:hAnsi="Serif"/>
          <w:b w:val="0"/>
          <w:sz w:val="24"/>
        </w:rPr>
      </w:pPr>
      <w:r>
        <w:rPr>
          <w:rFonts w:ascii="Serif" w:hAnsi="Serif"/>
          <w:b w:val="0"/>
          <w:sz w:val="24"/>
        </w:rPr>
        <w:t>Диоксан</w:t>
      </w:r>
      <w:r>
        <w:rPr>
          <w:rFonts w:ascii="Serif" w:hAnsi="Serif"/>
          <w:b w:val="0"/>
          <w:sz w:val="24"/>
        </w:rPr>
        <w:t xml:space="preserve"> 1,4 (ЧДА) </w:t>
      </w:r>
      <w:r>
        <w:rPr>
          <w:rFonts w:ascii="Serif" w:hAnsi="Serif"/>
          <w:b w:val="0"/>
          <w:sz w:val="24"/>
        </w:rPr>
        <w:t>–</w:t>
      </w:r>
      <w:r>
        <w:rPr>
          <w:rFonts w:ascii="Serif" w:hAnsi="Serif"/>
          <w:b w:val="0"/>
          <w:sz w:val="24"/>
        </w:rPr>
        <w:t xml:space="preserve"> </w:t>
      </w:r>
      <w:r>
        <w:rPr>
          <w:rFonts w:ascii="Serif" w:hAnsi="Serif"/>
          <w:b w:val="0"/>
          <w:sz w:val="24"/>
        </w:rPr>
        <w:t>ГОСТ 10455-80</w:t>
      </w:r>
      <w:r>
        <w:rPr>
          <w:rFonts w:ascii="Serif" w:hAnsi="Serif"/>
          <w:b w:val="0"/>
          <w:sz w:val="24"/>
        </w:rPr>
        <w:t>.</w:t>
      </w:r>
    </w:p>
    <w:p w14:paraId="00010000">
      <w:pPr>
        <w:pStyle w:val="Style_7"/>
        <w:rPr>
          <w:rFonts w:ascii="Serif" w:hAnsi="Serif"/>
          <w:b w:val="0"/>
          <w:sz w:val="24"/>
        </w:rPr>
      </w:pPr>
      <w:r>
        <w:rPr>
          <w:rFonts w:ascii="Serif" w:hAnsi="Serif"/>
          <w:b w:val="0"/>
          <w:sz w:val="24"/>
        </w:rPr>
        <w:t>Ацетон (</w:t>
      </w:r>
      <w:r>
        <w:rPr>
          <w:rFonts w:ascii="Serif" w:hAnsi="Serif"/>
          <w:b w:val="0"/>
          <w:sz w:val="24"/>
        </w:rPr>
        <w:t>чда</w:t>
      </w:r>
      <w:r>
        <w:rPr>
          <w:rFonts w:ascii="Serif" w:hAnsi="Serif"/>
          <w:b w:val="0"/>
          <w:sz w:val="24"/>
        </w:rPr>
        <w:t xml:space="preserve">) </w:t>
      </w:r>
      <w:r>
        <w:rPr>
          <w:rFonts w:ascii="Serif" w:hAnsi="Serif"/>
          <w:b w:val="0"/>
          <w:sz w:val="24"/>
        </w:rPr>
        <w:t>–</w:t>
      </w:r>
      <w:r>
        <w:rPr>
          <w:rFonts w:ascii="Serif" w:hAnsi="Serif"/>
          <w:b w:val="0"/>
          <w:sz w:val="24"/>
        </w:rPr>
        <w:t xml:space="preserve"> </w:t>
      </w:r>
      <w:r>
        <w:rPr>
          <w:rFonts w:ascii="Serif" w:hAnsi="Serif"/>
          <w:b w:val="0"/>
          <w:sz w:val="24"/>
        </w:rPr>
        <w:t>ГОСТ 2603-79</w:t>
      </w:r>
      <w:r>
        <w:rPr>
          <w:rFonts w:ascii="Serif" w:hAnsi="Serif"/>
          <w:b w:val="0"/>
          <w:sz w:val="24"/>
        </w:rPr>
        <w:t>.</w:t>
      </w:r>
    </w:p>
    <w:p w14:paraId="01010000">
      <w:pPr>
        <w:pStyle w:val="Style_7"/>
        <w:rPr>
          <w:rFonts w:ascii="Serif" w:hAnsi="Serif"/>
          <w:b w:val="0"/>
          <w:sz w:val="24"/>
        </w:rPr>
      </w:pPr>
      <w:r>
        <w:rPr>
          <w:rFonts w:ascii="Serif" w:hAnsi="Serif"/>
          <w:b w:val="0"/>
          <w:sz w:val="24"/>
        </w:rPr>
        <w:t xml:space="preserve">Формалин технический </w:t>
      </w:r>
      <w:r>
        <w:rPr>
          <w:rFonts w:ascii="Serif" w:hAnsi="Serif"/>
          <w:b w:val="0"/>
          <w:sz w:val="24"/>
        </w:rPr>
        <w:t>–</w:t>
      </w:r>
      <w:r>
        <w:rPr>
          <w:rFonts w:ascii="Serif" w:hAnsi="Serif"/>
          <w:b w:val="0"/>
          <w:sz w:val="24"/>
        </w:rPr>
        <w:t xml:space="preserve"> дезинфицирующее средство, обладающее выраженным антисептическим, фиксирующим и консервирующим свойствами.</w:t>
      </w:r>
    </w:p>
    <w:p w14:paraId="02010000">
      <w:pPr>
        <w:pStyle w:val="Style_7"/>
        <w:ind w:firstLine="567"/>
        <w:rPr>
          <w:rFonts w:ascii="Serif" w:hAnsi="Serif"/>
          <w:b w:val="1"/>
          <w:sz w:val="24"/>
        </w:rPr>
      </w:pPr>
      <w:r>
        <w:rPr>
          <w:rFonts w:ascii="Serif" w:hAnsi="Serif"/>
          <w:b w:val="1"/>
          <w:sz w:val="24"/>
        </w:rPr>
        <w:t>13. Требования к качеству товара:</w:t>
      </w:r>
    </w:p>
    <w:p w14:paraId="03010000">
      <w:pPr>
        <w:pStyle w:val="Style_7"/>
        <w:rPr>
          <w:rFonts w:ascii="Serif" w:hAnsi="Serif"/>
          <w:b w:val="0"/>
          <w:sz w:val="24"/>
        </w:rPr>
      </w:pPr>
      <w:r>
        <w:rPr>
          <w:rFonts w:ascii="Serif" w:hAnsi="Serif"/>
          <w:b w:val="0"/>
          <w:sz w:val="24"/>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сопроводительную документацию к материалам на русском языке.</w:t>
      </w:r>
    </w:p>
    <w:p w14:paraId="04010000">
      <w:pPr>
        <w:pStyle w:val="Style_7"/>
        <w:rPr>
          <w:rFonts w:ascii="Serif" w:hAnsi="Serif"/>
          <w:b w:val="0"/>
          <w:sz w:val="24"/>
        </w:rPr>
      </w:pPr>
      <w:r>
        <w:rPr>
          <w:rFonts w:ascii="Serif" w:hAnsi="Serif"/>
          <w:b w:val="0"/>
          <w:sz w:val="24"/>
        </w:rPr>
        <w:t>Товар, предлагаемый участником к поставке, должен быть новым, не бывшим в употреблении, не восстановленным и не собранным из восстановленных компонентов</w:t>
      </w:r>
      <w:r>
        <w:rPr>
          <w:rFonts w:ascii="Serif" w:hAnsi="Serif"/>
          <w:b w:val="0"/>
          <w:sz w:val="24"/>
        </w:rPr>
        <w:t xml:space="preserve">, </w:t>
      </w:r>
      <w:r>
        <w:rPr>
          <w:rFonts w:ascii="Serif" w:hAnsi="Serif"/>
          <w:b w:val="0"/>
          <w:sz w:val="24"/>
        </w:rPr>
        <w:t>изготовленным не ранее 2025 г.</w:t>
      </w:r>
    </w:p>
    <w:p w14:paraId="05010000">
      <w:pPr>
        <w:pStyle w:val="Style_7"/>
        <w:rPr>
          <w:rFonts w:ascii="Serif" w:hAnsi="Serif"/>
          <w:b w:val="0"/>
          <w:sz w:val="24"/>
        </w:rPr>
      </w:pPr>
      <w:r>
        <w:rPr>
          <w:rFonts w:ascii="Serif" w:hAnsi="Serif"/>
          <w:b w:val="0"/>
          <w:sz w:val="24"/>
        </w:rPr>
        <w:t>Поставляемый товар не должен находиться в залоге, под арестом или под иным обременением.</w:t>
      </w:r>
    </w:p>
    <w:p w14:paraId="06010000">
      <w:pPr>
        <w:pStyle w:val="Style_7"/>
        <w:ind w:firstLine="567"/>
        <w:rPr>
          <w:rFonts w:ascii="Serif" w:hAnsi="Serif"/>
          <w:b w:val="1"/>
          <w:sz w:val="24"/>
        </w:rPr>
      </w:pPr>
      <w:r>
        <w:rPr>
          <w:rFonts w:ascii="Serif" w:hAnsi="Serif"/>
          <w:b w:val="1"/>
          <w:sz w:val="24"/>
        </w:rPr>
        <w:t>14. Требования к техническим характеристикам товара</w:t>
      </w:r>
      <w:r>
        <w:rPr>
          <w:rFonts w:ascii="Serif" w:hAnsi="Serif"/>
          <w:b w:val="1"/>
          <w:sz w:val="24"/>
        </w:rPr>
        <w:t>:</w:t>
      </w:r>
    </w:p>
    <w:p w14:paraId="07010000">
      <w:pPr>
        <w:pStyle w:val="Style_7"/>
        <w:rPr>
          <w:rFonts w:ascii="Serif" w:hAnsi="Serif"/>
          <w:b w:val="0"/>
          <w:sz w:val="24"/>
        </w:rPr>
      </w:pPr>
      <w:r>
        <w:rPr>
          <w:rFonts w:ascii="Serif" w:hAnsi="Serif"/>
          <w:b w:val="0"/>
          <w:sz w:val="24"/>
        </w:rPr>
        <w:t xml:space="preserve">            </w:t>
      </w:r>
      <w:r>
        <w:rPr>
          <w:rFonts w:ascii="Serif" w:hAnsi="Serif"/>
          <w:b w:val="0"/>
          <w:sz w:val="24"/>
        </w:rPr>
        <w:t>Диоксан</w:t>
      </w:r>
      <w:r>
        <w:rPr>
          <w:rFonts w:ascii="Serif" w:hAnsi="Serif"/>
          <w:b w:val="0"/>
          <w:sz w:val="24"/>
        </w:rPr>
        <w:t xml:space="preserve"> 1,4 (</w:t>
      </w:r>
      <w:r>
        <w:rPr>
          <w:rFonts w:ascii="Serif" w:hAnsi="Serif"/>
          <w:b w:val="0"/>
          <w:sz w:val="24"/>
        </w:rPr>
        <w:t>чда</w:t>
      </w:r>
      <w:r>
        <w:rPr>
          <w:rFonts w:ascii="Serif" w:hAnsi="Serif"/>
          <w:b w:val="0"/>
          <w:sz w:val="24"/>
        </w:rPr>
        <w:t>):</w:t>
      </w:r>
    </w:p>
    <w:p w14:paraId="08010000">
      <w:pPr>
        <w:pStyle w:val="Style_7"/>
        <w:rPr>
          <w:rFonts w:ascii="Serif" w:hAnsi="Serif"/>
          <w:b w:val="0"/>
          <w:sz w:val="24"/>
        </w:rPr>
      </w:pPr>
      <w:r>
        <w:rPr>
          <w:rFonts w:ascii="Serif" w:hAnsi="Serif"/>
          <w:b w:val="0"/>
          <w:sz w:val="24"/>
        </w:rPr>
        <w:t xml:space="preserve">квалификация: </w:t>
      </w:r>
      <w:r>
        <w:rPr>
          <w:rFonts w:ascii="Serif" w:hAnsi="Serif"/>
          <w:b w:val="0"/>
          <w:sz w:val="24"/>
        </w:rPr>
        <w:t>ч.д.а</w:t>
      </w:r>
      <w:r>
        <w:rPr>
          <w:rFonts w:ascii="Serif" w:hAnsi="Serif"/>
          <w:b w:val="0"/>
          <w:sz w:val="24"/>
        </w:rPr>
        <w:t>.;</w:t>
      </w:r>
    </w:p>
    <w:p w14:paraId="09010000">
      <w:pPr>
        <w:pStyle w:val="Style_7"/>
        <w:rPr>
          <w:rFonts w:ascii="Serif" w:hAnsi="Serif"/>
          <w:b w:val="0"/>
          <w:sz w:val="24"/>
        </w:rPr>
      </w:pPr>
      <w:r>
        <w:rPr>
          <w:rFonts w:ascii="Serif" w:hAnsi="Serif"/>
          <w:b w:val="0"/>
          <w:sz w:val="24"/>
        </w:rPr>
        <w:t>внешний вид: бесцветная прозрачная жидкость;</w:t>
      </w:r>
    </w:p>
    <w:p w14:paraId="0A010000">
      <w:pPr>
        <w:pStyle w:val="Style_7"/>
        <w:rPr>
          <w:rFonts w:ascii="Serif" w:hAnsi="Serif"/>
          <w:b w:val="0"/>
          <w:sz w:val="24"/>
        </w:rPr>
      </w:pPr>
      <w:r>
        <w:rPr>
          <w:rFonts w:ascii="Serif" w:hAnsi="Serif"/>
          <w:b w:val="0"/>
          <w:sz w:val="24"/>
        </w:rPr>
        <w:t>массовая доля основного вещества: не менее 99,5%.</w:t>
      </w:r>
    </w:p>
    <w:p w14:paraId="0B010000">
      <w:pPr>
        <w:pStyle w:val="Style_7"/>
        <w:rPr>
          <w:rFonts w:ascii="Serif" w:hAnsi="Serif"/>
          <w:b w:val="0"/>
          <w:sz w:val="24"/>
        </w:rPr>
      </w:pPr>
      <w:r>
        <w:rPr>
          <w:rFonts w:ascii="Serif" w:hAnsi="Serif"/>
          <w:b w:val="0"/>
          <w:sz w:val="24"/>
        </w:rPr>
        <w:t>Ацетон (</w:t>
      </w:r>
      <w:r>
        <w:rPr>
          <w:rFonts w:ascii="Serif" w:hAnsi="Serif"/>
          <w:b w:val="0"/>
          <w:sz w:val="24"/>
        </w:rPr>
        <w:t>чда</w:t>
      </w:r>
      <w:r>
        <w:rPr>
          <w:rFonts w:ascii="Serif" w:hAnsi="Serif"/>
          <w:b w:val="0"/>
          <w:sz w:val="24"/>
        </w:rPr>
        <w:t>):</w:t>
      </w:r>
    </w:p>
    <w:p w14:paraId="0C010000">
      <w:pPr>
        <w:pStyle w:val="Style_7"/>
        <w:rPr>
          <w:rFonts w:ascii="Serif" w:hAnsi="Serif"/>
          <w:b w:val="0"/>
          <w:sz w:val="24"/>
        </w:rPr>
      </w:pPr>
      <w:r>
        <w:rPr>
          <w:rFonts w:ascii="Serif" w:hAnsi="Serif"/>
          <w:b w:val="0"/>
          <w:sz w:val="24"/>
        </w:rPr>
        <w:t xml:space="preserve">квалификация: </w:t>
      </w:r>
      <w:r>
        <w:rPr>
          <w:rFonts w:ascii="Serif" w:hAnsi="Serif"/>
          <w:b w:val="0"/>
          <w:sz w:val="24"/>
        </w:rPr>
        <w:t>ч.д.а</w:t>
      </w:r>
      <w:r>
        <w:rPr>
          <w:rFonts w:ascii="Serif" w:hAnsi="Serif"/>
          <w:b w:val="0"/>
          <w:sz w:val="24"/>
        </w:rPr>
        <w:t>.;</w:t>
      </w:r>
    </w:p>
    <w:p w14:paraId="0D010000">
      <w:pPr>
        <w:pStyle w:val="Style_7"/>
        <w:rPr>
          <w:rFonts w:ascii="Serif" w:hAnsi="Serif"/>
          <w:b w:val="0"/>
          <w:sz w:val="24"/>
        </w:rPr>
      </w:pPr>
      <w:r>
        <w:rPr>
          <w:rFonts w:ascii="Serif" w:hAnsi="Serif"/>
          <w:b w:val="0"/>
          <w:sz w:val="24"/>
        </w:rPr>
        <w:t>внешний вид: прозрачная, бесцветная, легковоспламеняющаяся жидкость с характерным запахом;</w:t>
      </w:r>
    </w:p>
    <w:p w14:paraId="0E010000">
      <w:pPr>
        <w:pStyle w:val="Style_7"/>
        <w:rPr>
          <w:rFonts w:ascii="Serif" w:hAnsi="Serif"/>
          <w:b w:val="0"/>
          <w:sz w:val="24"/>
        </w:rPr>
      </w:pPr>
      <w:r>
        <w:rPr>
          <w:rFonts w:ascii="Serif" w:hAnsi="Serif"/>
          <w:b w:val="0"/>
          <w:sz w:val="24"/>
        </w:rPr>
        <w:t xml:space="preserve">массовая доля основного вещества: не менее 99,75 %. </w:t>
      </w:r>
    </w:p>
    <w:p w14:paraId="0F010000">
      <w:pPr>
        <w:pStyle w:val="Style_7"/>
        <w:rPr>
          <w:rFonts w:ascii="Serif" w:hAnsi="Serif"/>
          <w:b w:val="0"/>
          <w:sz w:val="24"/>
        </w:rPr>
      </w:pPr>
      <w:r>
        <w:rPr>
          <w:rFonts w:ascii="Serif" w:hAnsi="Serif"/>
          <w:b w:val="0"/>
          <w:sz w:val="24"/>
        </w:rPr>
        <w:t xml:space="preserve">Формалин технический </w:t>
      </w:r>
      <w:r>
        <w:rPr>
          <w:rFonts w:ascii="Serif" w:hAnsi="Serif"/>
          <w:b w:val="0"/>
          <w:sz w:val="24"/>
        </w:rPr>
        <w:t>–</w:t>
      </w:r>
      <w:r>
        <w:rPr>
          <w:rFonts w:ascii="Serif" w:hAnsi="Serif"/>
          <w:b w:val="0"/>
          <w:sz w:val="24"/>
        </w:rPr>
        <w:t xml:space="preserve"> </w:t>
      </w:r>
      <w:r>
        <w:rPr>
          <w:rFonts w:ascii="Serif" w:hAnsi="Serif"/>
          <w:b w:val="0"/>
          <w:sz w:val="24"/>
        </w:rPr>
        <w:t xml:space="preserve">водный раствор формальдегида, </w:t>
      </w:r>
      <w:r>
        <w:rPr>
          <w:rFonts w:ascii="Serif" w:hAnsi="Serif"/>
          <w:b w:val="0"/>
          <w:sz w:val="24"/>
        </w:rPr>
        <w:t>c</w:t>
      </w:r>
      <w:r>
        <w:rPr>
          <w:rFonts w:ascii="Serif" w:hAnsi="Serif"/>
          <w:b w:val="0"/>
          <w:sz w:val="24"/>
        </w:rPr>
        <w:t>табилизированный</w:t>
      </w:r>
      <w:r>
        <w:rPr>
          <w:rFonts w:ascii="Serif" w:hAnsi="Serif"/>
          <w:b w:val="0"/>
          <w:sz w:val="24"/>
        </w:rPr>
        <w:t xml:space="preserve"> метанолом</w:t>
      </w:r>
      <w:r>
        <w:rPr>
          <w:rFonts w:ascii="Serif" w:hAnsi="Serif"/>
          <w:b w:val="0"/>
          <w:sz w:val="24"/>
        </w:rPr>
        <w:t>:</w:t>
      </w:r>
    </w:p>
    <w:p w14:paraId="10010000">
      <w:pPr>
        <w:pStyle w:val="Style_7"/>
        <w:rPr>
          <w:rFonts w:ascii="Serif" w:hAnsi="Serif"/>
          <w:b w:val="0"/>
          <w:sz w:val="24"/>
        </w:rPr>
      </w:pPr>
      <w:r>
        <w:rPr>
          <w:rFonts w:ascii="Serif" w:hAnsi="Serif"/>
          <w:b w:val="0"/>
          <w:sz w:val="24"/>
        </w:rPr>
        <w:t>цвет: бесцветная жидкость;</w:t>
      </w:r>
    </w:p>
    <w:p w14:paraId="11010000">
      <w:pPr>
        <w:pStyle w:val="Style_7"/>
        <w:rPr>
          <w:rFonts w:ascii="Serif" w:hAnsi="Serif"/>
          <w:b w:val="0"/>
          <w:sz w:val="24"/>
        </w:rPr>
      </w:pPr>
      <w:r>
        <w:rPr>
          <w:rFonts w:ascii="Serif" w:hAnsi="Serif"/>
          <w:b w:val="0"/>
          <w:sz w:val="24"/>
        </w:rPr>
        <w:t>запах формалина: резкий, характерный;</w:t>
      </w:r>
    </w:p>
    <w:p w14:paraId="12010000">
      <w:pPr>
        <w:pStyle w:val="Style_7"/>
        <w:rPr>
          <w:rFonts w:ascii="Serif" w:hAnsi="Serif"/>
          <w:b w:val="0"/>
          <w:sz w:val="24"/>
        </w:rPr>
      </w:pPr>
      <w:r>
        <w:rPr>
          <w:rFonts w:ascii="Serif" w:hAnsi="Serif"/>
          <w:b w:val="0"/>
          <w:sz w:val="24"/>
        </w:rPr>
        <w:t>содержание формальдегида: не менее 37–38 %.</w:t>
      </w:r>
    </w:p>
    <w:p w14:paraId="13010000">
      <w:pPr>
        <w:pStyle w:val="Style_7"/>
        <w:ind w:firstLine="567"/>
        <w:rPr>
          <w:rFonts w:ascii="Serif" w:hAnsi="Serif"/>
          <w:b w:val="1"/>
          <w:sz w:val="24"/>
        </w:rPr>
      </w:pPr>
      <w:r>
        <w:rPr>
          <w:rFonts w:ascii="Serif" w:hAnsi="Serif"/>
          <w:b w:val="1"/>
          <w:sz w:val="24"/>
        </w:rPr>
        <w:t>15. Требования к функциональным характеристикам (потребительским свойствам) товара</w:t>
      </w:r>
      <w:r>
        <w:rPr>
          <w:rFonts w:ascii="Serif" w:hAnsi="Serif"/>
          <w:b w:val="1"/>
          <w:sz w:val="24"/>
        </w:rPr>
        <w:t>:</w:t>
      </w:r>
    </w:p>
    <w:p w14:paraId="14010000">
      <w:pPr>
        <w:pStyle w:val="Style_7"/>
        <w:rPr>
          <w:rFonts w:ascii="Serif" w:hAnsi="Serif"/>
          <w:b w:val="0"/>
          <w:sz w:val="24"/>
        </w:rPr>
      </w:pPr>
      <w:r>
        <w:rPr>
          <w:rFonts w:ascii="Serif" w:hAnsi="Serif"/>
          <w:b w:val="0"/>
          <w:sz w:val="24"/>
        </w:rPr>
        <w:t xml:space="preserve"> Диоксан</w:t>
      </w:r>
      <w:r>
        <w:rPr>
          <w:rFonts w:ascii="Serif" w:hAnsi="Serif"/>
          <w:b w:val="0"/>
          <w:sz w:val="24"/>
        </w:rPr>
        <w:t xml:space="preserve"> 1,4 (ЧДА) </w:t>
      </w:r>
      <w:r>
        <w:rPr>
          <w:rFonts w:ascii="Serif" w:hAnsi="Serif"/>
          <w:b w:val="0"/>
          <w:sz w:val="24"/>
        </w:rPr>
        <w:t>предназначен</w:t>
      </w:r>
      <w:r>
        <w:rPr>
          <w:rFonts w:ascii="Serif" w:hAnsi="Serif"/>
          <w:b w:val="0"/>
          <w:sz w:val="24"/>
        </w:rPr>
        <w:t xml:space="preserve"> для лабораторного и аналитического использования.</w:t>
      </w:r>
    </w:p>
    <w:p w14:paraId="15010000">
      <w:pPr>
        <w:pStyle w:val="Style_7"/>
        <w:rPr>
          <w:rFonts w:ascii="Serif" w:hAnsi="Serif"/>
          <w:b w:val="0"/>
          <w:sz w:val="24"/>
        </w:rPr>
      </w:pPr>
      <w:r>
        <w:rPr>
          <w:rFonts w:ascii="Serif" w:hAnsi="Serif"/>
          <w:b w:val="0"/>
          <w:sz w:val="24"/>
        </w:rPr>
        <w:t>Ацетон (</w:t>
      </w:r>
      <w:r>
        <w:rPr>
          <w:rFonts w:ascii="Serif" w:hAnsi="Serif"/>
          <w:b w:val="0"/>
          <w:sz w:val="24"/>
        </w:rPr>
        <w:t>чда</w:t>
      </w:r>
      <w:r>
        <w:rPr>
          <w:rFonts w:ascii="Serif" w:hAnsi="Serif"/>
          <w:b w:val="0"/>
          <w:sz w:val="24"/>
        </w:rPr>
        <w:t>) используется как растворитель для органических веществ.</w:t>
      </w:r>
    </w:p>
    <w:p w14:paraId="16010000">
      <w:pPr>
        <w:pStyle w:val="Style_7"/>
        <w:rPr>
          <w:rFonts w:ascii="Serif" w:hAnsi="Serif"/>
          <w:b w:val="0"/>
          <w:sz w:val="24"/>
        </w:rPr>
      </w:pPr>
      <w:r>
        <w:rPr>
          <w:rFonts w:ascii="Serif" w:hAnsi="Serif"/>
          <w:b w:val="0"/>
          <w:sz w:val="24"/>
        </w:rPr>
        <w:t>Технический формалин используется как дезинфицирующее средство. Обладает выраженным антисептическим, фиксирующим и консервирующим свойствами.</w:t>
      </w:r>
    </w:p>
    <w:p w14:paraId="17010000">
      <w:pPr>
        <w:pStyle w:val="Style_7"/>
        <w:ind w:firstLine="567"/>
        <w:rPr>
          <w:rFonts w:ascii="Serif" w:hAnsi="Serif"/>
          <w:b w:val="1"/>
          <w:sz w:val="24"/>
        </w:rPr>
      </w:pPr>
      <w:r>
        <w:rPr>
          <w:rFonts w:ascii="Serif" w:hAnsi="Serif"/>
          <w:b w:val="1"/>
          <w:sz w:val="24"/>
        </w:rPr>
        <w:t>16. Требования к безопасности товара</w:t>
      </w:r>
      <w:r>
        <w:rPr>
          <w:rFonts w:ascii="Serif" w:hAnsi="Serif"/>
          <w:b w:val="1"/>
          <w:sz w:val="24"/>
        </w:rPr>
        <w:t>:</w:t>
      </w:r>
    </w:p>
    <w:p w14:paraId="18010000">
      <w:pPr>
        <w:pStyle w:val="Style_7"/>
        <w:rPr>
          <w:rFonts w:ascii="Serif" w:hAnsi="Serif"/>
          <w:b w:val="0"/>
          <w:sz w:val="24"/>
        </w:rPr>
      </w:pPr>
      <w:r>
        <w:rPr>
          <w:rFonts w:ascii="Serif" w:hAnsi="Serif"/>
          <w:b w:val="0"/>
          <w:sz w:val="24"/>
        </w:rPr>
        <w:t xml:space="preserve">безопасность окружающих при использовании: </w:t>
      </w:r>
      <w:r>
        <w:rPr>
          <w:rFonts w:ascii="Serif" w:hAnsi="Serif"/>
          <w:b w:val="0"/>
          <w:sz w:val="24"/>
        </w:rPr>
        <w:t>все товары должны быть безопасны и разрешены для применения на территории Российской Федерации;</w:t>
      </w:r>
    </w:p>
    <w:p w14:paraId="19010000">
      <w:pPr>
        <w:pStyle w:val="Style_7"/>
        <w:rPr>
          <w:rFonts w:ascii="Serif" w:hAnsi="Serif"/>
          <w:b w:val="0"/>
          <w:sz w:val="24"/>
        </w:rPr>
      </w:pPr>
      <w:r>
        <w:rPr>
          <w:rFonts w:ascii="Serif" w:hAnsi="Serif"/>
          <w:b w:val="0"/>
          <w:sz w:val="24"/>
        </w:rPr>
        <w:t xml:space="preserve">защита товара при поставке: </w:t>
      </w:r>
      <w:r>
        <w:rPr>
          <w:rFonts w:ascii="Serif" w:hAnsi="Serif"/>
          <w:b w:val="0"/>
          <w:sz w:val="24"/>
        </w:rPr>
        <w:t>упаковка должна предохранять продукцию от порчи во время транспортировки, перегрузки и хранения.</w:t>
      </w:r>
    </w:p>
    <w:p w14:paraId="1A010000">
      <w:pPr>
        <w:pStyle w:val="Style_7"/>
        <w:rPr>
          <w:rFonts w:ascii="Serif" w:hAnsi="Serif"/>
          <w:b w:val="0"/>
          <w:sz w:val="24"/>
        </w:rPr>
      </w:pPr>
    </w:p>
    <w:p w14:paraId="1B010000">
      <w:pPr>
        <w:pStyle w:val="Style_7"/>
        <w:ind w:firstLine="567"/>
        <w:rPr>
          <w:rFonts w:ascii="Serif" w:hAnsi="Serif"/>
          <w:b w:val="1"/>
          <w:sz w:val="24"/>
        </w:rPr>
      </w:pPr>
      <w:r>
        <w:rPr>
          <w:rFonts w:ascii="Serif" w:hAnsi="Serif"/>
          <w:b w:val="1"/>
          <w:sz w:val="24"/>
        </w:rPr>
        <w:t xml:space="preserve">17. Требования к маркировке товара: </w:t>
      </w:r>
    </w:p>
    <w:p w14:paraId="1C010000">
      <w:pPr>
        <w:pStyle w:val="Style_7"/>
        <w:rPr>
          <w:rFonts w:ascii="Serif" w:hAnsi="Serif"/>
          <w:b w:val="0"/>
          <w:sz w:val="24"/>
        </w:rPr>
      </w:pPr>
      <w:r>
        <w:rPr>
          <w:rFonts w:ascii="Serif" w:hAnsi="Serif"/>
          <w:b w:val="0"/>
          <w:sz w:val="24"/>
        </w:rPr>
        <w:t xml:space="preserve"> Маркировка товара должна соответствовать требованиям ГОСТа, импортный товар – международным стандартам маркировки.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p w14:paraId="1D010000">
      <w:pPr>
        <w:pStyle w:val="Style_7"/>
        <w:ind w:firstLine="567"/>
        <w:rPr>
          <w:rFonts w:ascii="Serif" w:hAnsi="Serif"/>
          <w:b w:val="1"/>
          <w:sz w:val="24"/>
        </w:rPr>
      </w:pPr>
      <w:r>
        <w:rPr>
          <w:rFonts w:ascii="Serif" w:hAnsi="Serif"/>
          <w:b w:val="1"/>
          <w:sz w:val="24"/>
        </w:rPr>
        <w:t xml:space="preserve">18. Требования к упаковке товара: </w:t>
      </w:r>
    </w:p>
    <w:p w14:paraId="1E010000">
      <w:pPr>
        <w:pStyle w:val="Style_7"/>
        <w:rPr>
          <w:rFonts w:ascii="Serif" w:hAnsi="Serif"/>
          <w:b w:val="0"/>
          <w:sz w:val="24"/>
        </w:rPr>
      </w:pPr>
      <w:r>
        <w:rPr>
          <w:rFonts w:ascii="Serif" w:hAnsi="Serif"/>
          <w:b w:val="0"/>
          <w:sz w:val="24"/>
        </w:rPr>
        <w:t xml:space="preserve">Упаковка товара должна соответствовать требованиям ГОСТа, импортный товар – международным стандартам упаковки.  </w:t>
      </w:r>
    </w:p>
    <w:p w14:paraId="1F010000">
      <w:pPr>
        <w:pStyle w:val="Style_7"/>
        <w:ind w:firstLine="567"/>
        <w:rPr>
          <w:rFonts w:ascii="Serif" w:hAnsi="Serif"/>
          <w:b w:val="1"/>
          <w:sz w:val="24"/>
        </w:rPr>
      </w:pPr>
      <w:r>
        <w:rPr>
          <w:rFonts w:ascii="Serif" w:hAnsi="Serif"/>
          <w:b w:val="1"/>
          <w:sz w:val="24"/>
        </w:rPr>
        <w:t xml:space="preserve">19. Требования по передаче Государственному заказчику технических и иных документов при поставке товара: </w:t>
      </w:r>
    </w:p>
    <w:p w14:paraId="20010000">
      <w:pPr>
        <w:pStyle w:val="Style_7"/>
        <w:rPr>
          <w:rFonts w:ascii="Serif" w:hAnsi="Serif"/>
          <w:b w:val="0"/>
          <w:sz w:val="24"/>
        </w:rPr>
      </w:pPr>
      <w:r>
        <w:rPr>
          <w:rFonts w:ascii="Serif" w:hAnsi="Serif"/>
          <w:b w:val="0"/>
          <w:sz w:val="24"/>
        </w:rPr>
        <w:t xml:space="preserve">Вся требуемая документация (в том числе сопроводительная документация на русском языке и т.д.) должна быть передана Государственному заказчику одновременно с поставкой товара. Поставщик обязуется одновременно с поставкой товара предоставить Заказчику оригинал счета, счет-фактуру, товарную накладную (ТОРГ-12) или универсальный передаточный документ </w:t>
      </w:r>
      <w:r>
        <w:rPr>
          <w:rFonts w:ascii="Serif" w:hAnsi="Serif"/>
          <w:b w:val="0"/>
          <w:sz w:val="24"/>
        </w:rPr>
        <w:t>(УПД) с обязательным указанием наименования, банковских реквизитов, номера и даты Государственного контракта на поставку.</w:t>
      </w:r>
    </w:p>
    <w:p w14:paraId="21010000">
      <w:pPr>
        <w:pStyle w:val="Style_7"/>
        <w:ind w:firstLine="567"/>
        <w:rPr>
          <w:rFonts w:ascii="Serif" w:hAnsi="Serif"/>
          <w:b w:val="1"/>
          <w:sz w:val="24"/>
        </w:rPr>
      </w:pPr>
      <w:r>
        <w:rPr>
          <w:rFonts w:ascii="Serif" w:hAnsi="Serif"/>
          <w:b w:val="1"/>
          <w:sz w:val="24"/>
        </w:rPr>
        <w:t>20. Порядок сдачи и приемки товара</w:t>
      </w:r>
      <w:r>
        <w:rPr>
          <w:rFonts w:ascii="Serif" w:hAnsi="Serif"/>
          <w:b w:val="1"/>
          <w:sz w:val="24"/>
        </w:rPr>
        <w:t xml:space="preserve">: </w:t>
      </w:r>
    </w:p>
    <w:p w14:paraId="22010000">
      <w:pPr>
        <w:pStyle w:val="Style_7"/>
        <w:rPr>
          <w:rFonts w:ascii="Serif" w:hAnsi="Serif"/>
          <w:b w:val="0"/>
          <w:sz w:val="24"/>
        </w:rPr>
      </w:pPr>
      <w:r>
        <w:rPr>
          <w:rFonts w:ascii="Serif" w:hAnsi="Serif"/>
          <w:b w:val="0"/>
          <w:sz w:val="24"/>
        </w:rPr>
        <w:t>Поставщик обязан известить Государственного заказчика о точном времени и дате поставки по телефонной связи или по электронной почте не позднее 2 (двух) рабочих дней до даты поставки.</w:t>
      </w:r>
    </w:p>
    <w:p w14:paraId="23010000">
      <w:pPr>
        <w:pStyle w:val="Style_7"/>
        <w:rPr>
          <w:rFonts w:ascii="Serif" w:hAnsi="Serif"/>
          <w:b w:val="0"/>
          <w:sz w:val="24"/>
        </w:rPr>
      </w:pPr>
      <w:r>
        <w:rPr>
          <w:rFonts w:ascii="Serif" w:hAnsi="Serif"/>
          <w:b w:val="0"/>
          <w:sz w:val="24"/>
        </w:rPr>
        <w:t>По прибытию товара Государственный заказчик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24010000">
      <w:pPr>
        <w:pStyle w:val="Style_7"/>
        <w:rPr>
          <w:rFonts w:ascii="Serif" w:hAnsi="Serif"/>
          <w:b w:val="0"/>
          <w:sz w:val="24"/>
        </w:rPr>
      </w:pPr>
      <w:r>
        <w:rPr>
          <w:rFonts w:ascii="Serif" w:hAnsi="Serif"/>
          <w:b w:val="0"/>
          <w:sz w:val="24"/>
        </w:rPr>
        <w:t>Государственный заказчик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25010000">
      <w:pPr>
        <w:pStyle w:val="Style_7"/>
        <w:rPr>
          <w:rFonts w:ascii="Serif" w:hAnsi="Serif"/>
          <w:b w:val="0"/>
          <w:sz w:val="24"/>
        </w:rPr>
      </w:pPr>
      <w:r>
        <w:rPr>
          <w:rFonts w:ascii="Serif" w:hAnsi="Serif"/>
          <w:b w:val="0"/>
          <w:sz w:val="24"/>
        </w:rPr>
        <w:t>По окончании приёма-передачи товара Государственный заказчик подписывает накладные.</w:t>
      </w:r>
    </w:p>
    <w:p w14:paraId="26010000">
      <w:pPr>
        <w:pStyle w:val="Style_7"/>
        <w:rPr>
          <w:rFonts w:ascii="Serif" w:hAnsi="Serif"/>
          <w:b w:val="0"/>
          <w:sz w:val="24"/>
        </w:rPr>
      </w:pPr>
      <w:r>
        <w:rPr>
          <w:rFonts w:ascii="Serif" w:hAnsi="Serif"/>
          <w:b w:val="0"/>
          <w:sz w:val="24"/>
        </w:rPr>
        <w:t>Государственный заказчик в течение 7 (семи) рабочих дней со дня, следующего за датой получения документа о приёмке товара, обязан принять решение о приемке или отказе от приемки товара. На основании принятого решения Поставщику направляется подписанный Государственным заказчиком документ о приёмке товара или мотивированный отказ от подписания документа о приёмке товара.</w:t>
      </w:r>
    </w:p>
    <w:p w14:paraId="27010000">
      <w:pPr>
        <w:pStyle w:val="Style_7"/>
        <w:ind w:firstLine="567"/>
        <w:rPr>
          <w:rFonts w:ascii="Serif" w:hAnsi="Serif"/>
          <w:b w:val="1"/>
          <w:sz w:val="24"/>
        </w:rPr>
      </w:pPr>
      <w:r>
        <w:rPr>
          <w:rFonts w:ascii="Serif" w:hAnsi="Serif"/>
          <w:b w:val="1"/>
          <w:sz w:val="24"/>
        </w:rPr>
        <w:t>21. Требования по объему гарантий качества товара</w:t>
      </w:r>
      <w:r>
        <w:rPr>
          <w:rFonts w:ascii="Serif" w:hAnsi="Serif"/>
          <w:b w:val="1"/>
          <w:sz w:val="24"/>
        </w:rPr>
        <w:t xml:space="preserve">: </w:t>
      </w:r>
    </w:p>
    <w:p w14:paraId="28010000">
      <w:pPr>
        <w:pStyle w:val="Style_7"/>
        <w:rPr>
          <w:rFonts w:ascii="Serif" w:hAnsi="Serif"/>
          <w:b w:val="0"/>
          <w:sz w:val="24"/>
        </w:rPr>
      </w:pPr>
      <w:r>
        <w:rPr>
          <w:rFonts w:ascii="Serif" w:hAnsi="Serif"/>
          <w:b w:val="0"/>
          <w:sz w:val="24"/>
        </w:rPr>
        <w:t>В случае повреждения товара в течение гарантийного срока по причине несоответствия поставленных материалов заявленным характеристикам (в том числе по качеству и сроку гарантии), Поставщик обязуется компенсировать Государственному заказчику все материальные затраты.</w:t>
      </w:r>
    </w:p>
    <w:p w14:paraId="29010000">
      <w:pPr>
        <w:pStyle w:val="Style_7"/>
        <w:ind w:firstLine="567"/>
        <w:rPr>
          <w:rFonts w:ascii="Serif" w:hAnsi="Serif"/>
          <w:b w:val="1"/>
          <w:sz w:val="24"/>
        </w:rPr>
      </w:pPr>
      <w:r>
        <w:rPr>
          <w:rFonts w:ascii="Serif" w:hAnsi="Serif"/>
          <w:b w:val="1"/>
          <w:sz w:val="24"/>
        </w:rPr>
        <w:t>22. Требования по сроку гарантии качества</w:t>
      </w:r>
      <w:r>
        <w:rPr>
          <w:rFonts w:ascii="Serif" w:hAnsi="Serif"/>
          <w:b w:val="1"/>
          <w:sz w:val="24"/>
        </w:rPr>
        <w:t>:</w:t>
      </w:r>
    </w:p>
    <w:p w14:paraId="2A010000">
      <w:pPr>
        <w:pStyle w:val="Style_7"/>
        <w:rPr>
          <w:rFonts w:ascii="Serif" w:hAnsi="Serif"/>
          <w:b w:val="0"/>
          <w:sz w:val="24"/>
        </w:rPr>
      </w:pPr>
      <w:r>
        <w:rPr>
          <w:rFonts w:ascii="Serif" w:hAnsi="Serif"/>
          <w:b w:val="0"/>
          <w:sz w:val="24"/>
        </w:rPr>
        <w:t xml:space="preserve">Гарантия Поставщика на поставленный товар должна составлять не менее 12 (двенадцати) месяцев со дня, следующего за днём подписания Государственным заказчиком документа о приёмке товара. Выполнение гарантийных обязательств осуществляется силами Поставщика в течение 7 (семи) рабочих дней с момента уведомления Государственным заказчиком Поставщика о необходимости выполнения гарантийных обязательств. В случае необходимости замены неисправного товара в пределах гарантийного срока, Поставщик обязан производить замену неисправного товара на исправный аналогичный товар или товар с лучшими потребительскими (эксплуатационными) характеристиками. </w:t>
      </w:r>
    </w:p>
    <w:p w14:paraId="2B010000">
      <w:pPr>
        <w:pStyle w:val="Style_7"/>
        <w:rPr>
          <w:rFonts w:ascii="Serif" w:hAnsi="Serif"/>
          <w:b w:val="0"/>
          <w:sz w:val="24"/>
        </w:rPr>
      </w:pPr>
    </w:p>
    <w:p w14:paraId="2C010000">
      <w:pPr>
        <w:pStyle w:val="Style_7"/>
        <w:ind w:firstLine="567"/>
        <w:rPr>
          <w:rFonts w:ascii="Serif" w:hAnsi="Serif"/>
          <w:b w:val="1"/>
          <w:sz w:val="24"/>
        </w:rPr>
      </w:pPr>
      <w:r>
        <w:rPr>
          <w:rFonts w:ascii="Serif" w:hAnsi="Serif"/>
          <w:b w:val="1"/>
          <w:sz w:val="24"/>
        </w:rPr>
        <w:t>23. Требования к поставщику товара</w:t>
      </w:r>
      <w:r>
        <w:rPr>
          <w:rFonts w:ascii="Serif" w:hAnsi="Serif"/>
          <w:b w:val="1"/>
          <w:sz w:val="24"/>
        </w:rPr>
        <w:t xml:space="preserve">: </w:t>
      </w:r>
    </w:p>
    <w:p w14:paraId="2D010000">
      <w:pPr>
        <w:pStyle w:val="Style_7"/>
        <w:rPr>
          <w:rFonts w:ascii="Serif" w:hAnsi="Serif"/>
          <w:b w:val="0"/>
          <w:sz w:val="24"/>
        </w:rPr>
      </w:pPr>
      <w:r>
        <w:rPr>
          <w:rFonts w:ascii="Serif" w:hAnsi="Serif"/>
          <w:b w:val="0"/>
          <w:sz w:val="24"/>
        </w:rPr>
        <w:t xml:space="preserve">Требования, установленные в соответствии с ч. 1 ст. 31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Федеральный закон № 44-ФЗ), а также отсутствие в реестре </w:t>
      </w:r>
      <w:r>
        <w:rPr>
          <w:rFonts w:ascii="Serif" w:hAnsi="Serif"/>
          <w:b w:val="0"/>
          <w:sz w:val="24"/>
        </w:rPr>
        <w:t>недобросовестных поставщиков, предусмотренном законодательством Российской Федерации о размещении заказов.</w:t>
      </w:r>
    </w:p>
    <w:p w14:paraId="2E010000">
      <w:pPr>
        <w:pStyle w:val="Style_7"/>
        <w:rPr>
          <w:rFonts w:ascii="Serif" w:hAnsi="Serif"/>
          <w:b w:val="0"/>
          <w:sz w:val="24"/>
        </w:rPr>
      </w:pPr>
      <w:r>
        <w:rPr>
          <w:rFonts w:ascii="Serif" w:hAnsi="Serif"/>
          <w:b w:val="1"/>
          <w:sz w:val="24"/>
        </w:rPr>
        <w:t>24. Критерии оценки товара:</w:t>
      </w:r>
      <w:r>
        <w:rPr>
          <w:rFonts w:ascii="Serif" w:hAnsi="Serif"/>
          <w:b w:val="0"/>
          <w:sz w:val="24"/>
        </w:rPr>
        <w:t xml:space="preserve"> </w:t>
      </w:r>
      <w:r>
        <w:rPr>
          <w:rFonts w:ascii="Serif" w:hAnsi="Serif"/>
          <w:b w:val="0"/>
          <w:sz w:val="24"/>
        </w:rPr>
        <w:t>В соответствии с Федеральным законом № 44-ФЗ</w:t>
      </w:r>
      <w:r>
        <w:rPr>
          <w:rFonts w:ascii="Serif" w:hAnsi="Serif"/>
          <w:b w:val="0"/>
          <w:sz w:val="24"/>
        </w:rPr>
        <w:t>.</w:t>
      </w:r>
    </w:p>
    <w:p w14:paraId="2F010000">
      <w:pPr>
        <w:rPr>
          <w:rFonts w:ascii="Serif" w:hAnsi="Serif"/>
          <w:sz w:val="24"/>
        </w:rPr>
      </w:pPr>
    </w:p>
    <w:p w14:paraId="30010000">
      <w:pPr>
        <w:rPr>
          <w:rFonts w:ascii="Serif" w:hAnsi="Serif"/>
          <w:sz w:val="24"/>
        </w:rPr>
      </w:pPr>
    </w:p>
    <w:p w14:paraId="31010000">
      <w:pPr>
        <w:rPr>
          <w:rFonts w:ascii="Serif" w:hAnsi="Serif"/>
          <w:sz w:val="24"/>
        </w:rPr>
      </w:pPr>
      <w:r>
        <w:rPr>
          <w:rFonts w:ascii="Serif" w:hAnsi="Serif"/>
          <w:sz w:val="24"/>
        </w:rPr>
        <w:t xml:space="preserve">  Начальник отдела ХО и ППГ                                                               С.А. </w:t>
      </w:r>
      <w:r>
        <w:rPr>
          <w:rFonts w:ascii="Serif" w:hAnsi="Serif"/>
          <w:sz w:val="24"/>
        </w:rPr>
        <w:t>Паздерина</w:t>
      </w:r>
    </w:p>
    <w:p w14:paraId="32010000">
      <w:pPr>
        <w:pStyle w:val="Style_7"/>
        <w:rPr>
          <w:rFonts w:ascii="Serif" w:hAnsi="Serif"/>
          <w:b w:val="0"/>
          <w:sz w:val="24"/>
        </w:rPr>
      </w:pPr>
    </w:p>
    <w:p w14:paraId="33010000">
      <w:pPr>
        <w:rPr>
          <w:rFonts w:ascii="Serif" w:hAnsi="Serif"/>
          <w:sz w:val="24"/>
        </w:rPr>
      </w:pPr>
    </w:p>
    <w:tbl>
      <w:tblPr>
        <w:tblStyle w:val="Style_6"/>
        <w:tblW w:type="auto" w:w="0"/>
        <w:tblInd w:type="dxa" w:w="0"/>
        <w:tblLayout w:type="fixed"/>
        <w:tblCellMar>
          <w:top w:type="dxa" w:w="0"/>
          <w:left w:type="dxa" w:w="108"/>
          <w:bottom w:type="dxa" w:w="0"/>
          <w:right w:type="dxa" w:w="108"/>
        </w:tblCellMar>
      </w:tblPr>
      <w:tblGrid>
        <w:gridCol w:w="5265"/>
        <w:gridCol w:w="4950"/>
      </w:tblGrid>
      <w:tr>
        <w:trPr>
          <w:trHeight w:hRule="atLeast" w:val="2040"/>
        </w:trPr>
        <w:tc>
          <w:tcPr>
            <w:tcW w:type="dxa" w:w="5265"/>
            <w:shd w:fill="auto" w:val="clear"/>
            <w:tcMar>
              <w:top w:type="dxa" w:w="0"/>
              <w:left w:type="dxa" w:w="108"/>
              <w:bottom w:type="dxa" w:w="0"/>
              <w:right w:type="dxa" w:w="108"/>
            </w:tcMar>
          </w:tcPr>
          <w:p w14:paraId="3401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ЗАКАЗЧИК:</w:t>
            </w:r>
          </w:p>
          <w:p w14:paraId="35010000">
            <w:pPr>
              <w:pStyle w:val="Style_2"/>
              <w:widowControl w:val="0"/>
              <w:spacing w:after="0" w:before="0" w:line="240" w:lineRule="auto"/>
              <w:ind w:firstLine="0" w:left="0" w:right="0"/>
              <w:jc w:val="left"/>
              <w:rPr>
                <w:rFonts w:ascii="Serif" w:hAnsi="Serif"/>
                <w:b w:val="1"/>
                <w:color w:val="000000"/>
                <w:sz w:val="24"/>
              </w:rPr>
            </w:pPr>
            <w:r>
              <w:rPr>
                <w:rFonts w:ascii="Serif" w:hAnsi="Serif"/>
                <w:b w:val="1"/>
                <w:color w:val="000000"/>
                <w:spacing w:val="0"/>
                <w:sz w:val="24"/>
              </w:rPr>
              <w:t>Федеральное казенное учреждение</w:t>
            </w:r>
          </w:p>
          <w:p w14:paraId="36010000">
            <w:pPr>
              <w:pStyle w:val="Style_2"/>
              <w:widowControl w:val="0"/>
              <w:spacing w:after="0" w:before="0" w:line="240" w:lineRule="auto"/>
              <w:ind w:firstLine="0" w:left="0" w:right="0"/>
              <w:jc w:val="left"/>
              <w:rPr>
                <w:rFonts w:ascii="Serif" w:hAnsi="Serif"/>
                <w:b w:val="1"/>
                <w:color w:val="000000"/>
                <w:sz w:val="24"/>
              </w:rPr>
            </w:pPr>
            <w:r>
              <w:rPr>
                <w:rFonts w:ascii="Serif" w:hAnsi="Serif"/>
                <w:b w:val="1"/>
                <w:color w:val="000000"/>
                <w:spacing w:val="0"/>
                <w:sz w:val="24"/>
              </w:rPr>
              <w:t>«Центр хранения страхового фонда» (ЦХСФ)</w:t>
            </w:r>
          </w:p>
          <w:p w14:paraId="37010000">
            <w:pPr>
              <w:pStyle w:val="Style_2"/>
              <w:widowControl w:val="0"/>
              <w:spacing w:after="0" w:before="0" w:line="240" w:lineRule="auto"/>
              <w:ind w:firstLine="0" w:left="0" w:right="0"/>
              <w:jc w:val="left"/>
              <w:rPr>
                <w:rFonts w:ascii="Serif" w:hAnsi="Serif"/>
                <w:b w:val="0"/>
                <w:color w:val="000000"/>
                <w:sz w:val="24"/>
              </w:rPr>
            </w:pPr>
          </w:p>
          <w:p w14:paraId="38010000">
            <w:pPr>
              <w:pStyle w:val="Style_2"/>
              <w:widowControl w:val="0"/>
              <w:spacing w:after="0" w:before="0" w:line="240" w:lineRule="auto"/>
              <w:ind w:firstLine="0" w:left="0" w:right="0"/>
              <w:jc w:val="left"/>
              <w:rPr>
                <w:rFonts w:ascii="Serif" w:hAnsi="Serif"/>
                <w:b w:val="0"/>
                <w:color w:val="000000"/>
                <w:sz w:val="24"/>
              </w:rPr>
            </w:pPr>
            <w:r>
              <w:rPr>
                <w:rFonts w:ascii="Serif" w:hAnsi="Serif"/>
                <w:b w:val="0"/>
                <w:color w:val="000000"/>
                <w:sz w:val="24"/>
              </w:rPr>
              <w:t>Директор ___________________Д.С.Васильев</w:t>
            </w:r>
          </w:p>
          <w:p w14:paraId="39010000">
            <w:pPr>
              <w:pStyle w:val="Style_2"/>
              <w:widowControl w:val="0"/>
              <w:spacing w:after="0" w:before="0" w:line="240" w:lineRule="auto"/>
              <w:ind w:firstLine="0" w:left="0" w:right="0"/>
              <w:jc w:val="left"/>
              <w:rPr>
                <w:rFonts w:ascii="Serif" w:hAnsi="Serif"/>
                <w:b w:val="1"/>
                <w:color w:val="000000"/>
                <w:sz w:val="24"/>
              </w:rPr>
            </w:pPr>
            <w:r>
              <w:rPr>
                <w:rFonts w:ascii="Serif" w:hAnsi="Serif"/>
                <w:b w:val="0"/>
                <w:color w:val="000000"/>
                <w:sz w:val="24"/>
              </w:rPr>
              <w:t>М.П</w:t>
            </w:r>
            <w:r>
              <w:rPr>
                <w:rFonts w:ascii="Serif" w:hAnsi="Serif"/>
                <w:b w:val="1"/>
                <w:color w:val="000000"/>
                <w:sz w:val="24"/>
              </w:rPr>
              <w:t>.</w:t>
            </w:r>
          </w:p>
        </w:tc>
        <w:tc>
          <w:tcPr>
            <w:tcW w:type="dxa" w:w="4950"/>
            <w:shd w:fill="auto" w:val="clear"/>
            <w:tcMar>
              <w:top w:type="dxa" w:w="0"/>
              <w:left w:type="dxa" w:w="108"/>
              <w:bottom w:type="dxa" w:w="0"/>
              <w:right w:type="dxa" w:w="108"/>
            </w:tcMar>
          </w:tcPr>
          <w:p w14:paraId="3A01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ПОСТАВЩИК:</w:t>
            </w:r>
          </w:p>
        </w:tc>
      </w:tr>
    </w:tbl>
    <w:p w14:paraId="3B010000">
      <w:pPr>
        <w:pStyle w:val="Style_2"/>
        <w:spacing w:after="0" w:before="0" w:line="240" w:lineRule="auto"/>
        <w:ind/>
        <w:jc w:val="right"/>
        <w:rPr>
          <w:rFonts w:ascii="Serif" w:hAnsi="Serif"/>
          <w:color w:val="000000"/>
          <w:sz w:val="24"/>
        </w:rPr>
      </w:pPr>
    </w:p>
    <w:p w14:paraId="3C010000">
      <w:pPr>
        <w:pStyle w:val="Style_2"/>
        <w:spacing w:after="0" w:before="0" w:line="240" w:lineRule="auto"/>
        <w:ind/>
        <w:jc w:val="right"/>
        <w:rPr>
          <w:rFonts w:ascii="Serif" w:hAnsi="Serif"/>
          <w:color w:val="000000"/>
          <w:sz w:val="24"/>
        </w:rPr>
      </w:pPr>
    </w:p>
    <w:p w14:paraId="3D010000">
      <w:pPr>
        <w:pStyle w:val="Style_2"/>
        <w:spacing w:after="0" w:before="0" w:line="240" w:lineRule="auto"/>
        <w:ind/>
        <w:jc w:val="right"/>
        <w:rPr>
          <w:rFonts w:ascii="Serif" w:hAnsi="Serif"/>
          <w:color w:val="000000"/>
          <w:sz w:val="24"/>
        </w:rPr>
      </w:pPr>
    </w:p>
    <w:p w14:paraId="3E010000">
      <w:pPr>
        <w:pStyle w:val="Style_2"/>
        <w:spacing w:after="0" w:before="0" w:line="240" w:lineRule="auto"/>
        <w:ind/>
        <w:jc w:val="right"/>
        <w:rPr>
          <w:rFonts w:ascii="Serif" w:hAnsi="Serif"/>
          <w:color w:val="000000"/>
          <w:sz w:val="24"/>
        </w:rPr>
      </w:pPr>
    </w:p>
    <w:p w14:paraId="3F010000">
      <w:pPr>
        <w:pStyle w:val="Style_2"/>
        <w:spacing w:after="0" w:before="0" w:line="240" w:lineRule="auto"/>
        <w:ind/>
        <w:jc w:val="right"/>
        <w:rPr>
          <w:rFonts w:ascii="Serif" w:hAnsi="Serif"/>
          <w:color w:val="000000"/>
          <w:sz w:val="24"/>
        </w:rPr>
      </w:pPr>
    </w:p>
    <w:p w14:paraId="40010000">
      <w:pPr>
        <w:pStyle w:val="Style_2"/>
        <w:spacing w:after="0" w:before="0" w:line="240" w:lineRule="auto"/>
        <w:ind/>
        <w:jc w:val="right"/>
        <w:rPr>
          <w:rFonts w:ascii="Serif" w:hAnsi="Serif"/>
          <w:color w:val="000000"/>
          <w:sz w:val="24"/>
        </w:rPr>
      </w:pPr>
    </w:p>
    <w:p w14:paraId="41010000">
      <w:pPr>
        <w:pStyle w:val="Style_2"/>
        <w:spacing w:after="0" w:before="0" w:line="240" w:lineRule="auto"/>
        <w:ind/>
        <w:jc w:val="right"/>
        <w:rPr>
          <w:rFonts w:ascii="Serif" w:hAnsi="Serif"/>
          <w:color w:val="000000"/>
          <w:sz w:val="24"/>
        </w:rPr>
      </w:pPr>
    </w:p>
    <w:p w14:paraId="42010000">
      <w:pPr>
        <w:pStyle w:val="Style_2"/>
        <w:spacing w:after="0" w:before="0" w:line="240" w:lineRule="auto"/>
        <w:ind/>
        <w:jc w:val="right"/>
        <w:rPr>
          <w:rFonts w:ascii="Serif" w:hAnsi="Serif"/>
          <w:color w:val="000000"/>
          <w:sz w:val="24"/>
        </w:rPr>
      </w:pPr>
    </w:p>
    <w:p w14:paraId="43010000">
      <w:pPr>
        <w:pStyle w:val="Style_2"/>
        <w:spacing w:after="0" w:before="0" w:line="240" w:lineRule="auto"/>
        <w:ind/>
        <w:jc w:val="right"/>
        <w:rPr>
          <w:rFonts w:ascii="Serif" w:hAnsi="Serif"/>
          <w:color w:val="000000"/>
          <w:sz w:val="24"/>
        </w:rPr>
      </w:pPr>
    </w:p>
    <w:p w14:paraId="44010000">
      <w:pPr>
        <w:pStyle w:val="Style_2"/>
        <w:spacing w:after="0" w:before="0" w:line="240" w:lineRule="auto"/>
        <w:ind/>
        <w:jc w:val="right"/>
        <w:rPr>
          <w:rFonts w:ascii="Serif" w:hAnsi="Serif"/>
          <w:color w:val="000000"/>
          <w:sz w:val="24"/>
        </w:rPr>
      </w:pPr>
    </w:p>
    <w:p w14:paraId="45010000">
      <w:pPr>
        <w:pStyle w:val="Style_2"/>
        <w:spacing w:after="0" w:before="0" w:line="240" w:lineRule="auto"/>
        <w:ind/>
        <w:jc w:val="right"/>
        <w:rPr>
          <w:rFonts w:ascii="Serif" w:hAnsi="Serif"/>
          <w:color w:val="000000"/>
          <w:sz w:val="24"/>
        </w:rPr>
      </w:pPr>
    </w:p>
    <w:p w14:paraId="46010000">
      <w:pPr>
        <w:pStyle w:val="Style_2"/>
        <w:spacing w:after="0" w:before="0" w:line="240" w:lineRule="auto"/>
        <w:ind/>
        <w:jc w:val="right"/>
        <w:rPr>
          <w:rFonts w:ascii="Serif" w:hAnsi="Serif"/>
          <w:color w:val="000000"/>
          <w:sz w:val="24"/>
        </w:rPr>
      </w:pPr>
    </w:p>
    <w:p w14:paraId="47010000">
      <w:pPr>
        <w:pStyle w:val="Style_2"/>
        <w:spacing w:after="0" w:before="0" w:line="240" w:lineRule="auto"/>
        <w:ind/>
        <w:jc w:val="right"/>
        <w:rPr>
          <w:rFonts w:ascii="Serif" w:hAnsi="Serif"/>
          <w:color w:val="000000"/>
          <w:sz w:val="24"/>
        </w:rPr>
      </w:pPr>
    </w:p>
    <w:p w14:paraId="48010000">
      <w:pPr>
        <w:pStyle w:val="Style_2"/>
        <w:spacing w:after="0" w:before="0" w:line="240" w:lineRule="auto"/>
        <w:ind/>
        <w:jc w:val="right"/>
        <w:rPr>
          <w:rFonts w:ascii="Serif" w:hAnsi="Serif"/>
          <w:color w:val="000000"/>
          <w:sz w:val="24"/>
        </w:rPr>
      </w:pPr>
    </w:p>
    <w:p w14:paraId="49010000">
      <w:pPr>
        <w:pStyle w:val="Style_2"/>
        <w:spacing w:after="0" w:before="0" w:line="240" w:lineRule="auto"/>
        <w:ind/>
        <w:jc w:val="right"/>
        <w:rPr>
          <w:rFonts w:ascii="Serif" w:hAnsi="Serif"/>
          <w:color w:val="000000"/>
          <w:sz w:val="24"/>
        </w:rPr>
      </w:pPr>
    </w:p>
    <w:p w14:paraId="4A010000">
      <w:pPr>
        <w:pStyle w:val="Style_2"/>
        <w:spacing w:after="0" w:before="0" w:line="240" w:lineRule="auto"/>
        <w:ind/>
        <w:jc w:val="right"/>
        <w:rPr>
          <w:rFonts w:ascii="Serif" w:hAnsi="Serif"/>
          <w:color w:val="000000"/>
          <w:sz w:val="24"/>
        </w:rPr>
      </w:pPr>
    </w:p>
    <w:p w14:paraId="4B010000">
      <w:pPr>
        <w:pStyle w:val="Style_2"/>
        <w:spacing w:after="0" w:before="0" w:line="240" w:lineRule="auto"/>
        <w:ind/>
        <w:jc w:val="right"/>
        <w:rPr>
          <w:rFonts w:ascii="Serif" w:hAnsi="Serif"/>
          <w:color w:val="000000"/>
          <w:sz w:val="24"/>
        </w:rPr>
      </w:pPr>
    </w:p>
    <w:p w14:paraId="4C010000">
      <w:pPr>
        <w:pStyle w:val="Style_2"/>
        <w:spacing w:after="0" w:before="0" w:line="240" w:lineRule="auto"/>
        <w:ind/>
        <w:jc w:val="right"/>
        <w:rPr>
          <w:rFonts w:ascii="Serif" w:hAnsi="Serif"/>
          <w:color w:val="000000"/>
          <w:sz w:val="24"/>
        </w:rPr>
      </w:pPr>
    </w:p>
    <w:p w14:paraId="4D010000">
      <w:pPr>
        <w:pStyle w:val="Style_2"/>
        <w:spacing w:after="0" w:before="0" w:line="240" w:lineRule="auto"/>
        <w:ind/>
        <w:jc w:val="right"/>
        <w:rPr>
          <w:rFonts w:ascii="Serif" w:hAnsi="Serif"/>
          <w:color w:val="000000"/>
          <w:sz w:val="24"/>
        </w:rPr>
      </w:pPr>
    </w:p>
    <w:p w14:paraId="4E010000">
      <w:pPr>
        <w:pStyle w:val="Style_2"/>
        <w:spacing w:after="0" w:before="0" w:line="240" w:lineRule="auto"/>
        <w:ind/>
        <w:jc w:val="right"/>
        <w:rPr>
          <w:rFonts w:ascii="Serif" w:hAnsi="Serif"/>
          <w:color w:val="000000"/>
          <w:sz w:val="24"/>
        </w:rPr>
      </w:pPr>
    </w:p>
    <w:p w14:paraId="4F010000">
      <w:pPr>
        <w:pStyle w:val="Style_2"/>
        <w:spacing w:after="0" w:before="0" w:line="240" w:lineRule="auto"/>
        <w:ind/>
        <w:jc w:val="right"/>
        <w:rPr>
          <w:rFonts w:ascii="Serif" w:hAnsi="Serif"/>
          <w:color w:val="000000"/>
          <w:sz w:val="24"/>
        </w:rPr>
      </w:pPr>
    </w:p>
    <w:p w14:paraId="50010000">
      <w:pPr>
        <w:pStyle w:val="Style_2"/>
        <w:spacing w:after="0" w:before="0" w:line="240" w:lineRule="auto"/>
        <w:ind/>
        <w:jc w:val="right"/>
        <w:rPr>
          <w:rFonts w:ascii="Serif" w:hAnsi="Serif"/>
          <w:color w:val="000000"/>
          <w:sz w:val="24"/>
        </w:rPr>
      </w:pPr>
    </w:p>
    <w:p w14:paraId="51010000">
      <w:pPr>
        <w:pStyle w:val="Style_2"/>
        <w:spacing w:after="0" w:before="0" w:line="240" w:lineRule="auto"/>
        <w:ind/>
        <w:jc w:val="right"/>
        <w:rPr>
          <w:rFonts w:ascii="Serif" w:hAnsi="Serif"/>
          <w:color w:val="000000"/>
          <w:sz w:val="24"/>
        </w:rPr>
      </w:pPr>
    </w:p>
    <w:p w14:paraId="52010000">
      <w:pPr>
        <w:pStyle w:val="Style_2"/>
        <w:spacing w:after="0" w:before="0" w:line="240" w:lineRule="auto"/>
        <w:ind/>
        <w:jc w:val="right"/>
        <w:rPr>
          <w:rFonts w:ascii="Serif" w:hAnsi="Serif"/>
          <w:color w:val="000000"/>
          <w:sz w:val="24"/>
        </w:rPr>
      </w:pPr>
    </w:p>
    <w:p w14:paraId="53010000">
      <w:pPr>
        <w:pStyle w:val="Style_2"/>
        <w:spacing w:after="0" w:before="0" w:line="240" w:lineRule="auto"/>
        <w:ind/>
        <w:jc w:val="right"/>
        <w:rPr>
          <w:rFonts w:ascii="Serif" w:hAnsi="Serif"/>
          <w:color w:val="000000"/>
          <w:sz w:val="24"/>
        </w:rPr>
      </w:pPr>
    </w:p>
    <w:p w14:paraId="54010000">
      <w:pPr>
        <w:pStyle w:val="Style_2"/>
        <w:spacing w:after="0" w:before="0" w:line="240" w:lineRule="auto"/>
        <w:ind/>
        <w:jc w:val="right"/>
        <w:rPr>
          <w:rFonts w:ascii="Serif" w:hAnsi="Serif"/>
          <w:color w:val="000000"/>
          <w:sz w:val="24"/>
        </w:rPr>
      </w:pPr>
    </w:p>
    <w:p w14:paraId="55010000">
      <w:pPr>
        <w:pStyle w:val="Style_2"/>
        <w:spacing w:after="0" w:before="0" w:line="240" w:lineRule="auto"/>
        <w:ind/>
        <w:jc w:val="right"/>
        <w:rPr>
          <w:rFonts w:ascii="Serif" w:hAnsi="Serif"/>
          <w:color w:val="000000"/>
          <w:sz w:val="24"/>
        </w:rPr>
      </w:pPr>
    </w:p>
    <w:p w14:paraId="56010000">
      <w:pPr>
        <w:pStyle w:val="Style_2"/>
        <w:spacing w:after="0" w:before="0" w:line="240" w:lineRule="auto"/>
        <w:ind/>
        <w:jc w:val="right"/>
        <w:rPr>
          <w:rFonts w:ascii="Serif" w:hAnsi="Serif"/>
          <w:color w:val="000000"/>
          <w:sz w:val="24"/>
        </w:rPr>
      </w:pPr>
    </w:p>
    <w:p w14:paraId="57010000">
      <w:pPr>
        <w:pStyle w:val="Style_2"/>
        <w:widowControl w:val="0"/>
        <w:spacing w:after="0" w:before="0" w:line="240" w:lineRule="auto"/>
        <w:ind w:firstLine="680" w:left="0" w:right="0"/>
        <w:jc w:val="right"/>
        <w:rPr>
          <w:rFonts w:ascii="Serif" w:hAnsi="Serif"/>
          <w:color w:val="000000"/>
          <w:sz w:val="24"/>
        </w:rPr>
      </w:pPr>
    </w:p>
    <w:p w14:paraId="58010000">
      <w:pPr>
        <w:pStyle w:val="Style_2"/>
        <w:widowControl w:val="0"/>
        <w:spacing w:after="0" w:before="0" w:line="240" w:lineRule="auto"/>
        <w:ind w:firstLine="680" w:left="0" w:right="0"/>
        <w:jc w:val="right"/>
        <w:rPr>
          <w:rFonts w:ascii="Serif" w:hAnsi="Serif"/>
          <w:color w:val="000000"/>
          <w:sz w:val="24"/>
        </w:rPr>
      </w:pPr>
    </w:p>
    <w:p w14:paraId="59010000">
      <w:pPr>
        <w:pStyle w:val="Style_2"/>
        <w:widowControl w:val="0"/>
        <w:spacing w:after="0" w:before="0" w:line="240" w:lineRule="auto"/>
        <w:ind w:firstLine="680" w:left="0" w:right="0"/>
        <w:jc w:val="right"/>
        <w:rPr>
          <w:rFonts w:ascii="Serif" w:hAnsi="Serif"/>
          <w:color w:val="000000"/>
          <w:sz w:val="24"/>
        </w:rPr>
      </w:pPr>
    </w:p>
    <w:p w14:paraId="5A010000">
      <w:pPr>
        <w:pStyle w:val="Style_2"/>
        <w:widowControl w:val="0"/>
        <w:spacing w:after="0" w:before="0" w:line="240" w:lineRule="auto"/>
        <w:ind w:firstLine="680" w:left="0" w:right="0"/>
        <w:jc w:val="right"/>
        <w:rPr>
          <w:rFonts w:ascii="Serif" w:hAnsi="Serif"/>
          <w:color w:val="000000"/>
          <w:sz w:val="24"/>
        </w:rPr>
      </w:pPr>
      <w:r>
        <w:rPr>
          <w:rFonts w:ascii="Serif" w:hAnsi="Serif"/>
          <w:color w:val="000000"/>
          <w:sz w:val="24"/>
        </w:rPr>
        <w:br w:type="column"/>
      </w:r>
      <w:r>
        <w:rPr>
          <w:rFonts w:ascii="Serif" w:hAnsi="Serif"/>
          <w:color w:val="000000"/>
          <w:sz w:val="24"/>
        </w:rPr>
        <w:t xml:space="preserve">Приложение № 2 </w:t>
      </w:r>
    </w:p>
    <w:p w14:paraId="5B010000">
      <w:pPr>
        <w:pStyle w:val="Style_2"/>
        <w:widowControl w:val="0"/>
        <w:spacing w:after="0" w:before="0" w:line="240" w:lineRule="auto"/>
        <w:ind w:firstLine="680" w:left="0" w:right="0"/>
        <w:jc w:val="right"/>
        <w:rPr>
          <w:rFonts w:ascii="Serif" w:hAnsi="Serif"/>
          <w:color w:val="000000"/>
          <w:sz w:val="24"/>
        </w:rPr>
      </w:pPr>
      <w:r>
        <w:rPr>
          <w:rFonts w:ascii="Serif" w:hAnsi="Serif"/>
          <w:color w:val="000000"/>
          <w:sz w:val="24"/>
        </w:rPr>
        <w:t>к Контракту №______</w:t>
      </w:r>
    </w:p>
    <w:p w14:paraId="5C010000">
      <w:pPr>
        <w:pStyle w:val="Style_2"/>
        <w:spacing w:after="0" w:before="0" w:line="240" w:lineRule="auto"/>
        <w:ind w:firstLine="680" w:left="0" w:right="0"/>
        <w:jc w:val="right"/>
        <w:rPr>
          <w:rFonts w:ascii="Serif" w:hAnsi="Serif"/>
          <w:color w:val="000000"/>
          <w:sz w:val="24"/>
        </w:rPr>
      </w:pPr>
      <w:r>
        <w:rPr>
          <w:rFonts w:ascii="Serif" w:hAnsi="Serif"/>
          <w:color w:val="000000"/>
          <w:sz w:val="24"/>
        </w:rPr>
        <w:t xml:space="preserve"> </w:t>
      </w:r>
      <w:r>
        <w:rPr>
          <w:rFonts w:ascii="Serif" w:hAnsi="Serif"/>
          <w:color w:val="000000"/>
          <w:sz w:val="24"/>
        </w:rPr>
        <w:t>от «____» _____ 2026 г.</w:t>
      </w:r>
    </w:p>
    <w:p w14:paraId="5D010000">
      <w:pPr>
        <w:pStyle w:val="Style_2"/>
        <w:spacing w:after="0" w:before="0" w:line="240" w:lineRule="auto"/>
        <w:ind w:firstLine="680" w:left="0" w:right="0"/>
        <w:jc w:val="right"/>
        <w:rPr>
          <w:rFonts w:ascii="Serif" w:hAnsi="Serif"/>
          <w:color w:val="000000"/>
          <w:sz w:val="24"/>
        </w:rPr>
      </w:pPr>
    </w:p>
    <w:p w14:paraId="5E010000">
      <w:pPr>
        <w:pStyle w:val="Style_2"/>
        <w:spacing w:after="0" w:before="0" w:line="240" w:lineRule="auto"/>
        <w:ind w:firstLine="680" w:left="0" w:right="0"/>
        <w:jc w:val="center"/>
        <w:rPr>
          <w:rFonts w:ascii="Serif" w:hAnsi="Serif"/>
          <w:b w:val="1"/>
          <w:color w:val="000000"/>
          <w:sz w:val="24"/>
        </w:rPr>
      </w:pPr>
      <w:r>
        <w:rPr>
          <w:rFonts w:ascii="Serif" w:hAnsi="Serif"/>
          <w:b w:val="1"/>
          <w:color w:val="000000"/>
          <w:sz w:val="24"/>
        </w:rPr>
        <w:t>СПЕЦИФИКАЦИЯ</w:t>
      </w:r>
    </w:p>
    <w:p w14:paraId="5F010000">
      <w:pPr>
        <w:pStyle w:val="Style_2"/>
        <w:spacing w:after="0" w:before="0" w:line="240" w:lineRule="auto"/>
        <w:ind w:firstLine="680" w:left="0" w:right="0"/>
        <w:jc w:val="center"/>
        <w:rPr>
          <w:rFonts w:ascii="Serif" w:hAnsi="Serif"/>
          <w:b w:val="1"/>
          <w:color w:val="000000"/>
          <w:sz w:val="24"/>
        </w:rPr>
      </w:pPr>
      <w:r>
        <w:rPr>
          <w:rFonts w:ascii="Serif" w:hAnsi="Serif"/>
          <w:b w:val="1"/>
          <w:color w:val="000000"/>
          <w:sz w:val="24"/>
        </w:rPr>
        <w:t>на поставку товара</w:t>
      </w:r>
    </w:p>
    <w:p w14:paraId="60010000">
      <w:pPr>
        <w:pStyle w:val="Style_2"/>
        <w:spacing w:after="0" w:before="0" w:line="240" w:lineRule="auto"/>
        <w:ind w:firstLine="680" w:left="0" w:right="0"/>
        <w:jc w:val="center"/>
        <w:rPr>
          <w:rFonts w:ascii="Serif" w:hAnsi="Serif"/>
          <w:b w:val="1"/>
          <w:color w:val="000000"/>
          <w:sz w:val="24"/>
        </w:rPr>
      </w:pPr>
    </w:p>
    <w:tbl>
      <w:tblPr>
        <w:tblStyle w:val="Style_6"/>
        <w:tblW w:type="auto" w:w="0"/>
        <w:jc w:val="left"/>
        <w:tblInd w:type="dxa" w:w="-405"/>
        <w:tblLayout w:type="fixed"/>
        <w:tblCellMar>
          <w:top w:type="dxa" w:w="0"/>
          <w:left w:type="dxa" w:w="79"/>
          <w:bottom w:type="dxa" w:w="0"/>
          <w:right w:type="dxa" w:w="79"/>
        </w:tblCellMar>
      </w:tblPr>
      <w:tblGrid>
        <w:gridCol w:w="2405"/>
        <w:gridCol w:w="3152"/>
        <w:gridCol w:w="883"/>
        <w:gridCol w:w="835"/>
        <w:gridCol w:w="1515"/>
        <w:gridCol w:w="1820"/>
      </w:tblGrid>
      <w:tr>
        <w:trPr>
          <w:trHeight w:hRule="atLeast" w:val="409"/>
        </w:trPr>
        <w:tc>
          <w:tcPr>
            <w:tcW w:type="dxa" w:w="2405"/>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61010000">
            <w:pPr>
              <w:pStyle w:val="Style_2"/>
              <w:widowControl w:val="1"/>
              <w:spacing w:after="0" w:before="0" w:line="240" w:lineRule="auto"/>
              <w:ind w:firstLine="0" w:left="0" w:right="0"/>
              <w:jc w:val="center"/>
              <w:rPr>
                <w:rFonts w:ascii="Serif" w:hAnsi="Serif"/>
                <w:b w:val="1"/>
                <w:color w:val="000000"/>
                <w:spacing w:val="0"/>
                <w:sz w:val="20"/>
                <w:u w:val="none"/>
              </w:rPr>
            </w:pPr>
            <w:r>
              <w:rPr>
                <w:rFonts w:ascii="Serif" w:hAnsi="Serif"/>
                <w:b w:val="1"/>
                <w:color w:val="000000"/>
                <w:spacing w:val="0"/>
                <w:sz w:val="20"/>
                <w:u w:val="none"/>
              </w:rPr>
              <w:t>Наименование</w:t>
            </w:r>
          </w:p>
        </w:tc>
        <w:tc>
          <w:tcPr>
            <w:tcW w:type="dxa" w:w="3152"/>
            <w:tcBorders>
              <w:top w:color="000000" w:sz="4" w:val="single"/>
              <w:left w:color="000000" w:sz="4" w:val="single"/>
              <w:bottom w:color="000000" w:sz="4" w:val="single"/>
            </w:tcBorders>
            <w:tcMar>
              <w:top w:type="dxa" w:w="0"/>
              <w:left w:type="dxa" w:w="79"/>
              <w:bottom w:type="dxa" w:w="0"/>
              <w:right w:type="dxa" w:w="79"/>
            </w:tcMar>
            <w:vAlign w:val="center"/>
          </w:tcPr>
          <w:p w14:paraId="62010000">
            <w:pPr>
              <w:pStyle w:val="Style_2"/>
              <w:widowControl w:val="1"/>
              <w:spacing w:after="0" w:before="0" w:line="240" w:lineRule="auto"/>
              <w:ind w:firstLine="0" w:left="0" w:right="0"/>
              <w:jc w:val="center"/>
              <w:rPr>
                <w:rFonts w:ascii="Serif" w:hAnsi="Serif"/>
                <w:b w:val="1"/>
                <w:color w:val="000000"/>
                <w:spacing w:val="0"/>
                <w:sz w:val="20"/>
                <w:u w:val="none"/>
              </w:rPr>
            </w:pPr>
            <w:r>
              <w:rPr>
                <w:rFonts w:ascii="Serif" w:hAnsi="Serif"/>
                <w:b w:val="1"/>
                <w:color w:val="000000"/>
                <w:spacing w:val="0"/>
                <w:sz w:val="20"/>
                <w:u w:val="none"/>
              </w:rPr>
              <w:t>Предоставление национального режима при осуществлении закупок</w:t>
            </w:r>
          </w:p>
        </w:tc>
        <w:tc>
          <w:tcPr>
            <w:tcW w:type="dxa" w:w="883"/>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63010000">
            <w:pPr>
              <w:pStyle w:val="Style_2"/>
              <w:widowControl w:val="1"/>
              <w:spacing w:after="0" w:before="0" w:line="240" w:lineRule="auto"/>
              <w:ind w:firstLine="0" w:left="0" w:right="0"/>
              <w:jc w:val="center"/>
              <w:rPr>
                <w:rFonts w:ascii="Serif" w:hAnsi="Serif"/>
                <w:b w:val="1"/>
                <w:color w:val="000000"/>
                <w:spacing w:val="0"/>
                <w:sz w:val="20"/>
                <w:u w:val="none"/>
              </w:rPr>
            </w:pPr>
            <w:r>
              <w:rPr>
                <w:rFonts w:ascii="Serif" w:hAnsi="Serif"/>
                <w:b w:val="1"/>
                <w:color w:val="000000"/>
                <w:spacing w:val="0"/>
                <w:sz w:val="20"/>
                <w:u w:val="none"/>
              </w:rPr>
              <w:t>Ед. изм.</w:t>
            </w:r>
          </w:p>
        </w:tc>
        <w:tc>
          <w:tcPr>
            <w:tcW w:type="dxa" w:w="835"/>
            <w:tcBorders>
              <w:top w:color="000000" w:sz="4" w:val="single"/>
              <w:left w:color="000000" w:sz="4" w:val="single"/>
              <w:bottom w:color="000000" w:sz="4" w:val="single"/>
            </w:tcBorders>
            <w:tcMar>
              <w:top w:type="dxa" w:w="0"/>
              <w:left w:type="dxa" w:w="79"/>
              <w:bottom w:type="dxa" w:w="0"/>
              <w:right w:type="dxa" w:w="79"/>
            </w:tcMar>
            <w:vAlign w:val="center"/>
          </w:tcPr>
          <w:p w14:paraId="64010000">
            <w:pPr>
              <w:pStyle w:val="Style_2"/>
              <w:widowControl w:val="1"/>
              <w:spacing w:after="0" w:before="0" w:line="240" w:lineRule="auto"/>
              <w:ind w:firstLine="0" w:left="0" w:right="0"/>
              <w:jc w:val="center"/>
              <w:rPr>
                <w:rFonts w:ascii="Serif" w:hAnsi="Serif"/>
                <w:b w:val="1"/>
                <w:color w:val="000000"/>
                <w:spacing w:val="0"/>
                <w:sz w:val="20"/>
                <w:u w:val="none"/>
              </w:rPr>
            </w:pPr>
            <w:r>
              <w:rPr>
                <w:rFonts w:ascii="Serif" w:hAnsi="Serif"/>
                <w:b w:val="1"/>
                <w:color w:val="000000"/>
                <w:spacing w:val="0"/>
                <w:sz w:val="20"/>
                <w:u w:val="none"/>
              </w:rPr>
              <w:t>Кол-во</w:t>
            </w:r>
          </w:p>
        </w:tc>
        <w:tc>
          <w:tcPr>
            <w:tcW w:type="dxa" w:w="1515"/>
            <w:tcBorders>
              <w:top w:color="000000" w:sz="4" w:val="single"/>
              <w:left w:color="000000" w:sz="4" w:val="single"/>
              <w:bottom w:color="000000" w:sz="4" w:val="single"/>
            </w:tcBorders>
            <w:tcMar>
              <w:top w:type="dxa" w:w="0"/>
              <w:left w:type="dxa" w:w="79"/>
              <w:bottom w:type="dxa" w:w="0"/>
              <w:right w:type="dxa" w:w="79"/>
            </w:tcMar>
            <w:vAlign w:val="center"/>
          </w:tcPr>
          <w:p w14:paraId="65010000">
            <w:pPr>
              <w:pStyle w:val="Style_2"/>
              <w:widowControl w:val="1"/>
              <w:spacing w:after="0" w:before="0" w:line="240" w:lineRule="auto"/>
              <w:ind w:firstLine="0" w:left="0" w:right="0"/>
              <w:jc w:val="center"/>
              <w:rPr>
                <w:rFonts w:ascii="Serif" w:hAnsi="Serif"/>
                <w:b w:val="1"/>
                <w:sz w:val="20"/>
              </w:rPr>
            </w:pPr>
            <w:r>
              <w:rPr>
                <w:rFonts w:ascii="Serif" w:hAnsi="Serif"/>
                <w:b w:val="1"/>
                <w:sz w:val="20"/>
              </w:rPr>
              <w:t>Цена за ед.</w:t>
            </w:r>
          </w:p>
          <w:p w14:paraId="66010000">
            <w:pPr>
              <w:pStyle w:val="Style_2"/>
              <w:widowControl w:val="1"/>
              <w:spacing w:after="0" w:before="0" w:line="240" w:lineRule="auto"/>
              <w:ind w:firstLine="0" w:left="0" w:right="0"/>
              <w:jc w:val="center"/>
              <w:rPr>
                <w:rFonts w:ascii="Serif" w:hAnsi="Serif"/>
                <w:b w:val="1"/>
                <w:sz w:val="20"/>
              </w:rPr>
            </w:pPr>
            <w:r>
              <w:rPr>
                <w:rFonts w:ascii="Serif" w:hAnsi="Serif"/>
                <w:b w:val="1"/>
                <w:sz w:val="20"/>
              </w:rPr>
              <w:t>руб.</w:t>
            </w:r>
          </w:p>
          <w:p w14:paraId="67010000">
            <w:pPr>
              <w:pStyle w:val="Style_2"/>
              <w:widowControl w:val="1"/>
              <w:spacing w:after="0" w:before="0" w:line="240" w:lineRule="auto"/>
              <w:ind w:firstLine="0" w:left="0" w:right="0"/>
              <w:jc w:val="center"/>
              <w:rPr>
                <w:rFonts w:ascii="Serif" w:hAnsi="Serif"/>
                <w:b w:val="1"/>
                <w:sz w:val="20"/>
              </w:rPr>
            </w:pPr>
            <w:r>
              <w:rPr>
                <w:rFonts w:ascii="Serif" w:hAnsi="Serif"/>
                <w:b w:val="1"/>
                <w:sz w:val="20"/>
              </w:rPr>
              <w:t>без НДС/с НДС</w:t>
            </w:r>
          </w:p>
        </w:tc>
        <w:tc>
          <w:tcPr>
            <w:tcW w:type="dxa" w:w="1820"/>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68010000">
            <w:pPr>
              <w:pStyle w:val="Style_2"/>
              <w:widowControl w:val="1"/>
              <w:spacing w:after="0" w:before="0" w:line="240" w:lineRule="auto"/>
              <w:ind w:firstLine="0" w:left="0" w:right="0"/>
              <w:jc w:val="center"/>
              <w:rPr>
                <w:rFonts w:ascii="Serif" w:hAnsi="Serif"/>
                <w:b w:val="1"/>
                <w:sz w:val="20"/>
              </w:rPr>
            </w:pPr>
            <w:r>
              <w:rPr>
                <w:rFonts w:ascii="Serif" w:hAnsi="Serif"/>
                <w:b w:val="1"/>
                <w:sz w:val="20"/>
              </w:rPr>
              <w:t xml:space="preserve">Общая стоимость, руб. без НДС/с НДС </w:t>
            </w:r>
          </w:p>
        </w:tc>
      </w:tr>
      <w:tr>
        <w:trPr>
          <w:trHeight w:hRule="atLeast" w:val="1078"/>
        </w:trPr>
        <w:tc>
          <w:tcPr>
            <w:tcW w:type="dxa" w:w="2405"/>
            <w:tcBorders>
              <w:top w:color="000000" w:sz="4" w:val="single"/>
              <w:left w:color="000000" w:sz="4" w:val="single"/>
              <w:bottom w:color="000000" w:sz="4" w:val="single"/>
              <w:right w:color="000000" w:sz="4" w:val="single"/>
            </w:tcBorders>
            <w:tcMar>
              <w:top w:type="dxa" w:w="0"/>
              <w:left w:type="dxa" w:w="79"/>
              <w:bottom w:type="dxa" w:w="0"/>
              <w:right w:type="dxa" w:w="79"/>
            </w:tcMar>
          </w:tcPr>
          <w:p w14:paraId="69010000">
            <w:pPr>
              <w:pStyle w:val="Style_2"/>
              <w:widowControl w:val="1"/>
              <w:spacing w:after="160" w:before="0" w:line="264" w:lineRule="auto"/>
              <w:ind w:firstLine="0" w:left="0" w:right="0"/>
              <w:jc w:val="left"/>
              <w:rPr>
                <w:rFonts w:ascii="Serif" w:hAnsi="Serif"/>
                <w:color w:val="000000"/>
                <w:spacing w:val="0"/>
                <w:sz w:val="20"/>
                <w:u w:val="none"/>
              </w:rPr>
            </w:pPr>
            <w:r>
              <w:rPr>
                <w:rFonts w:ascii="Serif" w:hAnsi="Serif"/>
                <w:color w:val="000000"/>
                <w:spacing w:val="0"/>
                <w:sz w:val="20"/>
                <w:u w:val="none"/>
              </w:rPr>
              <w:t xml:space="preserve">Диоксан 1.4 (чда) </w:t>
            </w:r>
          </w:p>
          <w:p w14:paraId="6A010000">
            <w:pPr>
              <w:pStyle w:val="Style_2"/>
              <w:widowControl w:val="1"/>
              <w:spacing w:after="160" w:before="0" w:line="264" w:lineRule="auto"/>
              <w:ind w:firstLine="0" w:left="0" w:right="0"/>
              <w:jc w:val="left"/>
              <w:rPr>
                <w:rFonts w:ascii="Serif" w:hAnsi="Serif"/>
                <w:color w:val="000000"/>
                <w:spacing w:val="0"/>
                <w:sz w:val="20"/>
                <w:u w:val="none"/>
              </w:rPr>
            </w:pPr>
            <w:r>
              <w:rPr>
                <w:rFonts w:ascii="Serif" w:hAnsi="Serif"/>
                <w:color w:val="000000"/>
                <w:spacing w:val="0"/>
                <w:sz w:val="20"/>
                <w:u w:val="none"/>
              </w:rPr>
              <w:t xml:space="preserve"> ОКПД 2 20.59.52.194</w:t>
            </w:r>
          </w:p>
        </w:tc>
        <w:tc>
          <w:tcPr>
            <w:tcW w:type="dxa" w:w="3152"/>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6B010000">
            <w:pPr>
              <w:pStyle w:val="Style_2"/>
              <w:widowControl w:val="1"/>
              <w:spacing w:after="0" w:before="0" w:line="240" w:lineRule="auto"/>
              <w:ind w:firstLine="0" w:left="0" w:right="0"/>
              <w:jc w:val="center"/>
              <w:rPr>
                <w:rFonts w:ascii="Serif" w:hAnsi="Serif"/>
                <w:color w:val="000000"/>
                <w:sz w:val="20"/>
                <w:u w:val="none"/>
              </w:rPr>
            </w:pPr>
            <w:r>
              <w:rPr>
                <w:rFonts w:ascii="Serif" w:hAnsi="Serif"/>
                <w:color w:val="000000"/>
                <w:sz w:val="20"/>
                <w:u w:val="none"/>
              </w:rPr>
              <w:t>Ограничение, предусмотренное приложением 2 к Постановлению 1875, не применяется при закупке в соответствии с пунктом 5 части 1 статьи 93 Закона №44-ФЗ</w:t>
            </w:r>
          </w:p>
        </w:tc>
        <w:tc>
          <w:tcPr>
            <w:tcW w:type="dxa" w:w="883"/>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6C010000">
            <w:pPr>
              <w:pStyle w:val="Style_2"/>
              <w:widowControl w:val="1"/>
              <w:spacing w:after="0" w:before="0" w:line="240" w:lineRule="auto"/>
              <w:ind w:firstLine="0" w:left="0" w:right="0"/>
              <w:jc w:val="center"/>
              <w:rPr>
                <w:rFonts w:ascii="Serif" w:hAnsi="Serif"/>
                <w:color w:val="000000"/>
                <w:spacing w:val="0"/>
                <w:sz w:val="20"/>
                <w:u w:val="none"/>
              </w:rPr>
            </w:pPr>
            <w:r>
              <w:rPr>
                <w:rFonts w:ascii="Serif" w:hAnsi="Serif"/>
                <w:color w:val="000000"/>
                <w:spacing w:val="0"/>
                <w:sz w:val="20"/>
                <w:u w:val="none"/>
              </w:rPr>
              <w:t>кг</w:t>
            </w:r>
          </w:p>
        </w:tc>
        <w:tc>
          <w:tcPr>
            <w:tcW w:type="dxa" w:w="835"/>
            <w:tcBorders>
              <w:top w:color="000000" w:sz="4" w:val="single"/>
              <w:left w:color="000000" w:sz="4" w:val="single"/>
              <w:bottom w:color="000000" w:sz="4" w:val="single"/>
            </w:tcBorders>
            <w:tcMar>
              <w:top w:type="dxa" w:w="0"/>
              <w:left w:type="dxa" w:w="79"/>
              <w:bottom w:type="dxa" w:w="0"/>
              <w:right w:type="dxa" w:w="79"/>
            </w:tcMar>
            <w:vAlign w:val="center"/>
          </w:tcPr>
          <w:p w14:paraId="6D010000">
            <w:pPr>
              <w:pStyle w:val="Style_2"/>
              <w:widowControl w:val="1"/>
              <w:spacing w:after="0" w:before="0" w:line="240" w:lineRule="auto"/>
              <w:ind w:firstLine="0" w:left="0" w:right="0"/>
              <w:jc w:val="center"/>
              <w:rPr>
                <w:rFonts w:ascii="Serif" w:hAnsi="Serif"/>
                <w:color w:val="000000"/>
                <w:spacing w:val="0"/>
                <w:sz w:val="20"/>
                <w:u w:val="none"/>
              </w:rPr>
            </w:pPr>
            <w:r>
              <w:rPr>
                <w:rFonts w:ascii="Serif" w:hAnsi="Serif"/>
                <w:color w:val="000000"/>
                <w:spacing w:val="0"/>
                <w:sz w:val="20"/>
                <w:u w:val="none"/>
              </w:rPr>
              <w:t>1,03</w:t>
            </w:r>
          </w:p>
        </w:tc>
        <w:tc>
          <w:tcPr>
            <w:tcW w:type="dxa" w:w="1515"/>
            <w:tcBorders>
              <w:top w:color="000000" w:sz="4" w:val="single"/>
              <w:left w:color="000000" w:sz="4" w:val="single"/>
              <w:bottom w:color="000000" w:sz="4" w:val="single"/>
            </w:tcBorders>
            <w:tcMar>
              <w:top w:type="dxa" w:w="0"/>
              <w:left w:type="dxa" w:w="79"/>
              <w:bottom w:type="dxa" w:w="0"/>
              <w:right w:type="dxa" w:w="79"/>
            </w:tcMar>
            <w:vAlign w:val="center"/>
          </w:tcPr>
          <w:p w14:paraId="6E010000">
            <w:pPr>
              <w:pStyle w:val="Style_2"/>
              <w:widowControl w:val="1"/>
              <w:spacing w:after="0" w:before="0" w:line="240" w:lineRule="auto"/>
              <w:ind w:firstLine="0" w:left="0" w:right="0"/>
              <w:jc w:val="center"/>
              <w:rPr>
                <w:rFonts w:ascii="Serif" w:hAnsi="Serif"/>
                <w:sz w:val="20"/>
              </w:rPr>
            </w:pPr>
          </w:p>
        </w:tc>
        <w:tc>
          <w:tcPr>
            <w:tcW w:type="dxa" w:w="1820"/>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6F010000">
            <w:pPr>
              <w:pStyle w:val="Style_2"/>
              <w:widowControl w:val="1"/>
              <w:spacing w:after="0" w:before="0" w:line="240" w:lineRule="auto"/>
              <w:ind w:firstLine="0" w:left="0" w:right="0"/>
              <w:jc w:val="center"/>
              <w:rPr>
                <w:rFonts w:ascii="Serif" w:hAnsi="Serif"/>
                <w:sz w:val="20"/>
              </w:rPr>
            </w:pPr>
          </w:p>
        </w:tc>
      </w:tr>
      <w:tr>
        <w:trPr>
          <w:trHeight w:hRule="atLeast" w:val="1026"/>
        </w:trPr>
        <w:tc>
          <w:tcPr>
            <w:tcW w:type="dxa" w:w="2405"/>
            <w:tcBorders>
              <w:top w:color="000000" w:sz="4" w:val="single"/>
              <w:left w:color="000000" w:sz="4" w:val="single"/>
              <w:bottom w:color="000000" w:sz="4" w:val="single"/>
              <w:right w:color="000000" w:sz="4" w:val="single"/>
            </w:tcBorders>
            <w:tcMar>
              <w:top w:type="dxa" w:w="0"/>
              <w:left w:type="dxa" w:w="79"/>
              <w:bottom w:type="dxa" w:w="0"/>
              <w:right w:type="dxa" w:w="79"/>
            </w:tcMar>
          </w:tcPr>
          <w:p w14:paraId="70010000">
            <w:pPr>
              <w:pStyle w:val="Style_2"/>
              <w:widowControl w:val="1"/>
              <w:spacing w:after="160" w:before="0" w:line="264" w:lineRule="auto"/>
              <w:ind w:firstLine="0" w:left="0" w:right="0"/>
              <w:jc w:val="left"/>
              <w:rPr>
                <w:rFonts w:ascii="Serif" w:hAnsi="Serif"/>
                <w:color w:val="000000"/>
                <w:spacing w:val="0"/>
                <w:sz w:val="20"/>
                <w:u w:val="none"/>
              </w:rPr>
            </w:pPr>
            <w:r>
              <w:rPr>
                <w:rFonts w:ascii="Serif" w:hAnsi="Serif"/>
                <w:color w:val="000000"/>
                <w:spacing w:val="0"/>
                <w:sz w:val="20"/>
                <w:u w:val="none"/>
              </w:rPr>
              <w:t xml:space="preserve">Ацетон (чда) </w:t>
            </w:r>
          </w:p>
          <w:p w14:paraId="71010000">
            <w:pPr>
              <w:pStyle w:val="Style_2"/>
              <w:widowControl w:val="1"/>
              <w:spacing w:after="160" w:before="0" w:line="264" w:lineRule="auto"/>
              <w:ind w:firstLine="0" w:left="0" w:right="0"/>
              <w:jc w:val="left"/>
              <w:rPr>
                <w:rFonts w:ascii="Serif" w:hAnsi="Serif"/>
                <w:color w:val="000000"/>
                <w:spacing w:val="0"/>
                <w:sz w:val="20"/>
                <w:u w:val="none"/>
              </w:rPr>
            </w:pPr>
            <w:r>
              <w:rPr>
                <w:rFonts w:ascii="Serif" w:hAnsi="Serif"/>
                <w:color w:val="000000"/>
                <w:spacing w:val="0"/>
                <w:sz w:val="20"/>
                <w:u w:val="none"/>
              </w:rPr>
              <w:t>ОКПД 2 20.59.52.194</w:t>
            </w:r>
          </w:p>
        </w:tc>
        <w:tc>
          <w:tcPr>
            <w:tcW w:type="dxa" w:w="3152"/>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72010000">
            <w:r>
              <w:rPr>
                <w:rFonts w:ascii="Serif" w:hAnsi="Serif"/>
                <w:color w:val="000000"/>
                <w:sz w:val="20"/>
                <w:u w:val="none"/>
              </w:rPr>
              <w:t>Ограничение, предусмотренное приложением 2 к Постановлению 1875, не применяется при закупке в соответствии с пунктом 5 части 1 статьи 93 Закона №44-ФЗ</w:t>
            </w:r>
          </w:p>
        </w:tc>
        <w:tc>
          <w:tcPr>
            <w:tcW w:type="dxa" w:w="883"/>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73010000">
            <w:pPr>
              <w:pStyle w:val="Style_2"/>
              <w:widowControl w:val="1"/>
              <w:spacing w:after="0" w:before="0" w:line="240" w:lineRule="auto"/>
              <w:ind w:firstLine="0" w:left="0" w:right="0"/>
              <w:jc w:val="center"/>
              <w:rPr>
                <w:rFonts w:ascii="Serif" w:hAnsi="Serif"/>
                <w:color w:val="000000"/>
                <w:spacing w:val="0"/>
                <w:sz w:val="20"/>
                <w:u w:val="none"/>
              </w:rPr>
            </w:pPr>
            <w:r>
              <w:rPr>
                <w:rFonts w:ascii="Serif" w:hAnsi="Serif"/>
                <w:color w:val="000000"/>
                <w:spacing w:val="0"/>
                <w:sz w:val="20"/>
                <w:u w:val="none"/>
              </w:rPr>
              <w:t>кг</w:t>
            </w:r>
          </w:p>
        </w:tc>
        <w:tc>
          <w:tcPr>
            <w:tcW w:type="dxa" w:w="835"/>
            <w:tcBorders>
              <w:top w:color="000000" w:sz="4" w:val="single"/>
              <w:left w:color="000000" w:sz="4" w:val="single"/>
              <w:bottom w:color="000000" w:sz="4" w:val="single"/>
            </w:tcBorders>
            <w:tcMar>
              <w:top w:type="dxa" w:w="0"/>
              <w:left w:type="dxa" w:w="79"/>
              <w:bottom w:type="dxa" w:w="0"/>
              <w:right w:type="dxa" w:w="79"/>
            </w:tcMar>
            <w:vAlign w:val="center"/>
          </w:tcPr>
          <w:p w14:paraId="74010000">
            <w:pPr>
              <w:pStyle w:val="Style_2"/>
              <w:widowControl w:val="1"/>
              <w:spacing w:after="0" w:before="0" w:line="240" w:lineRule="auto"/>
              <w:ind w:firstLine="0" w:left="0" w:right="0"/>
              <w:jc w:val="center"/>
              <w:rPr>
                <w:rFonts w:ascii="Serif" w:hAnsi="Serif"/>
                <w:color w:val="000000"/>
                <w:spacing w:val="0"/>
                <w:sz w:val="20"/>
                <w:u w:val="none"/>
              </w:rPr>
            </w:pPr>
            <w:r>
              <w:rPr>
                <w:rFonts w:ascii="Serif" w:hAnsi="Serif"/>
                <w:color w:val="000000"/>
                <w:spacing w:val="0"/>
                <w:sz w:val="20"/>
                <w:u w:val="none"/>
              </w:rPr>
              <w:t>1,6</w:t>
            </w:r>
          </w:p>
        </w:tc>
        <w:tc>
          <w:tcPr>
            <w:tcW w:type="dxa" w:w="1515"/>
            <w:tcBorders>
              <w:top w:color="000000" w:sz="4" w:val="single"/>
              <w:left w:color="000000" w:sz="4" w:val="single"/>
              <w:bottom w:color="000000" w:sz="4" w:val="single"/>
            </w:tcBorders>
            <w:tcMar>
              <w:top w:type="dxa" w:w="0"/>
              <w:left w:type="dxa" w:w="79"/>
              <w:bottom w:type="dxa" w:w="0"/>
              <w:right w:type="dxa" w:w="79"/>
            </w:tcMar>
            <w:vAlign w:val="center"/>
          </w:tcPr>
          <w:p w14:paraId="75010000">
            <w:pPr>
              <w:pStyle w:val="Style_2"/>
              <w:widowControl w:val="1"/>
              <w:spacing w:after="0" w:before="0" w:line="240" w:lineRule="auto"/>
              <w:ind w:firstLine="0" w:left="0" w:right="0"/>
              <w:jc w:val="center"/>
              <w:rPr>
                <w:rFonts w:ascii="Serif" w:hAnsi="Serif"/>
                <w:sz w:val="20"/>
              </w:rPr>
            </w:pPr>
          </w:p>
        </w:tc>
        <w:tc>
          <w:tcPr>
            <w:tcW w:type="dxa" w:w="1820"/>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76010000">
            <w:pPr>
              <w:pStyle w:val="Style_2"/>
              <w:widowControl w:val="1"/>
              <w:spacing w:after="0" w:before="0" w:line="240" w:lineRule="auto"/>
              <w:ind w:firstLine="0" w:left="0" w:right="0"/>
              <w:jc w:val="center"/>
              <w:rPr>
                <w:rFonts w:ascii="Serif" w:hAnsi="Serif"/>
                <w:sz w:val="20"/>
              </w:rPr>
            </w:pPr>
          </w:p>
        </w:tc>
      </w:tr>
      <w:tr>
        <w:trPr>
          <w:trHeight w:hRule="atLeast" w:val="1026"/>
        </w:trPr>
        <w:tc>
          <w:tcPr>
            <w:tcW w:type="dxa" w:w="2405"/>
            <w:tcBorders>
              <w:top w:color="000000" w:sz="4" w:val="single"/>
              <w:left w:color="000000" w:sz="4" w:val="single"/>
              <w:bottom w:color="000000" w:sz="4" w:val="single"/>
              <w:right w:color="000000" w:sz="4" w:val="single"/>
            </w:tcBorders>
            <w:tcMar>
              <w:top w:type="dxa" w:w="0"/>
              <w:left w:type="dxa" w:w="79"/>
              <w:bottom w:type="dxa" w:w="0"/>
              <w:right w:type="dxa" w:w="79"/>
            </w:tcMar>
          </w:tcPr>
          <w:p w14:paraId="77010000">
            <w:pPr>
              <w:pStyle w:val="Style_2"/>
              <w:widowControl w:val="1"/>
              <w:spacing w:after="160" w:before="0" w:line="264" w:lineRule="auto"/>
              <w:ind w:firstLine="0" w:left="0" w:right="0"/>
              <w:jc w:val="left"/>
              <w:rPr>
                <w:rFonts w:ascii="Serif" w:hAnsi="Serif"/>
                <w:color w:val="000000"/>
                <w:spacing w:val="0"/>
                <w:sz w:val="20"/>
                <w:u w:val="none"/>
              </w:rPr>
            </w:pPr>
            <w:r>
              <w:rPr>
                <w:rFonts w:ascii="Serif" w:hAnsi="Serif"/>
                <w:color w:val="000000"/>
                <w:spacing w:val="0"/>
                <w:sz w:val="20"/>
                <w:u w:val="none"/>
              </w:rPr>
              <w:t xml:space="preserve">Формалин технический </w:t>
            </w:r>
          </w:p>
          <w:p w14:paraId="78010000">
            <w:pPr>
              <w:pStyle w:val="Style_2"/>
              <w:widowControl w:val="1"/>
              <w:spacing w:after="160" w:before="0" w:line="264" w:lineRule="auto"/>
              <w:ind w:firstLine="0" w:left="0" w:right="0"/>
              <w:jc w:val="left"/>
              <w:rPr>
                <w:rFonts w:ascii="Serif" w:hAnsi="Serif"/>
                <w:color w:val="000000"/>
                <w:spacing w:val="0"/>
                <w:sz w:val="20"/>
                <w:u w:val="none"/>
              </w:rPr>
            </w:pPr>
            <w:r>
              <w:rPr>
                <w:rFonts w:ascii="Serif" w:hAnsi="Serif"/>
                <w:color w:val="000000"/>
                <w:spacing w:val="0"/>
                <w:sz w:val="20"/>
                <w:u w:val="none"/>
              </w:rPr>
              <w:t>ОКПД 2 20.14.61.000</w:t>
            </w:r>
          </w:p>
        </w:tc>
        <w:tc>
          <w:tcPr>
            <w:tcW w:type="dxa" w:w="3152"/>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79010000">
            <w:pPr>
              <w:rPr>
                <w:rFonts w:ascii="Serif" w:hAnsi="Serif"/>
                <w:color w:val="000000"/>
                <w:sz w:val="20"/>
                <w:u w:val="none"/>
              </w:rPr>
            </w:pPr>
            <w:r>
              <w:rPr>
                <w:rFonts w:ascii="Serif" w:hAnsi="Serif"/>
                <w:color w:val="000000"/>
                <w:sz w:val="20"/>
                <w:u w:val="none"/>
              </w:rPr>
              <w:t>Ограничение, предусмотренное приложением 2 к Постановлению 1875, не применяется при закупке в соответствии с пунктом 5 части 1 статьи 93 Закона №44-ФЗ</w:t>
            </w:r>
          </w:p>
        </w:tc>
        <w:tc>
          <w:tcPr>
            <w:tcW w:type="dxa" w:w="883"/>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7A010000">
            <w:pPr>
              <w:pStyle w:val="Style_2"/>
              <w:widowControl w:val="1"/>
              <w:spacing w:after="0" w:before="0" w:line="240" w:lineRule="auto"/>
              <w:ind w:firstLine="0" w:left="0" w:right="0"/>
              <w:jc w:val="center"/>
              <w:rPr>
                <w:rFonts w:ascii="Serif" w:hAnsi="Serif"/>
                <w:color w:val="000000"/>
                <w:spacing w:val="0"/>
                <w:sz w:val="20"/>
                <w:u w:val="none"/>
              </w:rPr>
            </w:pPr>
            <w:r>
              <w:rPr>
                <w:rFonts w:ascii="Serif" w:hAnsi="Serif"/>
                <w:color w:val="000000"/>
                <w:spacing w:val="0"/>
                <w:sz w:val="20"/>
                <w:u w:val="none"/>
              </w:rPr>
              <w:t>кг</w:t>
            </w:r>
          </w:p>
        </w:tc>
        <w:tc>
          <w:tcPr>
            <w:tcW w:type="dxa" w:w="835"/>
            <w:tcBorders>
              <w:top w:color="000000" w:sz="4" w:val="single"/>
              <w:left w:color="000000" w:sz="4" w:val="single"/>
              <w:bottom w:color="000000" w:sz="4" w:val="single"/>
            </w:tcBorders>
            <w:tcMar>
              <w:top w:type="dxa" w:w="0"/>
              <w:left w:type="dxa" w:w="79"/>
              <w:bottom w:type="dxa" w:w="0"/>
              <w:right w:type="dxa" w:w="79"/>
            </w:tcMar>
            <w:vAlign w:val="center"/>
          </w:tcPr>
          <w:p w14:paraId="7B010000">
            <w:pPr>
              <w:pStyle w:val="Style_2"/>
              <w:widowControl w:val="1"/>
              <w:spacing w:after="0" w:before="0" w:line="240" w:lineRule="auto"/>
              <w:ind w:firstLine="0" w:left="0" w:right="0"/>
              <w:jc w:val="center"/>
              <w:rPr>
                <w:rFonts w:ascii="Serif" w:hAnsi="Serif"/>
                <w:color w:val="000000"/>
                <w:spacing w:val="0"/>
                <w:sz w:val="20"/>
                <w:u w:val="none"/>
              </w:rPr>
            </w:pPr>
            <w:r>
              <w:rPr>
                <w:rFonts w:ascii="Serif" w:hAnsi="Serif"/>
                <w:color w:val="000000"/>
                <w:spacing w:val="0"/>
                <w:sz w:val="20"/>
                <w:u w:val="none"/>
              </w:rPr>
              <w:t>10</w:t>
            </w:r>
          </w:p>
        </w:tc>
        <w:tc>
          <w:tcPr>
            <w:tcW w:type="dxa" w:w="1515"/>
            <w:tcBorders>
              <w:top w:color="000000" w:sz="4" w:val="single"/>
              <w:left w:color="000000" w:sz="4" w:val="single"/>
              <w:bottom w:color="000000" w:sz="4" w:val="single"/>
            </w:tcBorders>
            <w:tcMar>
              <w:top w:type="dxa" w:w="0"/>
              <w:left w:type="dxa" w:w="79"/>
              <w:bottom w:type="dxa" w:w="0"/>
              <w:right w:type="dxa" w:w="79"/>
            </w:tcMar>
            <w:vAlign w:val="center"/>
          </w:tcPr>
          <w:p w14:paraId="7C010000">
            <w:pPr>
              <w:pStyle w:val="Style_2"/>
              <w:widowControl w:val="1"/>
              <w:spacing w:after="0" w:before="0" w:line="240" w:lineRule="auto"/>
              <w:ind w:firstLine="0" w:left="0" w:right="0"/>
              <w:jc w:val="center"/>
              <w:rPr>
                <w:rFonts w:ascii="Serif" w:hAnsi="Serif"/>
                <w:sz w:val="20"/>
              </w:rPr>
            </w:pPr>
          </w:p>
        </w:tc>
        <w:tc>
          <w:tcPr>
            <w:tcW w:type="dxa" w:w="1820"/>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7D010000">
            <w:pPr>
              <w:pStyle w:val="Style_2"/>
              <w:widowControl w:val="1"/>
              <w:spacing w:after="0" w:before="0" w:line="240" w:lineRule="auto"/>
              <w:ind w:firstLine="0" w:left="0" w:right="0"/>
              <w:jc w:val="center"/>
              <w:rPr>
                <w:rFonts w:ascii="Serif" w:hAnsi="Serif"/>
                <w:sz w:val="20"/>
              </w:rPr>
            </w:pPr>
          </w:p>
        </w:tc>
      </w:tr>
      <w:tr>
        <w:trPr>
          <w:trHeight w:hRule="atLeast" w:val="327"/>
        </w:trPr>
        <w:tc>
          <w:tcPr>
            <w:tcW w:type="dxa" w:w="7275"/>
            <w:gridSpan w:val="4"/>
            <w:tcBorders>
              <w:top w:color="000000" w:sz="4" w:val="single"/>
              <w:left w:color="000000" w:sz="4" w:val="single"/>
              <w:bottom w:color="000000" w:sz="4" w:val="single"/>
            </w:tcBorders>
            <w:tcMar>
              <w:top w:type="dxa" w:w="55"/>
              <w:left w:type="dxa" w:w="108"/>
              <w:bottom w:type="dxa" w:w="55"/>
              <w:right w:type="dxa" w:w="108"/>
            </w:tcMar>
          </w:tcPr>
          <w:p w14:paraId="7E010000">
            <w:pPr>
              <w:pStyle w:val="Style_2"/>
              <w:widowControl w:val="1"/>
              <w:spacing w:after="0" w:before="0" w:line="240" w:lineRule="auto"/>
              <w:ind w:firstLine="0" w:left="0" w:right="0"/>
              <w:jc w:val="right"/>
              <w:rPr>
                <w:rFonts w:ascii="Serif" w:hAnsi="Serif"/>
                <w:color w:val="000000"/>
                <w:sz w:val="24"/>
              </w:rPr>
            </w:pPr>
            <w:r>
              <w:rPr>
                <w:rFonts w:ascii="Serif" w:hAnsi="Serif"/>
                <w:b w:val="1"/>
                <w:color w:val="000000"/>
                <w:sz w:val="24"/>
              </w:rPr>
              <w:t>ИТОГО:</w:t>
            </w:r>
          </w:p>
        </w:tc>
        <w:tc>
          <w:tcPr>
            <w:tcW w:type="dxa" w:w="1515"/>
            <w:tcBorders>
              <w:top w:color="000000" w:sz="4" w:val="single"/>
              <w:left w:color="000000" w:sz="4" w:val="single"/>
              <w:bottom w:color="000000" w:sz="4" w:val="single"/>
              <w:right w:color="000000" w:sz="4" w:val="single"/>
            </w:tcBorders>
            <w:tcMar>
              <w:top w:type="dxa" w:w="55"/>
              <w:left w:type="dxa" w:w="108"/>
              <w:bottom w:type="dxa" w:w="55"/>
              <w:right w:type="dxa" w:w="108"/>
            </w:tcMar>
          </w:tcPr>
          <w:p w14:paraId="7F010000">
            <w:pPr>
              <w:pStyle w:val="Style_2"/>
              <w:spacing w:after="0" w:before="0" w:line="240" w:lineRule="auto"/>
              <w:ind w:firstLine="283" w:left="0" w:right="0"/>
              <w:jc w:val="center"/>
              <w:rPr>
                <w:rFonts w:ascii="Serif" w:hAnsi="Serif"/>
                <w:color w:val="000000"/>
                <w:sz w:val="24"/>
              </w:rPr>
            </w:pPr>
          </w:p>
        </w:tc>
        <w:tc>
          <w:tcPr>
            <w:tcW w:type="dxa" w:w="1820"/>
            <w:tcBorders>
              <w:top w:color="000000" w:sz="4" w:val="single"/>
              <w:left w:color="000000" w:sz="4" w:val="single"/>
              <w:bottom w:color="000000" w:sz="6" w:val="single"/>
              <w:right w:color="000000" w:sz="4" w:val="single"/>
            </w:tcBorders>
            <w:tcMar>
              <w:top w:type="dxa" w:w="0"/>
              <w:left w:type="dxa" w:w="79"/>
              <w:bottom w:type="dxa" w:w="0"/>
              <w:right w:type="dxa" w:w="79"/>
            </w:tcMar>
            <w:vAlign w:val="center"/>
          </w:tcPr>
          <w:p w14:paraId="80010000">
            <w:pPr>
              <w:pStyle w:val="Style_2"/>
              <w:widowControl w:val="1"/>
              <w:spacing w:after="0" w:before="0" w:line="240" w:lineRule="auto"/>
              <w:ind w:firstLine="0" w:left="0" w:right="0"/>
              <w:jc w:val="center"/>
              <w:rPr>
                <w:rFonts w:ascii="Serif" w:hAnsi="Serif"/>
                <w:sz w:val="20"/>
              </w:rPr>
            </w:pPr>
          </w:p>
        </w:tc>
      </w:tr>
      <w:tr>
        <w:trPr>
          <w:trHeight w:hRule="atLeast" w:val="308"/>
        </w:trPr>
        <w:tc>
          <w:tcPr>
            <w:tcW w:type="dxa" w:w="7275"/>
            <w:gridSpan w:val="4"/>
            <w:tcBorders>
              <w:left w:color="000000" w:sz="4" w:val="single"/>
              <w:bottom w:color="000000" w:sz="4" w:val="single"/>
            </w:tcBorders>
            <w:tcMar>
              <w:top w:type="dxa" w:w="55"/>
              <w:left w:type="dxa" w:w="108"/>
              <w:bottom w:type="dxa" w:w="55"/>
              <w:right w:type="dxa" w:w="108"/>
            </w:tcMar>
          </w:tcPr>
          <w:p w14:paraId="81010000">
            <w:pPr>
              <w:pStyle w:val="Style_2"/>
              <w:widowControl w:val="1"/>
              <w:spacing w:after="0" w:before="0" w:line="240" w:lineRule="auto"/>
              <w:ind w:firstLine="0" w:left="0" w:right="0"/>
              <w:jc w:val="right"/>
              <w:rPr>
                <w:rFonts w:ascii="Serif" w:hAnsi="Serif"/>
                <w:b w:val="1"/>
                <w:color w:val="000000"/>
                <w:sz w:val="24"/>
              </w:rPr>
            </w:pPr>
            <w:r>
              <w:rPr>
                <w:rFonts w:ascii="Serif" w:hAnsi="Serif"/>
                <w:b w:val="1"/>
                <w:color w:val="000000"/>
                <w:sz w:val="24"/>
              </w:rPr>
              <w:t>В т.ч. НДС</w:t>
            </w:r>
          </w:p>
        </w:tc>
        <w:tc>
          <w:tcPr>
            <w:tcW w:type="dxa" w:w="1515"/>
            <w:tcBorders>
              <w:left w:color="000000" w:sz="4" w:val="single"/>
              <w:bottom w:color="000000" w:sz="4" w:val="single"/>
              <w:right w:color="000000" w:sz="6" w:val="single"/>
            </w:tcBorders>
            <w:tcMar>
              <w:top w:type="dxa" w:w="55"/>
              <w:left w:type="dxa" w:w="108"/>
              <w:bottom w:type="dxa" w:w="55"/>
              <w:right w:type="dxa" w:w="108"/>
            </w:tcMar>
          </w:tcPr>
          <w:p w14:paraId="82010000">
            <w:pPr>
              <w:pStyle w:val="Style_2"/>
              <w:spacing w:after="0" w:before="0" w:line="240" w:lineRule="auto"/>
              <w:ind w:firstLine="283" w:left="0" w:right="0"/>
              <w:jc w:val="center"/>
              <w:rPr>
                <w:rFonts w:ascii="Serif" w:hAnsi="Serif"/>
                <w:color w:val="000000"/>
                <w:sz w:val="24"/>
              </w:rPr>
            </w:pPr>
          </w:p>
        </w:tc>
        <w:tc>
          <w:tcPr>
            <w:tcW w:type="dxa" w:w="1820"/>
            <w:tcBorders>
              <w:top w:color="000000" w:sz="6" w:val="single"/>
              <w:left w:color="000000" w:sz="6" w:val="single"/>
              <w:bottom w:color="000000" w:sz="6" w:val="single"/>
              <w:right w:color="000000" w:sz="6" w:val="single"/>
            </w:tcBorders>
            <w:tcMar>
              <w:top w:type="dxa" w:w="0"/>
              <w:left w:type="dxa" w:w="79"/>
              <w:bottom w:type="dxa" w:w="0"/>
              <w:right w:type="dxa" w:w="79"/>
            </w:tcMar>
          </w:tcPr>
          <w:p w14:paraId="83010000">
            <w:pPr>
              <w:rPr>
                <w:rFonts w:ascii="Serif" w:hAnsi="Serif"/>
              </w:rPr>
            </w:pPr>
          </w:p>
        </w:tc>
      </w:tr>
    </w:tbl>
    <w:p w14:paraId="84010000">
      <w:pPr>
        <w:pStyle w:val="Style_2"/>
        <w:spacing w:after="0" w:before="0" w:line="240" w:lineRule="auto"/>
        <w:ind w:firstLine="680" w:left="0" w:right="0"/>
        <w:jc w:val="center"/>
        <w:rPr>
          <w:rFonts w:ascii="Serif" w:hAnsi="Serif"/>
          <w:b w:val="1"/>
          <w:color w:val="000000"/>
          <w:sz w:val="24"/>
        </w:rPr>
      </w:pPr>
    </w:p>
    <w:p w14:paraId="85010000">
      <w:pPr>
        <w:pStyle w:val="Style_2"/>
        <w:spacing w:after="0" w:before="0" w:line="240" w:lineRule="auto"/>
        <w:ind w:firstLine="0" w:left="0" w:right="0"/>
        <w:jc w:val="both"/>
        <w:rPr>
          <w:rFonts w:ascii="Serif" w:hAnsi="Serif"/>
          <w:b w:val="1"/>
          <w:color w:val="000000"/>
          <w:sz w:val="24"/>
        </w:rPr>
      </w:pPr>
      <w:r>
        <w:rPr>
          <w:rFonts w:ascii="Serif" w:hAnsi="Serif"/>
          <w:b w:val="1"/>
          <w:color w:val="000000"/>
          <w:sz w:val="24"/>
        </w:rPr>
        <w:tab/>
      </w:r>
      <w:r>
        <w:rPr>
          <w:rFonts w:ascii="Serif" w:hAnsi="Serif"/>
          <w:b w:val="1"/>
          <w:color w:val="000000"/>
          <w:sz w:val="24"/>
        </w:rPr>
        <w:t>Всего наименований ______ (  ) на сумму: ____________(________________) рублей ___копеек, в том числе НДС/НДС не облагается.</w:t>
      </w:r>
    </w:p>
    <w:p w14:paraId="86010000">
      <w:pPr>
        <w:pStyle w:val="Style_2"/>
        <w:spacing w:after="0" w:before="0" w:line="240" w:lineRule="auto"/>
        <w:ind w:firstLine="0" w:left="0" w:right="0"/>
        <w:jc w:val="both"/>
        <w:rPr>
          <w:rFonts w:ascii="Serif" w:hAnsi="Serif"/>
          <w:b w:val="1"/>
          <w:color w:val="000000"/>
          <w:sz w:val="24"/>
        </w:rPr>
      </w:pPr>
    </w:p>
    <w:p w14:paraId="87010000">
      <w:pPr>
        <w:pStyle w:val="Style_2"/>
        <w:spacing w:after="0" w:before="0" w:line="240" w:lineRule="auto"/>
        <w:ind w:firstLine="680" w:left="0" w:right="0"/>
        <w:jc w:val="center"/>
        <w:rPr>
          <w:rFonts w:ascii="Serif" w:hAnsi="Serif"/>
          <w:b w:val="1"/>
          <w:color w:val="000000"/>
          <w:sz w:val="24"/>
        </w:rPr>
      </w:pPr>
    </w:p>
    <w:p w14:paraId="88010000">
      <w:pPr>
        <w:pStyle w:val="Style_2"/>
        <w:spacing w:after="0" w:before="0" w:line="240" w:lineRule="auto"/>
        <w:ind w:firstLine="680" w:left="0" w:right="0"/>
        <w:jc w:val="center"/>
        <w:rPr>
          <w:rFonts w:ascii="Serif" w:hAnsi="Serif"/>
          <w:b w:val="1"/>
          <w:color w:val="000000"/>
          <w:sz w:val="24"/>
        </w:rPr>
      </w:pPr>
    </w:p>
    <w:tbl>
      <w:tblPr>
        <w:tblStyle w:val="Style_6"/>
        <w:tblW w:type="auto" w:w="0"/>
        <w:tblInd w:type="dxa" w:w="0"/>
        <w:tblLayout w:type="fixed"/>
        <w:tblCellMar>
          <w:top w:type="dxa" w:w="0"/>
          <w:left w:type="dxa" w:w="108"/>
          <w:bottom w:type="dxa" w:w="0"/>
          <w:right w:type="dxa" w:w="108"/>
        </w:tblCellMar>
      </w:tblPr>
      <w:tblGrid>
        <w:gridCol w:w="5265"/>
        <w:gridCol w:w="4950"/>
      </w:tblGrid>
      <w:tr>
        <w:trPr>
          <w:trHeight w:hRule="atLeast" w:val="2040"/>
        </w:trPr>
        <w:tc>
          <w:tcPr>
            <w:tcW w:type="dxa" w:w="5265"/>
            <w:shd w:fill="auto" w:val="clear"/>
            <w:tcMar>
              <w:top w:type="dxa" w:w="0"/>
              <w:left w:type="dxa" w:w="108"/>
              <w:bottom w:type="dxa" w:w="0"/>
              <w:right w:type="dxa" w:w="108"/>
            </w:tcMar>
          </w:tcPr>
          <w:p w14:paraId="8901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ЗАКАЗЧИК:</w:t>
            </w:r>
          </w:p>
          <w:p w14:paraId="8A010000">
            <w:pPr>
              <w:pStyle w:val="Style_2"/>
              <w:widowControl w:val="0"/>
              <w:spacing w:after="0" w:before="0" w:line="240" w:lineRule="auto"/>
              <w:ind w:firstLine="0" w:left="0" w:right="0"/>
              <w:jc w:val="left"/>
              <w:rPr>
                <w:rFonts w:ascii="Serif" w:hAnsi="Serif"/>
                <w:b w:val="1"/>
                <w:color w:val="000000"/>
                <w:sz w:val="24"/>
              </w:rPr>
            </w:pPr>
            <w:r>
              <w:rPr>
                <w:rFonts w:ascii="Serif" w:hAnsi="Serif"/>
                <w:b w:val="1"/>
                <w:color w:val="000000"/>
                <w:spacing w:val="0"/>
                <w:sz w:val="24"/>
              </w:rPr>
              <w:t>Федеральное казенное учреждение</w:t>
            </w:r>
          </w:p>
          <w:p w14:paraId="8B010000">
            <w:pPr>
              <w:pStyle w:val="Style_2"/>
              <w:widowControl w:val="0"/>
              <w:spacing w:after="0" w:before="0" w:line="240" w:lineRule="auto"/>
              <w:ind w:firstLine="0" w:left="0" w:right="0"/>
              <w:jc w:val="left"/>
              <w:rPr>
                <w:rFonts w:ascii="Serif" w:hAnsi="Serif"/>
                <w:b w:val="1"/>
                <w:color w:val="000000"/>
                <w:sz w:val="24"/>
              </w:rPr>
            </w:pPr>
            <w:r>
              <w:rPr>
                <w:rFonts w:ascii="Serif" w:hAnsi="Serif"/>
                <w:b w:val="1"/>
                <w:color w:val="000000"/>
                <w:spacing w:val="0"/>
                <w:sz w:val="24"/>
              </w:rPr>
              <w:t>«Центр хранения страхового фонда» (ЦХСФ)</w:t>
            </w:r>
          </w:p>
          <w:p w14:paraId="8C010000">
            <w:pPr>
              <w:pStyle w:val="Style_2"/>
              <w:widowControl w:val="0"/>
              <w:spacing w:after="0" w:before="0" w:line="240" w:lineRule="auto"/>
              <w:ind w:firstLine="0" w:left="0" w:right="0"/>
              <w:jc w:val="left"/>
              <w:rPr>
                <w:rFonts w:ascii="Serif" w:hAnsi="Serif"/>
                <w:b w:val="0"/>
                <w:color w:val="000000"/>
                <w:sz w:val="24"/>
              </w:rPr>
            </w:pPr>
          </w:p>
          <w:p w14:paraId="8D010000">
            <w:pPr>
              <w:pStyle w:val="Style_2"/>
              <w:widowControl w:val="0"/>
              <w:spacing w:after="0" w:before="0" w:line="240" w:lineRule="auto"/>
              <w:ind w:firstLine="0" w:left="0" w:right="0"/>
              <w:jc w:val="left"/>
              <w:rPr>
                <w:rFonts w:ascii="Serif" w:hAnsi="Serif"/>
                <w:b w:val="0"/>
                <w:color w:val="000000"/>
                <w:sz w:val="24"/>
              </w:rPr>
            </w:pPr>
            <w:r>
              <w:rPr>
                <w:rFonts w:ascii="Serif" w:hAnsi="Serif"/>
                <w:b w:val="0"/>
                <w:color w:val="000000"/>
                <w:sz w:val="24"/>
              </w:rPr>
              <w:t>Директор ___________________Д.С.Васильев</w:t>
            </w:r>
          </w:p>
          <w:p w14:paraId="8E010000">
            <w:pPr>
              <w:pStyle w:val="Style_2"/>
              <w:widowControl w:val="0"/>
              <w:spacing w:after="0" w:before="0" w:line="240" w:lineRule="auto"/>
              <w:ind w:firstLine="0" w:left="0" w:right="0"/>
              <w:jc w:val="left"/>
              <w:rPr>
                <w:rFonts w:ascii="Serif" w:hAnsi="Serif"/>
                <w:b w:val="1"/>
                <w:color w:val="000000"/>
                <w:sz w:val="24"/>
              </w:rPr>
            </w:pPr>
            <w:r>
              <w:rPr>
                <w:rFonts w:ascii="Serif" w:hAnsi="Serif"/>
                <w:b w:val="0"/>
                <w:color w:val="000000"/>
                <w:sz w:val="24"/>
              </w:rPr>
              <w:t>М.П</w:t>
            </w:r>
            <w:r>
              <w:rPr>
                <w:rFonts w:ascii="Serif" w:hAnsi="Serif"/>
                <w:b w:val="1"/>
                <w:color w:val="000000"/>
                <w:sz w:val="24"/>
              </w:rPr>
              <w:t>.</w:t>
            </w:r>
          </w:p>
        </w:tc>
        <w:tc>
          <w:tcPr>
            <w:tcW w:type="dxa" w:w="4950"/>
            <w:shd w:fill="auto" w:val="clear"/>
            <w:tcMar>
              <w:top w:type="dxa" w:w="0"/>
              <w:left w:type="dxa" w:w="108"/>
              <w:bottom w:type="dxa" w:w="0"/>
              <w:right w:type="dxa" w:w="108"/>
            </w:tcMar>
          </w:tcPr>
          <w:p w14:paraId="8F01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ПОСТАВЩИК:</w:t>
            </w:r>
          </w:p>
        </w:tc>
      </w:tr>
    </w:tbl>
    <w:p w14:paraId="90010000">
      <w:pPr>
        <w:pStyle w:val="Style_2"/>
        <w:spacing w:after="0" w:before="0" w:line="240" w:lineRule="auto"/>
        <w:ind w:firstLine="680" w:left="0" w:right="0"/>
        <w:jc w:val="center"/>
        <w:rPr>
          <w:rFonts w:ascii="Times New Roman" w:hAnsi="Times New Roman"/>
          <w:b w:val="1"/>
          <w:color w:val="000000"/>
          <w:sz w:val="24"/>
        </w:rPr>
      </w:pPr>
    </w:p>
    <w:sectPr>
      <w:headerReference r:id="rId1" w:type="default"/>
      <w:headerReference r:id="rId2" w:type="first"/>
      <w:type w:val="nextPage"/>
      <w:pgSz w:h="16838" w:orient="portrait" w:w="11906"/>
      <w:pgMar w:bottom="563" w:footer="0" w:gutter="0" w:header="510" w:left="992" w:right="567" w:top="1125"/>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ind/>
      <w:jc w:val="center"/>
    </w:pPr>
    <w:r>
      <w:fldChar w:fldCharType="begin"/>
    </w:r>
    <w:r>
      <w:instrText xml:space="preserve">PAGE </w:instrText>
    </w:r>
    <w:r>
      <w:fldChar w:fldCharType="separate"/>
    </w:r>
    <w:r>
      <w:t xml:space="preserve"> </w:t>
    </w:r>
    <w:r>
      <w:fldChar w:fldCharType="end"/>
    </w:r>
  </w:p>
  <w:p w14:paraId="02000000">
    <w:pPr>
      <w:pStyle w:val="Style_1"/>
      <w:ind/>
      <w:jc w:val="center"/>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2240" cy="169545"/>
              <wp:wrapSquare distB="0" distL="0" distR="0" distT="0" wrapText="bothSides"/>
              <wp:docPr hidden="false" id="1" name="Picture 1"/>
              <a:graphic>
                <a:graphicData uri="http://schemas.microsoft.com/office/word/2010/wordprocessingShape">
                  <wps:wsp>
                    <wps:cNvSpPr txBox="false"/>
                    <wps:spPr>
                      <a:xfrm flipH="false" flipV="false" rot="0">
                        <a:off x="0" y="0"/>
                        <a:ext cx="142240" cy="169545"/>
                      </a:xfrm>
                      <a:prstGeom prst="rect">
                        <a:avLst/>
                      </a:prstGeom>
                      <a:noFill/>
                      <a:ln w="0">
                        <a:noFill/>
                      </a:ln>
                    </wps:spPr>
                    <wps:txbx>
                      <w:txbxContent>
                        <w:p w14:paraId="03000000">
                          <w:pPr>
                            <w:pStyle w:val="Style_2"/>
                            <w:spacing w:after="200" w:before="0"/>
                            <w:ind/>
                          </w:pP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200" w:before="0" w:line="276" w:lineRule="auto"/>
      <w:ind w:firstLine="0" w:left="0" w:right="0"/>
      <w:jc w:val="left"/>
    </w:pPr>
    <w:rPr>
      <w:rFonts w:ascii="Calibri" w:hAnsi="Calibri"/>
      <w:color w:val="000000"/>
      <w:spacing w:val="0"/>
      <w:sz w:val="22"/>
    </w:rPr>
  </w:style>
  <w:style w:default="1" w:styleId="Style_2_ch" w:type="character">
    <w:name w:val="Normal"/>
    <w:link w:val="Style_2"/>
    <w:rPr>
      <w:rFonts w:ascii="Calibri" w:hAnsi="Calibri"/>
      <w:color w:val="000000"/>
      <w:spacing w:val="0"/>
      <w:sz w:val="22"/>
    </w:rPr>
  </w:style>
  <w:style w:styleId="Style_8" w:type="paragraph">
    <w:name w:val="toc 2"/>
    <w:next w:val="Style_2"/>
    <w:link w:val="Style_8_ch"/>
    <w:uiPriority w:val="39"/>
    <w:pPr>
      <w:widowControl w:val="1"/>
      <w:spacing w:after="0" w:before="0" w:line="240" w:lineRule="auto"/>
      <w:ind w:firstLine="0" w:left="200" w:right="0"/>
      <w:jc w:val="left"/>
    </w:pPr>
    <w:rPr>
      <w:rFonts w:ascii="XO Thames" w:hAnsi="XO Thames"/>
      <w:color w:val="000000"/>
      <w:spacing w:val="0"/>
      <w:sz w:val="28"/>
    </w:rPr>
  </w:style>
  <w:style w:styleId="Style_8_ch" w:type="character">
    <w:name w:val="toc 2"/>
    <w:link w:val="Style_8"/>
    <w:rPr>
      <w:rFonts w:ascii="XO Thames" w:hAnsi="XO Thames"/>
      <w:color w:val="000000"/>
      <w:spacing w:val="0"/>
      <w:sz w:val="28"/>
    </w:rPr>
  </w:style>
  <w:style w:styleId="Style_9" w:type="paragraph">
    <w:name w:val="Заголовок (user)"/>
    <w:basedOn w:val="Style_2"/>
    <w:next w:val="Style_10"/>
    <w:link w:val="Style_9_ch"/>
    <w:pPr>
      <w:keepNext w:val="1"/>
      <w:spacing w:after="120" w:before="240"/>
      <w:ind/>
    </w:pPr>
    <w:rPr>
      <w:rFonts w:ascii="PT Astra Serif" w:hAnsi="PT Astra Serif"/>
      <w:sz w:val="28"/>
    </w:rPr>
  </w:style>
  <w:style w:styleId="Style_9_ch" w:type="character">
    <w:name w:val="Заголовок (user)"/>
    <w:basedOn w:val="Style_2_ch"/>
    <w:link w:val="Style_9"/>
    <w:rPr>
      <w:rFonts w:ascii="PT Astra Serif" w:hAnsi="PT Astra Serif"/>
      <w:sz w:val="28"/>
    </w:rPr>
  </w:style>
  <w:style w:styleId="Style_11" w:type="paragraph">
    <w:name w:val="toc 4"/>
    <w:next w:val="Style_2"/>
    <w:link w:val="Style_11_ch"/>
    <w:uiPriority w:val="39"/>
    <w:pPr>
      <w:widowControl w:val="1"/>
      <w:spacing w:after="0" w:before="0" w:line="240" w:lineRule="auto"/>
      <w:ind w:firstLine="0" w:left="600" w:right="0"/>
      <w:jc w:val="left"/>
    </w:pPr>
    <w:rPr>
      <w:rFonts w:ascii="XO Thames" w:hAnsi="XO Thames"/>
      <w:color w:val="000000"/>
      <w:spacing w:val="0"/>
      <w:sz w:val="28"/>
    </w:rPr>
  </w:style>
  <w:style w:styleId="Style_11_ch" w:type="character">
    <w:name w:val="toc 4"/>
    <w:link w:val="Style_11"/>
    <w:rPr>
      <w:rFonts w:ascii="XO Thames" w:hAnsi="XO Thames"/>
      <w:color w:val="000000"/>
      <w:spacing w:val="0"/>
      <w:sz w:val="28"/>
    </w:rPr>
  </w:style>
  <w:style w:styleId="Style_12" w:type="paragraph">
    <w:name w:val="Font Style111"/>
    <w:link w:val="Style_12_ch"/>
    <w:pPr>
      <w:widowControl w:val="1"/>
      <w:spacing w:after="0" w:before="0" w:line="240" w:lineRule="auto"/>
      <w:ind w:firstLine="0" w:left="0" w:right="0"/>
      <w:jc w:val="left"/>
    </w:pPr>
    <w:rPr>
      <w:rFonts w:ascii="Times New Roman" w:hAnsi="Times New Roman"/>
      <w:b w:val="1"/>
      <w:color w:val="000000"/>
      <w:spacing w:val="0"/>
      <w:sz w:val="22"/>
    </w:rPr>
  </w:style>
  <w:style w:styleId="Style_12_ch" w:type="character">
    <w:name w:val="Font Style111"/>
    <w:link w:val="Style_12"/>
    <w:rPr>
      <w:rFonts w:ascii="Times New Roman" w:hAnsi="Times New Roman"/>
      <w:b w:val="1"/>
      <w:color w:val="000000"/>
      <w:spacing w:val="0"/>
      <w:sz w:val="22"/>
    </w:rPr>
  </w:style>
  <w:style w:styleId="Style_13" w:type="paragraph">
    <w:name w:val="Font Style231"/>
    <w:link w:val="Style_13_ch"/>
    <w:pPr>
      <w:widowControl w:val="1"/>
      <w:spacing w:after="0" w:before="0" w:line="240" w:lineRule="auto"/>
      <w:ind w:firstLine="0" w:left="0" w:right="0"/>
      <w:jc w:val="left"/>
    </w:pPr>
    <w:rPr>
      <w:rFonts w:ascii="Courier New" w:hAnsi="Courier New"/>
      <w:color w:val="000000"/>
      <w:spacing w:val="0"/>
      <w:sz w:val="18"/>
    </w:rPr>
  </w:style>
  <w:style w:styleId="Style_13_ch" w:type="character">
    <w:name w:val="Font Style231"/>
    <w:link w:val="Style_13"/>
    <w:rPr>
      <w:rFonts w:ascii="Courier New" w:hAnsi="Courier New"/>
      <w:color w:val="000000"/>
      <w:spacing w:val="0"/>
      <w:sz w:val="18"/>
    </w:rPr>
  </w:style>
  <w:style w:styleId="Style_14" w:type="paragraph">
    <w:name w:val="toc 6"/>
    <w:next w:val="Style_2"/>
    <w:link w:val="Style_14_ch"/>
    <w:uiPriority w:val="39"/>
    <w:pPr>
      <w:widowControl w:val="1"/>
      <w:spacing w:after="0" w:before="0" w:line="240" w:lineRule="auto"/>
      <w:ind w:firstLine="0" w:left="1000" w:right="0"/>
      <w:jc w:val="left"/>
    </w:pPr>
    <w:rPr>
      <w:rFonts w:ascii="XO Thames" w:hAnsi="XO Thames"/>
      <w:color w:val="000000"/>
      <w:spacing w:val="0"/>
      <w:sz w:val="28"/>
    </w:rPr>
  </w:style>
  <w:style w:styleId="Style_14_ch" w:type="character">
    <w:name w:val="toc 6"/>
    <w:link w:val="Style_14"/>
    <w:rPr>
      <w:rFonts w:ascii="XO Thames" w:hAnsi="XO Thames"/>
      <w:color w:val="000000"/>
      <w:spacing w:val="0"/>
      <w:sz w:val="28"/>
    </w:rPr>
  </w:style>
  <w:style w:styleId="Style_15" w:type="paragraph">
    <w:name w:val="toc 7"/>
    <w:next w:val="Style_2"/>
    <w:link w:val="Style_15_ch"/>
    <w:uiPriority w:val="39"/>
    <w:pPr>
      <w:widowControl w:val="1"/>
      <w:spacing w:after="0" w:before="0" w:line="240" w:lineRule="auto"/>
      <w:ind w:firstLine="0" w:left="1200" w:right="0"/>
      <w:jc w:val="left"/>
    </w:pPr>
    <w:rPr>
      <w:rFonts w:ascii="XO Thames" w:hAnsi="XO Thames"/>
      <w:color w:val="000000"/>
      <w:spacing w:val="0"/>
      <w:sz w:val="28"/>
    </w:rPr>
  </w:style>
  <w:style w:styleId="Style_15_ch" w:type="character">
    <w:name w:val="toc 7"/>
    <w:link w:val="Style_15"/>
    <w:rPr>
      <w:rFonts w:ascii="XO Thames" w:hAnsi="XO Thames"/>
      <w:color w:val="000000"/>
      <w:spacing w:val="0"/>
      <w:sz w:val="28"/>
    </w:rPr>
  </w:style>
  <w:style w:styleId="Style_16" w:type="paragraph">
    <w:name w:val="name-link1"/>
    <w:link w:val="Style_16_ch"/>
    <w:pPr>
      <w:widowControl w:val="1"/>
      <w:spacing w:after="0" w:before="0" w:line="240" w:lineRule="auto"/>
      <w:ind w:firstLine="0" w:left="0" w:right="0"/>
      <w:jc w:val="left"/>
    </w:pPr>
    <w:rPr>
      <w:rFonts w:ascii="Calibri" w:hAnsi="Calibri"/>
      <w:color w:val="000000"/>
      <w:spacing w:val="0"/>
      <w:sz w:val="20"/>
    </w:rPr>
  </w:style>
  <w:style w:styleId="Style_16_ch" w:type="character">
    <w:name w:val="name-link1"/>
    <w:link w:val="Style_16"/>
    <w:rPr>
      <w:rFonts w:ascii="Calibri" w:hAnsi="Calibri"/>
      <w:color w:val="000000"/>
      <w:spacing w:val="0"/>
      <w:sz w:val="20"/>
    </w:rPr>
  </w:style>
  <w:style w:styleId="Style_17" w:type="paragraph">
    <w:name w:val="Contents 9"/>
    <w:link w:val="Style_17_ch"/>
    <w:rPr>
      <w:rFonts w:ascii="XO Thames" w:hAnsi="XO Thames"/>
      <w:sz w:val="28"/>
    </w:rPr>
  </w:style>
  <w:style w:styleId="Style_17_ch" w:type="character">
    <w:name w:val="Contents 9"/>
    <w:link w:val="Style_17"/>
    <w:rPr>
      <w:rFonts w:ascii="XO Thames" w:hAnsi="XO Thames"/>
      <w:sz w:val="28"/>
    </w:rPr>
  </w:style>
  <w:style w:styleId="Style_18" w:type="paragraph">
    <w:name w:val="Contents 5"/>
    <w:link w:val="Style_18_ch"/>
    <w:rPr>
      <w:rFonts w:ascii="XO Thames" w:hAnsi="XO Thames"/>
      <w:sz w:val="28"/>
    </w:rPr>
  </w:style>
  <w:style w:styleId="Style_18_ch" w:type="character">
    <w:name w:val="Contents 5"/>
    <w:link w:val="Style_18"/>
    <w:rPr>
      <w:rFonts w:ascii="XO Thames" w:hAnsi="XO Thames"/>
      <w:sz w:val="28"/>
    </w:rPr>
  </w:style>
  <w:style w:styleId="Style_19" w:type="paragraph">
    <w:name w:val="Default Paragraph Font1"/>
    <w:link w:val="Style_19_ch"/>
    <w:pPr>
      <w:widowControl w:val="1"/>
      <w:spacing w:after="0" w:before="0" w:line="240" w:lineRule="auto"/>
      <w:ind w:firstLine="0" w:left="0" w:right="0"/>
      <w:jc w:val="left"/>
    </w:pPr>
    <w:rPr>
      <w:rFonts w:ascii="Calibri" w:hAnsi="Calibri"/>
      <w:color w:val="000000"/>
      <w:spacing w:val="0"/>
      <w:sz w:val="20"/>
    </w:rPr>
  </w:style>
  <w:style w:styleId="Style_19_ch" w:type="character">
    <w:name w:val="Default Paragraph Font1"/>
    <w:link w:val="Style_19"/>
    <w:rPr>
      <w:rFonts w:ascii="Calibri" w:hAnsi="Calibri"/>
      <w:color w:val="000000"/>
      <w:spacing w:val="0"/>
      <w:sz w:val="20"/>
    </w:rPr>
  </w:style>
  <w:style w:styleId="Style_20" w:type="paragraph">
    <w:name w:val="Содержимое врезки (user)"/>
    <w:basedOn w:val="Style_2"/>
    <w:link w:val="Style_20_ch"/>
  </w:style>
  <w:style w:styleId="Style_20_ch" w:type="character">
    <w:name w:val="Содержимое врезки (user)"/>
    <w:basedOn w:val="Style_2_ch"/>
    <w:link w:val="Style_20"/>
  </w:style>
  <w:style w:styleId="Style_21" w:type="paragraph">
    <w:name w:val="Указатель (user)"/>
    <w:basedOn w:val="Style_2"/>
    <w:link w:val="Style_21_ch"/>
    <w:rPr>
      <w:rFonts w:ascii="PT Astra Serif" w:hAnsi="PT Astra Serif"/>
    </w:rPr>
  </w:style>
  <w:style w:styleId="Style_21_ch" w:type="character">
    <w:name w:val="Указатель (user)"/>
    <w:basedOn w:val="Style_2_ch"/>
    <w:link w:val="Style_21"/>
    <w:rPr>
      <w:rFonts w:ascii="PT Astra Serif" w:hAnsi="PT Astra Serif"/>
    </w:rPr>
  </w:style>
  <w:style w:styleId="Style_22" w:type="paragraph">
    <w:name w:val="Endnote"/>
    <w:link w:val="Style_22_ch"/>
    <w:pPr>
      <w:ind w:firstLine="851" w:left="0"/>
      <w:jc w:val="both"/>
    </w:pPr>
    <w:rPr>
      <w:rFonts w:ascii="XO Thames" w:hAnsi="XO Thames"/>
      <w:sz w:val="22"/>
    </w:rPr>
  </w:style>
  <w:style w:styleId="Style_22_ch" w:type="character">
    <w:name w:val="Endnote"/>
    <w:link w:val="Style_22"/>
    <w:rPr>
      <w:rFonts w:ascii="XO Thames" w:hAnsi="XO Thames"/>
      <w:sz w:val="22"/>
    </w:rPr>
  </w:style>
  <w:style w:styleId="Style_7" w:type="paragraph">
    <w:name w:val="heading 3"/>
    <w:next w:val="Style_2"/>
    <w:link w:val="Style_7_ch"/>
    <w:uiPriority w:val="9"/>
    <w:qFormat/>
    <w:pPr>
      <w:widowControl w:val="1"/>
      <w:spacing w:after="120" w:before="120" w:line="240" w:lineRule="auto"/>
      <w:ind w:firstLine="0" w:left="0" w:right="0"/>
      <w:jc w:val="both"/>
      <w:outlineLvl w:val="2"/>
    </w:pPr>
    <w:rPr>
      <w:rFonts w:ascii="XO Thames" w:hAnsi="XO Thames"/>
      <w:b w:val="1"/>
      <w:color w:val="000000"/>
      <w:spacing w:val="0"/>
      <w:sz w:val="26"/>
    </w:rPr>
  </w:style>
  <w:style w:styleId="Style_7_ch" w:type="character">
    <w:name w:val="heading 3"/>
    <w:link w:val="Style_7"/>
    <w:rPr>
      <w:rFonts w:ascii="XO Thames" w:hAnsi="XO Thames"/>
      <w:b w:val="1"/>
      <w:color w:val="000000"/>
      <w:spacing w:val="0"/>
      <w:sz w:val="26"/>
    </w:rPr>
  </w:style>
  <w:style w:styleId="Style_23" w:type="paragraph">
    <w:name w:val="Contents 4"/>
    <w:link w:val="Style_23_ch"/>
    <w:rPr>
      <w:rFonts w:ascii="XO Thames" w:hAnsi="XO Thames"/>
      <w:sz w:val="28"/>
    </w:rPr>
  </w:style>
  <w:style w:styleId="Style_23_ch" w:type="character">
    <w:name w:val="Contents 4"/>
    <w:link w:val="Style_23"/>
    <w:rPr>
      <w:rFonts w:ascii="XO Thames" w:hAnsi="XO Thames"/>
      <w:sz w:val="28"/>
    </w:rPr>
  </w:style>
  <w:style w:styleId="Style_1" w:type="paragraph">
    <w:name w:val="header"/>
    <w:basedOn w:val="Style_2"/>
    <w:link w:val="Style_1_ch"/>
    <w:pPr>
      <w:tabs>
        <w:tab w:leader="none" w:pos="709" w:val="clear"/>
        <w:tab w:leader="none" w:pos="4677" w:val="center"/>
        <w:tab w:leader="none" w:pos="9355" w:val="right"/>
      </w:tabs>
      <w:spacing w:after="0" w:before="0" w:line="240" w:lineRule="auto"/>
      <w:ind/>
    </w:pPr>
  </w:style>
  <w:style w:styleId="Style_1_ch" w:type="character">
    <w:name w:val="header"/>
    <w:basedOn w:val="Style_2_ch"/>
    <w:link w:val="Style_1"/>
  </w:style>
  <w:style w:styleId="Style_10" w:type="paragraph">
    <w:name w:val="Body Text"/>
    <w:basedOn w:val="Style_2"/>
    <w:link w:val="Style_10_ch"/>
    <w:pPr>
      <w:spacing w:after="120" w:before="0"/>
      <w:ind/>
    </w:pPr>
  </w:style>
  <w:style w:styleId="Style_10_ch" w:type="character">
    <w:name w:val="Body Text"/>
    <w:basedOn w:val="Style_2_ch"/>
    <w:link w:val="Style_10"/>
  </w:style>
  <w:style w:styleId="Style_24" w:type="paragraph">
    <w:name w:val="Heading 51"/>
    <w:link w:val="Style_24_ch"/>
    <w:rPr>
      <w:rFonts w:ascii="XO Thames" w:hAnsi="XO Thames"/>
      <w:b w:val="1"/>
      <w:sz w:val="22"/>
    </w:rPr>
  </w:style>
  <w:style w:styleId="Style_24_ch" w:type="character">
    <w:name w:val="Heading 51"/>
    <w:link w:val="Style_24"/>
    <w:rPr>
      <w:rFonts w:ascii="XO Thames" w:hAnsi="XO Thames"/>
      <w:b w:val="1"/>
      <w:sz w:val="22"/>
    </w:rPr>
  </w:style>
  <w:style w:styleId="Style_25" w:type="paragraph">
    <w:name w:val="Header and Footer1"/>
    <w:link w:val="Style_25_ch"/>
    <w:pPr>
      <w:widowControl w:val="1"/>
      <w:spacing w:after="0" w:before="0" w:line="240" w:lineRule="auto"/>
      <w:ind w:firstLine="0" w:left="0" w:right="0"/>
      <w:jc w:val="both"/>
    </w:pPr>
    <w:rPr>
      <w:rFonts w:ascii="XO Thames" w:hAnsi="XO Thames"/>
      <w:color w:val="000000"/>
      <w:spacing w:val="0"/>
      <w:sz w:val="20"/>
    </w:rPr>
  </w:style>
  <w:style w:styleId="Style_25_ch" w:type="character">
    <w:name w:val="Header and Footer1"/>
    <w:link w:val="Style_25"/>
    <w:rPr>
      <w:rFonts w:ascii="XO Thames" w:hAnsi="XO Thames"/>
      <w:color w:val="000000"/>
      <w:spacing w:val="0"/>
      <w:sz w:val="20"/>
    </w:rPr>
  </w:style>
  <w:style w:styleId="Style_26" w:type="paragraph">
    <w:name w:val="Header and Footer6"/>
    <w:basedOn w:val="Style_2"/>
    <w:link w:val="Style_26_ch"/>
  </w:style>
  <w:style w:styleId="Style_26_ch" w:type="character">
    <w:name w:val="Header and Footer6"/>
    <w:basedOn w:val="Style_2_ch"/>
    <w:link w:val="Style_26"/>
  </w:style>
  <w:style w:styleId="Style_27" w:type="paragraph">
    <w:name w:val="Heading 41"/>
    <w:link w:val="Style_27_ch"/>
    <w:rPr>
      <w:rFonts w:ascii="XO Thames" w:hAnsi="XO Thames"/>
      <w:b w:val="1"/>
      <w:sz w:val="24"/>
    </w:rPr>
  </w:style>
  <w:style w:styleId="Style_27_ch" w:type="character">
    <w:name w:val="Heading 41"/>
    <w:link w:val="Style_27"/>
    <w:rPr>
      <w:rFonts w:ascii="XO Thames" w:hAnsi="XO Thames"/>
      <w:b w:val="1"/>
      <w:sz w:val="24"/>
    </w:rPr>
  </w:style>
  <w:style w:styleId="Style_28" w:type="paragraph">
    <w:name w:val="Contents 7"/>
    <w:link w:val="Style_28_ch"/>
    <w:rPr>
      <w:rFonts w:ascii="XO Thames" w:hAnsi="XO Thames"/>
      <w:sz w:val="28"/>
    </w:rPr>
  </w:style>
  <w:style w:styleId="Style_28_ch" w:type="character">
    <w:name w:val="Contents 7"/>
    <w:link w:val="Style_28"/>
    <w:rPr>
      <w:rFonts w:ascii="XO Thames" w:hAnsi="XO Thames"/>
      <w:sz w:val="28"/>
    </w:rPr>
  </w:style>
  <w:style w:styleId="Style_29" w:type="paragraph">
    <w:name w:val="Contents 6"/>
    <w:link w:val="Style_29_ch"/>
    <w:rPr>
      <w:rFonts w:ascii="XO Thames" w:hAnsi="XO Thames"/>
      <w:sz w:val="28"/>
    </w:rPr>
  </w:style>
  <w:style w:styleId="Style_29_ch" w:type="character">
    <w:name w:val="Contents 6"/>
    <w:link w:val="Style_29"/>
    <w:rPr>
      <w:rFonts w:ascii="XO Thames" w:hAnsi="XO Thames"/>
      <w:sz w:val="28"/>
    </w:rPr>
  </w:style>
  <w:style w:styleId="Style_30" w:type="paragraph">
    <w:name w:val="Style31"/>
    <w:basedOn w:val="Style_2"/>
    <w:link w:val="Style_30_ch"/>
    <w:pPr>
      <w:widowControl w:val="0"/>
      <w:spacing w:after="0" w:before="0" w:line="240" w:lineRule="auto"/>
      <w:ind/>
    </w:pPr>
    <w:rPr>
      <w:rFonts w:ascii="Times New Roman" w:hAnsi="Times New Roman"/>
      <w:sz w:val="24"/>
    </w:rPr>
  </w:style>
  <w:style w:styleId="Style_30_ch" w:type="character">
    <w:name w:val="Style31"/>
    <w:basedOn w:val="Style_2_ch"/>
    <w:link w:val="Style_30"/>
    <w:rPr>
      <w:rFonts w:ascii="Times New Roman" w:hAnsi="Times New Roman"/>
      <w:sz w:val="24"/>
    </w:rPr>
  </w:style>
  <w:style w:styleId="Style_5" w:type="paragraph">
    <w:name w:val="Body Text 31"/>
    <w:basedOn w:val="Style_2"/>
    <w:link w:val="Style_5_ch"/>
    <w:pPr>
      <w:spacing w:after="120" w:before="0"/>
      <w:ind/>
    </w:pPr>
    <w:rPr>
      <w:sz w:val="16"/>
    </w:rPr>
  </w:style>
  <w:style w:styleId="Style_5_ch" w:type="character">
    <w:name w:val="Body Text 31"/>
    <w:basedOn w:val="Style_2_ch"/>
    <w:link w:val="Style_5"/>
    <w:rPr>
      <w:sz w:val="16"/>
    </w:rPr>
  </w:style>
  <w:style w:styleId="Style_31" w:type="paragraph">
    <w:name w:val="ListBul21"/>
    <w:basedOn w:val="Style_2"/>
    <w:link w:val="Style_31_ch"/>
    <w:pPr>
      <w:tabs>
        <w:tab w:leader="none" w:pos="567" w:val="left"/>
        <w:tab w:leader="none" w:pos="709" w:val="clear"/>
        <w:tab w:leader="none" w:pos="1647" w:val="left"/>
      </w:tabs>
      <w:spacing w:after="0" w:before="0" w:line="240" w:lineRule="auto"/>
      <w:ind w:hanging="360" w:left="1647"/>
      <w:jc w:val="both"/>
    </w:pPr>
    <w:rPr>
      <w:rFonts w:ascii="Times New Roman" w:hAnsi="Times New Roman"/>
    </w:rPr>
  </w:style>
  <w:style w:styleId="Style_31_ch" w:type="character">
    <w:name w:val="ListBul21"/>
    <w:basedOn w:val="Style_2_ch"/>
    <w:link w:val="Style_31"/>
    <w:rPr>
      <w:rFonts w:ascii="Times New Roman" w:hAnsi="Times New Roman"/>
    </w:rPr>
  </w:style>
  <w:style w:styleId="Style_32" w:type="paragraph">
    <w:name w:val="List"/>
    <w:basedOn w:val="Style_10"/>
    <w:link w:val="Style_32_ch"/>
    <w:rPr>
      <w:rFonts w:ascii="PT Astra Serif" w:hAnsi="PT Astra Serif"/>
    </w:rPr>
  </w:style>
  <w:style w:styleId="Style_32_ch" w:type="character">
    <w:name w:val="List"/>
    <w:basedOn w:val="Style_10_ch"/>
    <w:link w:val="Style_32"/>
    <w:rPr>
      <w:rFonts w:ascii="PT Astra Serif" w:hAnsi="PT Astra Serif"/>
    </w:rPr>
  </w:style>
  <w:style w:styleId="Style_33" w:type="paragraph">
    <w:name w:val="ListNum1"/>
    <w:basedOn w:val="Style_2"/>
    <w:link w:val="Style_33_ch"/>
    <w:pPr>
      <w:tabs>
        <w:tab w:leader="none" w:pos="284" w:val="left"/>
        <w:tab w:leader="none" w:pos="709" w:val="clear"/>
        <w:tab w:leader="none" w:pos="1647" w:val="left"/>
      </w:tabs>
      <w:spacing w:after="0" w:before="60" w:line="240" w:lineRule="auto"/>
      <w:ind w:hanging="360" w:left="1647"/>
      <w:jc w:val="both"/>
    </w:pPr>
    <w:rPr>
      <w:rFonts w:ascii="Times New Roman" w:hAnsi="Times New Roman"/>
    </w:rPr>
  </w:style>
  <w:style w:styleId="Style_33_ch" w:type="character">
    <w:name w:val="ListNum1"/>
    <w:basedOn w:val="Style_2_ch"/>
    <w:link w:val="Style_33"/>
    <w:rPr>
      <w:rFonts w:ascii="Times New Roman" w:hAnsi="Times New Roman"/>
    </w:rPr>
  </w:style>
  <w:style w:styleId="Style_34" w:type="paragraph">
    <w:name w:val="Text body indent"/>
    <w:link w:val="Style_34_ch"/>
  </w:style>
  <w:style w:styleId="Style_34_ch" w:type="character">
    <w:name w:val="Text body indent"/>
    <w:link w:val="Style_34"/>
  </w:style>
  <w:style w:styleId="Style_4" w:type="paragraph">
    <w:name w:val="ConsPlusNormal11"/>
    <w:link w:val="Style_4_ch"/>
    <w:pPr>
      <w:widowControl w:val="1"/>
      <w:spacing w:after="0" w:before="0" w:line="240" w:lineRule="auto"/>
      <w:ind w:firstLine="0" w:left="0" w:right="0"/>
      <w:jc w:val="left"/>
    </w:pPr>
    <w:rPr>
      <w:rFonts w:ascii="Arial" w:hAnsi="Arial"/>
      <w:color w:val="000000"/>
      <w:spacing w:val="0"/>
      <w:sz w:val="20"/>
    </w:rPr>
  </w:style>
  <w:style w:styleId="Style_4_ch" w:type="character">
    <w:name w:val="ConsPlusNormal11"/>
    <w:link w:val="Style_4"/>
    <w:rPr>
      <w:rFonts w:ascii="Arial" w:hAnsi="Arial"/>
      <w:color w:val="000000"/>
      <w:spacing w:val="0"/>
      <w:sz w:val="20"/>
    </w:rPr>
  </w:style>
  <w:style w:styleId="Style_35" w:type="paragraph">
    <w:name w:val="Style81"/>
    <w:basedOn w:val="Style_2"/>
    <w:link w:val="Style_35_ch"/>
    <w:pPr>
      <w:widowControl w:val="0"/>
      <w:spacing w:after="0" w:before="0" w:line="276" w:lineRule="exact"/>
      <w:ind/>
      <w:jc w:val="both"/>
    </w:pPr>
    <w:rPr>
      <w:rFonts w:ascii="Times New Roman" w:hAnsi="Times New Roman"/>
      <w:sz w:val="24"/>
    </w:rPr>
  </w:style>
  <w:style w:styleId="Style_35_ch" w:type="character">
    <w:name w:val="Style81"/>
    <w:basedOn w:val="Style_2_ch"/>
    <w:link w:val="Style_35"/>
    <w:rPr>
      <w:rFonts w:ascii="Times New Roman" w:hAnsi="Times New Roman"/>
      <w:sz w:val="24"/>
    </w:rPr>
  </w:style>
  <w:style w:styleId="Style_36" w:type="paragraph">
    <w:name w:val="Header and Footer4"/>
    <w:basedOn w:val="Style_2"/>
    <w:link w:val="Style_36_ch"/>
  </w:style>
  <w:style w:styleId="Style_36_ch" w:type="character">
    <w:name w:val="Header and Footer4"/>
    <w:basedOn w:val="Style_2_ch"/>
    <w:link w:val="Style_36"/>
  </w:style>
  <w:style w:styleId="Style_37" w:type="paragraph">
    <w:name w:val="Заголовок таблицы (user)"/>
    <w:basedOn w:val="Style_38"/>
    <w:link w:val="Style_37_ch"/>
    <w:pPr>
      <w:ind/>
      <w:jc w:val="center"/>
    </w:pPr>
    <w:rPr>
      <w:b w:val="1"/>
    </w:rPr>
  </w:style>
  <w:style w:styleId="Style_37_ch" w:type="character">
    <w:name w:val="Заголовок таблицы (user)"/>
    <w:basedOn w:val="Style_38_ch"/>
    <w:link w:val="Style_37"/>
    <w:rPr>
      <w:b w:val="1"/>
    </w:rPr>
  </w:style>
  <w:style w:styleId="Style_39" w:type="paragraph">
    <w:name w:val="toc 3"/>
    <w:next w:val="Style_2"/>
    <w:link w:val="Style_39_ch"/>
    <w:uiPriority w:val="39"/>
    <w:pPr>
      <w:widowControl w:val="1"/>
      <w:spacing w:after="0" w:before="0" w:line="240" w:lineRule="auto"/>
      <w:ind w:firstLine="0" w:left="400" w:right="0"/>
      <w:jc w:val="left"/>
    </w:pPr>
    <w:rPr>
      <w:rFonts w:ascii="XO Thames" w:hAnsi="XO Thames"/>
      <w:color w:val="000000"/>
      <w:spacing w:val="0"/>
      <w:sz w:val="28"/>
    </w:rPr>
  </w:style>
  <w:style w:styleId="Style_39_ch" w:type="character">
    <w:name w:val="toc 3"/>
    <w:link w:val="Style_39"/>
    <w:rPr>
      <w:rFonts w:ascii="XO Thames" w:hAnsi="XO Thames"/>
      <w:color w:val="000000"/>
      <w:spacing w:val="0"/>
      <w:sz w:val="28"/>
    </w:rPr>
  </w:style>
  <w:style w:styleId="Style_40" w:type="paragraph">
    <w:name w:val="Footnote Symbol"/>
    <w:link w:val="Style_40_ch"/>
    <w:pPr>
      <w:widowControl w:val="1"/>
      <w:spacing w:after="0" w:before="0" w:line="240" w:lineRule="auto"/>
      <w:ind w:firstLine="0" w:left="0" w:right="0"/>
      <w:jc w:val="left"/>
    </w:pPr>
    <w:rPr>
      <w:rFonts w:ascii="Calibri" w:hAnsi="Calibri"/>
      <w:color w:val="000000"/>
      <w:spacing w:val="0"/>
      <w:sz w:val="20"/>
      <w:vertAlign w:val="superscript"/>
    </w:rPr>
  </w:style>
  <w:style w:styleId="Style_40_ch" w:type="character">
    <w:name w:val="Footnote Symbol"/>
    <w:link w:val="Style_40"/>
    <w:rPr>
      <w:rFonts w:ascii="Calibri" w:hAnsi="Calibri"/>
      <w:color w:val="000000"/>
      <w:spacing w:val="0"/>
      <w:sz w:val="20"/>
      <w:vertAlign w:val="superscript"/>
    </w:rPr>
  </w:style>
  <w:style w:styleId="Style_41" w:type="paragraph">
    <w:name w:val="caption"/>
    <w:basedOn w:val="Style_2"/>
    <w:link w:val="Style_41_ch"/>
    <w:pPr>
      <w:spacing w:after="120" w:before="120"/>
      <w:ind/>
    </w:pPr>
    <w:rPr>
      <w:rFonts w:ascii="PT Astra Serif" w:hAnsi="PT Astra Serif"/>
      <w:i w:val="1"/>
      <w:sz w:val="24"/>
    </w:rPr>
  </w:style>
  <w:style w:styleId="Style_41_ch" w:type="character">
    <w:name w:val="caption"/>
    <w:basedOn w:val="Style_2_ch"/>
    <w:link w:val="Style_41"/>
    <w:rPr>
      <w:rFonts w:ascii="PT Astra Serif" w:hAnsi="PT Astra Serif"/>
      <w:i w:val="1"/>
      <w:sz w:val="24"/>
    </w:rPr>
  </w:style>
  <w:style w:styleId="Style_42" w:type="paragraph">
    <w:name w:val="Header and Footer7"/>
    <w:basedOn w:val="Style_2"/>
    <w:link w:val="Style_42_ch"/>
  </w:style>
  <w:style w:styleId="Style_42_ch" w:type="character">
    <w:name w:val="Header and Footer7"/>
    <w:basedOn w:val="Style_2_ch"/>
    <w:link w:val="Style_42"/>
  </w:style>
  <w:style w:styleId="Style_38" w:type="paragraph">
    <w:name w:val="Содержимое таблицы (user)"/>
    <w:basedOn w:val="Style_2"/>
    <w:link w:val="Style_38_ch"/>
    <w:pPr>
      <w:widowControl w:val="0"/>
      <w:ind/>
    </w:pPr>
  </w:style>
  <w:style w:styleId="Style_38_ch" w:type="character">
    <w:name w:val="Содержимое таблицы (user)"/>
    <w:basedOn w:val="Style_2_ch"/>
    <w:link w:val="Style_38"/>
  </w:style>
  <w:style w:styleId="Style_43" w:type="paragraph">
    <w:name w:val="Text body"/>
    <w:link w:val="Style_43_ch"/>
  </w:style>
  <w:style w:styleId="Style_43_ch" w:type="character">
    <w:name w:val="Text body"/>
    <w:link w:val="Style_43"/>
  </w:style>
  <w:style w:styleId="Style_44" w:type="paragraph">
    <w:name w:val="Font Style121"/>
    <w:link w:val="Style_44_ch"/>
    <w:pPr>
      <w:widowControl w:val="1"/>
      <w:spacing w:after="0" w:before="0" w:line="240" w:lineRule="auto"/>
      <w:ind w:firstLine="0" w:left="0" w:right="0"/>
      <w:jc w:val="left"/>
    </w:pPr>
    <w:rPr>
      <w:rFonts w:ascii="Times New Roman" w:hAnsi="Times New Roman"/>
      <w:color w:val="000000"/>
      <w:spacing w:val="0"/>
      <w:sz w:val="22"/>
    </w:rPr>
  </w:style>
  <w:style w:styleId="Style_44_ch" w:type="character">
    <w:name w:val="Font Style121"/>
    <w:link w:val="Style_44"/>
    <w:rPr>
      <w:rFonts w:ascii="Times New Roman" w:hAnsi="Times New Roman"/>
      <w:color w:val="000000"/>
      <w:spacing w:val="0"/>
      <w:sz w:val="22"/>
    </w:rPr>
  </w:style>
  <w:style w:styleId="Style_45" w:type="paragraph">
    <w:name w:val="Contents 2"/>
    <w:link w:val="Style_45_ch"/>
    <w:rPr>
      <w:rFonts w:ascii="XO Thames" w:hAnsi="XO Thames"/>
      <w:sz w:val="28"/>
    </w:rPr>
  </w:style>
  <w:style w:styleId="Style_45_ch" w:type="character">
    <w:name w:val="Contents 2"/>
    <w:link w:val="Style_45"/>
    <w:rPr>
      <w:rFonts w:ascii="XO Thames" w:hAnsi="XO Thames"/>
      <w:sz w:val="28"/>
    </w:rPr>
  </w:style>
  <w:style w:styleId="Style_46" w:type="paragraph">
    <w:name w:val="Заголовок"/>
    <w:basedOn w:val="Style_2"/>
    <w:next w:val="Style_10"/>
    <w:link w:val="Style_46_ch"/>
    <w:pPr>
      <w:keepNext w:val="1"/>
      <w:spacing w:after="120" w:before="240"/>
      <w:ind/>
    </w:pPr>
    <w:rPr>
      <w:rFonts w:ascii="PT Astra Serif" w:hAnsi="PT Astra Serif"/>
      <w:sz w:val="28"/>
    </w:rPr>
  </w:style>
  <w:style w:styleId="Style_46_ch" w:type="character">
    <w:name w:val="Заголовок"/>
    <w:basedOn w:val="Style_2_ch"/>
    <w:link w:val="Style_46"/>
    <w:rPr>
      <w:rFonts w:ascii="PT Astra Serif" w:hAnsi="PT Astra Serif"/>
      <w:sz w:val="28"/>
    </w:rPr>
  </w:style>
  <w:style w:styleId="Style_47" w:type="paragraph">
    <w:name w:val="heading 5"/>
    <w:next w:val="Style_2"/>
    <w:link w:val="Style_47_ch"/>
    <w:uiPriority w:val="9"/>
    <w:qFormat/>
    <w:pPr>
      <w:widowControl w:val="1"/>
      <w:spacing w:after="120" w:before="120" w:line="240" w:lineRule="auto"/>
      <w:ind w:firstLine="0" w:left="0" w:right="0"/>
      <w:jc w:val="both"/>
      <w:outlineLvl w:val="4"/>
    </w:pPr>
    <w:rPr>
      <w:rFonts w:ascii="XO Thames" w:hAnsi="XO Thames"/>
      <w:b w:val="1"/>
      <w:color w:val="000000"/>
      <w:spacing w:val="0"/>
      <w:sz w:val="22"/>
    </w:rPr>
  </w:style>
  <w:style w:styleId="Style_47_ch" w:type="character">
    <w:name w:val="heading 5"/>
    <w:link w:val="Style_47"/>
    <w:rPr>
      <w:rFonts w:ascii="XO Thames" w:hAnsi="XO Thames"/>
      <w:b w:val="1"/>
      <w:color w:val="000000"/>
      <w:spacing w:val="0"/>
      <w:sz w:val="22"/>
    </w:rPr>
  </w:style>
  <w:style w:styleId="Style_48" w:type="paragraph">
    <w:name w:val="Contents 1"/>
    <w:link w:val="Style_48_ch"/>
    <w:rPr>
      <w:rFonts w:ascii="XO Thames" w:hAnsi="XO Thames"/>
      <w:b w:val="1"/>
      <w:sz w:val="28"/>
    </w:rPr>
  </w:style>
  <w:style w:styleId="Style_48_ch" w:type="character">
    <w:name w:val="Contents 1"/>
    <w:link w:val="Style_48"/>
    <w:rPr>
      <w:rFonts w:ascii="XO Thames" w:hAnsi="XO Thames"/>
      <w:b w:val="1"/>
      <w:sz w:val="28"/>
    </w:rPr>
  </w:style>
  <w:style w:styleId="Style_49" w:type="paragraph">
    <w:name w:val="heading 1"/>
    <w:basedOn w:val="Style_2"/>
    <w:next w:val="Style_2"/>
    <w:link w:val="Style_49_ch"/>
    <w:uiPriority w:val="9"/>
    <w:qFormat/>
    <w:pPr>
      <w:keepNext w:val="1"/>
      <w:keepLines w:val="1"/>
      <w:spacing w:after="0" w:before="240" w:line="264" w:lineRule="auto"/>
      <w:ind/>
      <w:outlineLvl w:val="0"/>
    </w:pPr>
    <w:rPr>
      <w:rFonts w:ascii="Calibri Light" w:hAnsi="Calibri Light"/>
      <w:color w:val="2E74B5"/>
      <w:sz w:val="32"/>
    </w:rPr>
  </w:style>
  <w:style w:styleId="Style_49_ch" w:type="character">
    <w:name w:val="heading 1"/>
    <w:basedOn w:val="Style_2_ch"/>
    <w:link w:val="Style_49"/>
    <w:rPr>
      <w:rFonts w:ascii="Calibri Light" w:hAnsi="Calibri Light"/>
      <w:color w:val="2E74B5"/>
      <w:sz w:val="32"/>
    </w:rPr>
  </w:style>
  <w:style w:styleId="Style_50" w:type="paragraph">
    <w:name w:val="Символ сноски"/>
    <w:link w:val="Style_50_ch"/>
    <w:rPr>
      <w:vertAlign w:val="superscript"/>
    </w:rPr>
  </w:style>
  <w:style w:styleId="Style_50_ch" w:type="character">
    <w:name w:val="Символ сноски"/>
    <w:link w:val="Style_50"/>
    <w:rPr>
      <w:vertAlign w:val="superscript"/>
    </w:rPr>
  </w:style>
  <w:style w:styleId="Style_51" w:type="paragraph">
    <w:name w:val="ConsNonformat1"/>
    <w:link w:val="Style_51_ch"/>
    <w:pPr>
      <w:widowControl w:val="0"/>
      <w:spacing w:after="0" w:before="0" w:line="240" w:lineRule="auto"/>
      <w:ind w:firstLine="0" w:left="0" w:right="0"/>
      <w:jc w:val="left"/>
    </w:pPr>
    <w:rPr>
      <w:rFonts w:ascii="Courier New" w:hAnsi="Courier New"/>
      <w:color w:val="000000"/>
      <w:spacing w:val="0"/>
      <w:sz w:val="20"/>
    </w:rPr>
  </w:style>
  <w:style w:styleId="Style_51_ch" w:type="character">
    <w:name w:val="ConsNonformat1"/>
    <w:link w:val="Style_51"/>
    <w:rPr>
      <w:rFonts w:ascii="Courier New" w:hAnsi="Courier New"/>
      <w:color w:val="000000"/>
      <w:spacing w:val="0"/>
      <w:sz w:val="20"/>
    </w:rPr>
  </w:style>
  <w:style w:styleId="Style_52" w:type="paragraph">
    <w:name w:val="Body Text Indent"/>
    <w:basedOn w:val="Style_2"/>
    <w:link w:val="Style_52_ch"/>
    <w:pPr>
      <w:spacing w:after="120" w:before="0"/>
      <w:ind w:firstLine="0" w:left="283"/>
    </w:pPr>
  </w:style>
  <w:style w:styleId="Style_52_ch" w:type="character">
    <w:name w:val="Body Text Indent"/>
    <w:basedOn w:val="Style_2_ch"/>
    <w:link w:val="Style_52"/>
  </w:style>
  <w:style w:styleId="Style_53" w:type="paragraph">
    <w:name w:val="Hyperlink"/>
    <w:link w:val="Style_53_ch"/>
    <w:rPr>
      <w:color w:val="0000FF"/>
      <w:u w:val="single"/>
    </w:rPr>
  </w:style>
  <w:style w:styleId="Style_53_ch" w:type="character">
    <w:name w:val="Hyperlink"/>
    <w:link w:val="Style_53"/>
    <w:rPr>
      <w:color w:val="0000FF"/>
      <w:u w:val="single"/>
    </w:rPr>
  </w:style>
  <w:style w:styleId="Style_54" w:type="paragraph">
    <w:name w:val="Footnote"/>
    <w:link w:val="Style_54_ch"/>
    <w:pPr>
      <w:ind w:firstLine="851" w:left="0"/>
      <w:jc w:val="both"/>
    </w:pPr>
    <w:rPr>
      <w:rFonts w:ascii="XO Thames" w:hAnsi="XO Thames"/>
      <w:sz w:val="22"/>
    </w:rPr>
  </w:style>
  <w:style w:styleId="Style_54_ch" w:type="character">
    <w:name w:val="Footnote"/>
    <w:link w:val="Style_54"/>
    <w:rPr>
      <w:rFonts w:ascii="XO Thames" w:hAnsi="XO Thames"/>
      <w:sz w:val="22"/>
    </w:rPr>
  </w:style>
  <w:style w:styleId="Style_55" w:type="paragraph">
    <w:name w:val="toc 1"/>
    <w:next w:val="Style_2"/>
    <w:link w:val="Style_55_ch"/>
    <w:uiPriority w:val="39"/>
    <w:pPr>
      <w:widowControl w:val="1"/>
      <w:spacing w:after="0" w:before="0" w:line="240" w:lineRule="auto"/>
      <w:ind w:firstLine="0" w:left="0" w:right="0"/>
      <w:jc w:val="left"/>
    </w:pPr>
    <w:rPr>
      <w:rFonts w:ascii="XO Thames" w:hAnsi="XO Thames"/>
      <w:b w:val="1"/>
      <w:color w:val="000000"/>
      <w:spacing w:val="0"/>
      <w:sz w:val="28"/>
    </w:rPr>
  </w:style>
  <w:style w:styleId="Style_55_ch" w:type="character">
    <w:name w:val="toc 1"/>
    <w:link w:val="Style_55"/>
    <w:rPr>
      <w:rFonts w:ascii="XO Thames" w:hAnsi="XO Thames"/>
      <w:b w:val="1"/>
      <w:color w:val="000000"/>
      <w:spacing w:val="0"/>
      <w:sz w:val="28"/>
    </w:rPr>
  </w:style>
  <w:style w:styleId="Style_56" w:type="paragraph">
    <w:name w:val="Footnote1"/>
    <w:basedOn w:val="Style_2"/>
    <w:link w:val="Style_56_ch"/>
    <w:pPr>
      <w:spacing w:after="0" w:before="0" w:line="240" w:lineRule="auto"/>
      <w:ind/>
    </w:pPr>
    <w:rPr>
      <w:sz w:val="20"/>
    </w:rPr>
  </w:style>
  <w:style w:styleId="Style_56_ch" w:type="character">
    <w:name w:val="Footnote1"/>
    <w:basedOn w:val="Style_2_ch"/>
    <w:link w:val="Style_56"/>
    <w:rPr>
      <w:sz w:val="20"/>
    </w:rPr>
  </w:style>
  <w:style w:styleId="Style_57" w:type="paragraph">
    <w:name w:val="Header1"/>
    <w:link w:val="Style_57_ch"/>
  </w:style>
  <w:style w:styleId="Style_57_ch" w:type="character">
    <w:name w:val="Header1"/>
    <w:link w:val="Style_57"/>
  </w:style>
  <w:style w:styleId="Style_58" w:type="paragraph">
    <w:name w:val="Title1"/>
    <w:link w:val="Style_58_ch"/>
    <w:rPr>
      <w:rFonts w:ascii="XO Thames" w:hAnsi="XO Thames"/>
      <w:b w:val="1"/>
      <w:caps w:val="1"/>
      <w:sz w:val="40"/>
    </w:rPr>
  </w:style>
  <w:style w:styleId="Style_58_ch" w:type="character">
    <w:name w:val="Title1"/>
    <w:link w:val="Style_58"/>
    <w:rPr>
      <w:rFonts w:ascii="XO Thames" w:hAnsi="XO Thames"/>
      <w:b w:val="1"/>
      <w:caps w:val="1"/>
      <w:sz w:val="40"/>
    </w:rPr>
  </w:style>
  <w:style w:styleId="Style_59" w:type="paragraph">
    <w:name w:val="Header and Footer"/>
    <w:link w:val="Style_59_ch"/>
    <w:pPr>
      <w:spacing w:line="240" w:lineRule="auto"/>
      <w:ind/>
      <w:jc w:val="both"/>
    </w:pPr>
    <w:rPr>
      <w:rFonts w:ascii="XO Thames" w:hAnsi="XO Thames"/>
      <w:sz w:val="20"/>
    </w:rPr>
  </w:style>
  <w:style w:styleId="Style_59_ch" w:type="character">
    <w:name w:val="Header and Footer"/>
    <w:link w:val="Style_59"/>
    <w:rPr>
      <w:rFonts w:ascii="XO Thames" w:hAnsi="XO Thames"/>
      <w:sz w:val="20"/>
    </w:rPr>
  </w:style>
  <w:style w:styleId="Style_60" w:type="paragraph">
    <w:name w:val="Header and Footer3"/>
    <w:basedOn w:val="Style_2"/>
    <w:link w:val="Style_60_ch"/>
  </w:style>
  <w:style w:styleId="Style_60_ch" w:type="character">
    <w:name w:val="Header and Footer3"/>
    <w:basedOn w:val="Style_2_ch"/>
    <w:link w:val="Style_60"/>
  </w:style>
  <w:style w:styleId="Style_61" w:type="paragraph">
    <w:name w:val="Нормальный (таблица)1"/>
    <w:basedOn w:val="Style_2"/>
    <w:next w:val="Style_2"/>
    <w:link w:val="Style_61_ch"/>
    <w:pPr>
      <w:widowControl w:val="0"/>
      <w:spacing w:after="0" w:before="0" w:line="240" w:lineRule="auto"/>
      <w:ind/>
      <w:jc w:val="both"/>
    </w:pPr>
    <w:rPr>
      <w:rFonts w:ascii="Times New Roman CYR" w:hAnsi="Times New Roman CYR"/>
      <w:sz w:val="24"/>
    </w:rPr>
  </w:style>
  <w:style w:styleId="Style_61_ch" w:type="character">
    <w:name w:val="Нормальный (таблица)1"/>
    <w:basedOn w:val="Style_2_ch"/>
    <w:link w:val="Style_61"/>
    <w:rPr>
      <w:rFonts w:ascii="Times New Roman CYR" w:hAnsi="Times New Roman CYR"/>
      <w:sz w:val="24"/>
    </w:rPr>
  </w:style>
  <w:style w:styleId="Style_62" w:type="paragraph">
    <w:name w:val="No Spacing1"/>
    <w:link w:val="Style_62_ch"/>
    <w:pPr>
      <w:widowControl w:val="1"/>
      <w:spacing w:after="0" w:before="0" w:line="240" w:lineRule="auto"/>
      <w:ind w:firstLine="0" w:left="0" w:right="0"/>
      <w:jc w:val="left"/>
    </w:pPr>
    <w:rPr>
      <w:rFonts w:ascii="Calibri" w:hAnsi="Calibri"/>
      <w:color w:val="000000"/>
      <w:spacing w:val="0"/>
      <w:sz w:val="22"/>
    </w:rPr>
  </w:style>
  <w:style w:styleId="Style_62_ch" w:type="character">
    <w:name w:val="No Spacing1"/>
    <w:link w:val="Style_62"/>
    <w:rPr>
      <w:rFonts w:ascii="Calibri" w:hAnsi="Calibri"/>
      <w:color w:val="000000"/>
      <w:spacing w:val="0"/>
      <w:sz w:val="22"/>
    </w:rPr>
  </w:style>
  <w:style w:styleId="Style_63" w:type="paragraph">
    <w:name w:val="footnote reference"/>
    <w:link w:val="Style_63_ch"/>
    <w:rPr>
      <w:vertAlign w:val="superscript"/>
    </w:rPr>
  </w:style>
  <w:style w:styleId="Style_63_ch" w:type="character">
    <w:name w:val="footnote reference"/>
    <w:link w:val="Style_63"/>
    <w:rPr>
      <w:vertAlign w:val="superscript"/>
    </w:rPr>
  </w:style>
  <w:style w:styleId="Style_64" w:type="paragraph">
    <w:name w:val="Balloon Text1"/>
    <w:basedOn w:val="Style_2"/>
    <w:link w:val="Style_64_ch"/>
    <w:pPr>
      <w:spacing w:after="0" w:before="0" w:line="240" w:lineRule="auto"/>
      <w:ind/>
    </w:pPr>
    <w:rPr>
      <w:rFonts w:ascii="Tahoma" w:hAnsi="Tahoma"/>
      <w:sz w:val="16"/>
    </w:rPr>
  </w:style>
  <w:style w:styleId="Style_64_ch" w:type="character">
    <w:name w:val="Balloon Text1"/>
    <w:basedOn w:val="Style_2_ch"/>
    <w:link w:val="Style_64"/>
    <w:rPr>
      <w:rFonts w:ascii="Tahoma" w:hAnsi="Tahoma"/>
      <w:sz w:val="16"/>
    </w:rPr>
  </w:style>
  <w:style w:styleId="Style_65" w:type="paragraph">
    <w:name w:val="toc 9"/>
    <w:next w:val="Style_2"/>
    <w:link w:val="Style_65_ch"/>
    <w:uiPriority w:val="39"/>
    <w:pPr>
      <w:widowControl w:val="1"/>
      <w:spacing w:after="0" w:before="0" w:line="240" w:lineRule="auto"/>
      <w:ind w:firstLine="0" w:left="1600" w:right="0"/>
      <w:jc w:val="left"/>
    </w:pPr>
    <w:rPr>
      <w:rFonts w:ascii="XO Thames" w:hAnsi="XO Thames"/>
      <w:color w:val="000000"/>
      <w:spacing w:val="0"/>
      <w:sz w:val="28"/>
    </w:rPr>
  </w:style>
  <w:style w:styleId="Style_65_ch" w:type="character">
    <w:name w:val="toc 9"/>
    <w:link w:val="Style_65"/>
    <w:rPr>
      <w:rFonts w:ascii="XO Thames" w:hAnsi="XO Thames"/>
      <w:color w:val="000000"/>
      <w:spacing w:val="0"/>
      <w:sz w:val="28"/>
    </w:rPr>
  </w:style>
  <w:style w:styleId="Style_66" w:type="paragraph">
    <w:name w:val="Heading 11"/>
    <w:link w:val="Style_66_ch"/>
    <w:rPr>
      <w:rFonts w:ascii="Calibri Light" w:hAnsi="Calibri Light"/>
      <w:color w:val="2E74B5"/>
      <w:sz w:val="32"/>
    </w:rPr>
  </w:style>
  <w:style w:styleId="Style_66_ch" w:type="character">
    <w:name w:val="Heading 11"/>
    <w:link w:val="Style_66"/>
    <w:rPr>
      <w:rFonts w:ascii="Calibri Light" w:hAnsi="Calibri Light"/>
      <w:color w:val="2E74B5"/>
      <w:sz w:val="32"/>
    </w:rPr>
  </w:style>
  <w:style w:styleId="Style_67" w:type="paragraph">
    <w:name w:val="Header and Footer5"/>
    <w:basedOn w:val="Style_2"/>
    <w:link w:val="Style_67_ch"/>
  </w:style>
  <w:style w:styleId="Style_67_ch" w:type="character">
    <w:name w:val="Header and Footer5"/>
    <w:basedOn w:val="Style_2_ch"/>
    <w:link w:val="Style_67"/>
  </w:style>
  <w:style w:styleId="Style_68" w:type="paragraph">
    <w:name w:val="Header and Footer2"/>
    <w:basedOn w:val="Style_2"/>
    <w:link w:val="Style_68_ch"/>
  </w:style>
  <w:style w:styleId="Style_68_ch" w:type="character">
    <w:name w:val="Header and Footer2"/>
    <w:basedOn w:val="Style_2_ch"/>
    <w:link w:val="Style_68"/>
  </w:style>
  <w:style w:styleId="Style_69" w:type="paragraph">
    <w:name w:val="Символ сноски (user)"/>
    <w:link w:val="Style_69_ch"/>
    <w:rPr>
      <w:vertAlign w:val="superscript"/>
    </w:rPr>
  </w:style>
  <w:style w:styleId="Style_69_ch" w:type="character">
    <w:name w:val="Символ сноски (user)"/>
    <w:link w:val="Style_69"/>
    <w:rPr>
      <w:vertAlign w:val="superscript"/>
    </w:rPr>
  </w:style>
  <w:style w:styleId="Style_70" w:type="paragraph">
    <w:name w:val="toc 8"/>
    <w:next w:val="Style_2"/>
    <w:link w:val="Style_70_ch"/>
    <w:uiPriority w:val="39"/>
    <w:pPr>
      <w:widowControl w:val="1"/>
      <w:spacing w:after="0" w:before="0" w:line="240" w:lineRule="auto"/>
      <w:ind w:firstLine="0" w:left="1400" w:right="0"/>
      <w:jc w:val="left"/>
    </w:pPr>
    <w:rPr>
      <w:rFonts w:ascii="XO Thames" w:hAnsi="XO Thames"/>
      <w:color w:val="000000"/>
      <w:spacing w:val="0"/>
      <w:sz w:val="28"/>
    </w:rPr>
  </w:style>
  <w:style w:styleId="Style_70_ch" w:type="character">
    <w:name w:val="toc 8"/>
    <w:link w:val="Style_70"/>
    <w:rPr>
      <w:rFonts w:ascii="XO Thames" w:hAnsi="XO Thames"/>
      <w:color w:val="000000"/>
      <w:spacing w:val="0"/>
      <w:sz w:val="28"/>
    </w:rPr>
  </w:style>
  <w:style w:styleId="Style_71" w:type="paragraph">
    <w:name w:val="Footer1"/>
    <w:link w:val="Style_71_ch"/>
  </w:style>
  <w:style w:styleId="Style_71_ch" w:type="character">
    <w:name w:val="Footer1"/>
    <w:link w:val="Style_71"/>
  </w:style>
  <w:style w:styleId="Style_72" w:type="paragraph">
    <w:name w:val="Указатель"/>
    <w:basedOn w:val="Style_2"/>
    <w:link w:val="Style_72_ch"/>
    <w:rPr>
      <w:rFonts w:ascii="PT Astra Serif" w:hAnsi="PT Astra Serif"/>
    </w:rPr>
  </w:style>
  <w:style w:styleId="Style_72_ch" w:type="character">
    <w:name w:val="Указатель"/>
    <w:basedOn w:val="Style_2_ch"/>
    <w:link w:val="Style_72"/>
    <w:rPr>
      <w:rFonts w:ascii="PT Astra Serif" w:hAnsi="PT Astra Serif"/>
    </w:rPr>
  </w:style>
  <w:style w:styleId="Style_73" w:type="paragraph">
    <w:name w:val="Subtitle1"/>
    <w:link w:val="Style_73_ch"/>
    <w:rPr>
      <w:rFonts w:ascii="XO Thames" w:hAnsi="XO Thames"/>
      <w:i w:val="1"/>
      <w:sz w:val="24"/>
    </w:rPr>
  </w:style>
  <w:style w:styleId="Style_73_ch" w:type="character">
    <w:name w:val="Subtitle1"/>
    <w:link w:val="Style_73"/>
    <w:rPr>
      <w:rFonts w:ascii="XO Thames" w:hAnsi="XO Thames"/>
      <w:i w:val="1"/>
      <w:sz w:val="24"/>
    </w:rPr>
  </w:style>
  <w:style w:styleId="Style_74" w:type="paragraph">
    <w:name w:val="ConsPlusNonformat1"/>
    <w:link w:val="Style_74_ch"/>
    <w:pPr>
      <w:widowControl w:val="0"/>
      <w:spacing w:after="0" w:before="0" w:line="240" w:lineRule="auto"/>
      <w:ind w:firstLine="0" w:left="0" w:right="0"/>
      <w:jc w:val="left"/>
    </w:pPr>
    <w:rPr>
      <w:rFonts w:ascii="Courier New" w:hAnsi="Courier New"/>
      <w:color w:val="000000"/>
      <w:spacing w:val="0"/>
      <w:sz w:val="20"/>
    </w:rPr>
  </w:style>
  <w:style w:styleId="Style_74_ch" w:type="character">
    <w:name w:val="ConsPlusNonformat1"/>
    <w:link w:val="Style_74"/>
    <w:rPr>
      <w:rFonts w:ascii="Courier New" w:hAnsi="Courier New"/>
      <w:color w:val="000000"/>
      <w:spacing w:val="0"/>
      <w:sz w:val="20"/>
    </w:rPr>
  </w:style>
  <w:style w:styleId="Style_75" w:type="paragraph">
    <w:name w:val="toc 5"/>
    <w:next w:val="Style_2"/>
    <w:link w:val="Style_75_ch"/>
    <w:uiPriority w:val="39"/>
    <w:pPr>
      <w:widowControl w:val="1"/>
      <w:spacing w:after="0" w:before="0" w:line="240" w:lineRule="auto"/>
      <w:ind w:firstLine="0" w:left="800" w:right="0"/>
      <w:jc w:val="left"/>
    </w:pPr>
    <w:rPr>
      <w:rFonts w:ascii="XO Thames" w:hAnsi="XO Thames"/>
      <w:color w:val="000000"/>
      <w:spacing w:val="0"/>
      <w:sz w:val="28"/>
    </w:rPr>
  </w:style>
  <w:style w:styleId="Style_75_ch" w:type="character">
    <w:name w:val="toc 5"/>
    <w:link w:val="Style_75"/>
    <w:rPr>
      <w:rFonts w:ascii="XO Thames" w:hAnsi="XO Thames"/>
      <w:color w:val="000000"/>
      <w:spacing w:val="0"/>
      <w:sz w:val="28"/>
    </w:rPr>
  </w:style>
  <w:style w:styleId="Style_3" w:type="paragraph">
    <w:name w:val="ConsPlusNormal1"/>
    <w:link w:val="Style_3_ch"/>
    <w:pPr>
      <w:widowControl w:val="1"/>
      <w:spacing w:after="0" w:before="0" w:line="240" w:lineRule="auto"/>
      <w:ind w:firstLine="0" w:left="0" w:right="0"/>
      <w:jc w:val="left"/>
    </w:pPr>
    <w:rPr>
      <w:rFonts w:ascii="Arial" w:hAnsi="Arial"/>
      <w:color w:val="000000"/>
      <w:spacing w:val="0"/>
      <w:sz w:val="20"/>
    </w:rPr>
  </w:style>
  <w:style w:styleId="Style_3_ch" w:type="character">
    <w:name w:val="ConsPlusNormal1"/>
    <w:link w:val="Style_3"/>
    <w:rPr>
      <w:rFonts w:ascii="Arial" w:hAnsi="Arial"/>
      <w:color w:val="000000"/>
      <w:spacing w:val="0"/>
      <w:sz w:val="20"/>
    </w:rPr>
  </w:style>
  <w:style w:styleId="Style_76" w:type="paragraph">
    <w:name w:val="footer"/>
    <w:basedOn w:val="Style_2"/>
    <w:link w:val="Style_76_ch"/>
    <w:pPr>
      <w:tabs>
        <w:tab w:leader="none" w:pos="709" w:val="clear"/>
        <w:tab w:leader="none" w:pos="4677" w:val="center"/>
        <w:tab w:leader="none" w:pos="9355" w:val="right"/>
      </w:tabs>
      <w:spacing w:after="0" w:before="0" w:line="240" w:lineRule="auto"/>
      <w:ind/>
    </w:pPr>
  </w:style>
  <w:style w:styleId="Style_76_ch" w:type="character">
    <w:name w:val="footer"/>
    <w:basedOn w:val="Style_2_ch"/>
    <w:link w:val="Style_76"/>
  </w:style>
  <w:style w:styleId="Style_77" w:type="paragraph">
    <w:name w:val="Heading 21"/>
    <w:link w:val="Style_77_ch"/>
    <w:rPr>
      <w:rFonts w:ascii="XO Thames" w:hAnsi="XO Thames"/>
      <w:b w:val="1"/>
      <w:sz w:val="28"/>
    </w:rPr>
  </w:style>
  <w:style w:styleId="Style_77_ch" w:type="character">
    <w:name w:val="Heading 21"/>
    <w:link w:val="Style_77"/>
    <w:rPr>
      <w:rFonts w:ascii="XO Thames" w:hAnsi="XO Thames"/>
      <w:b w:val="1"/>
      <w:sz w:val="28"/>
    </w:rPr>
  </w:style>
  <w:style w:styleId="Style_78" w:type="paragraph">
    <w:name w:val="ConsPlusCell1"/>
    <w:link w:val="Style_78_ch"/>
    <w:pPr>
      <w:widowControl w:val="0"/>
      <w:spacing w:after="0" w:before="0" w:line="240" w:lineRule="auto"/>
      <w:ind w:firstLine="0" w:left="0" w:right="0"/>
      <w:jc w:val="left"/>
    </w:pPr>
    <w:rPr>
      <w:rFonts w:ascii="Calibri" w:hAnsi="Calibri"/>
      <w:color w:val="000000"/>
      <w:spacing w:val="0"/>
      <w:sz w:val="22"/>
    </w:rPr>
  </w:style>
  <w:style w:styleId="Style_78_ch" w:type="character">
    <w:name w:val="ConsPlusCell1"/>
    <w:link w:val="Style_78"/>
    <w:rPr>
      <w:rFonts w:ascii="Calibri" w:hAnsi="Calibri"/>
      <w:color w:val="000000"/>
      <w:spacing w:val="0"/>
      <w:sz w:val="22"/>
    </w:rPr>
  </w:style>
  <w:style w:styleId="Style_79" w:type="paragraph">
    <w:name w:val="Heading 31"/>
    <w:link w:val="Style_79_ch"/>
    <w:rPr>
      <w:rFonts w:ascii="XO Thames" w:hAnsi="XO Thames"/>
      <w:b w:val="1"/>
      <w:sz w:val="26"/>
    </w:rPr>
  </w:style>
  <w:style w:styleId="Style_79_ch" w:type="character">
    <w:name w:val="Heading 31"/>
    <w:link w:val="Style_79"/>
    <w:rPr>
      <w:rFonts w:ascii="XO Thames" w:hAnsi="XO Thames"/>
      <w:b w:val="1"/>
      <w:sz w:val="26"/>
    </w:rPr>
  </w:style>
  <w:style w:styleId="Style_80" w:type="paragraph">
    <w:name w:val="Contents 8"/>
    <w:link w:val="Style_80_ch"/>
    <w:rPr>
      <w:rFonts w:ascii="XO Thames" w:hAnsi="XO Thames"/>
      <w:sz w:val="28"/>
    </w:rPr>
  </w:style>
  <w:style w:styleId="Style_80_ch" w:type="character">
    <w:name w:val="Contents 8"/>
    <w:link w:val="Style_80"/>
    <w:rPr>
      <w:rFonts w:ascii="XO Thames" w:hAnsi="XO Thames"/>
      <w:sz w:val="28"/>
    </w:rPr>
  </w:style>
  <w:style w:styleId="Style_81" w:type="paragraph">
    <w:name w:val="List Paragraph1"/>
    <w:basedOn w:val="Style_2"/>
    <w:link w:val="Style_81_ch"/>
    <w:pPr>
      <w:spacing w:after="200" w:before="0"/>
      <w:ind w:firstLine="0" w:left="720"/>
      <w:contextualSpacing w:val="1"/>
    </w:pPr>
  </w:style>
  <w:style w:styleId="Style_81_ch" w:type="character">
    <w:name w:val="List Paragraph1"/>
    <w:basedOn w:val="Style_2_ch"/>
    <w:link w:val="Style_81"/>
  </w:style>
  <w:style w:styleId="Style_82" w:type="paragraph">
    <w:name w:val="Содержимое врезки"/>
    <w:basedOn w:val="Style_2"/>
    <w:link w:val="Style_82_ch"/>
  </w:style>
  <w:style w:styleId="Style_82_ch" w:type="character">
    <w:name w:val="Содержимое врезки"/>
    <w:basedOn w:val="Style_2_ch"/>
    <w:link w:val="Style_82"/>
  </w:style>
  <w:style w:styleId="Style_83" w:type="paragraph">
    <w:name w:val="Subtitle"/>
    <w:next w:val="Style_2"/>
    <w:link w:val="Style_83_ch"/>
    <w:uiPriority w:val="11"/>
    <w:qFormat/>
    <w:pPr>
      <w:widowControl w:val="1"/>
      <w:spacing w:after="0" w:before="0" w:line="240" w:lineRule="auto"/>
      <w:ind w:firstLine="0" w:left="0" w:right="0"/>
      <w:jc w:val="both"/>
    </w:pPr>
    <w:rPr>
      <w:rFonts w:ascii="XO Thames" w:hAnsi="XO Thames"/>
      <w:i w:val="1"/>
      <w:color w:val="000000"/>
      <w:spacing w:val="0"/>
      <w:sz w:val="24"/>
    </w:rPr>
  </w:style>
  <w:style w:styleId="Style_83_ch" w:type="character">
    <w:name w:val="Subtitle"/>
    <w:link w:val="Style_83"/>
    <w:rPr>
      <w:rFonts w:ascii="XO Thames" w:hAnsi="XO Thames"/>
      <w:i w:val="1"/>
      <w:color w:val="000000"/>
      <w:spacing w:val="0"/>
      <w:sz w:val="24"/>
    </w:rPr>
  </w:style>
  <w:style w:styleId="Style_84" w:type="paragraph">
    <w:name w:val="Internet link"/>
    <w:link w:val="Style_84_ch"/>
    <w:pPr>
      <w:widowControl w:val="1"/>
      <w:spacing w:after="0" w:before="0" w:line="240" w:lineRule="auto"/>
      <w:ind w:firstLine="0" w:left="0" w:right="0"/>
      <w:jc w:val="left"/>
    </w:pPr>
    <w:rPr>
      <w:rFonts w:ascii="Calibri" w:hAnsi="Calibri"/>
      <w:color w:val="0000FF"/>
      <w:spacing w:val="0"/>
      <w:sz w:val="20"/>
      <w:u w:val="single"/>
    </w:rPr>
  </w:style>
  <w:style w:styleId="Style_84_ch" w:type="character">
    <w:name w:val="Internet link"/>
    <w:link w:val="Style_84"/>
    <w:rPr>
      <w:rFonts w:ascii="Calibri" w:hAnsi="Calibri"/>
      <w:color w:val="0000FF"/>
      <w:spacing w:val="0"/>
      <w:sz w:val="20"/>
      <w:u w:val="single"/>
    </w:rPr>
  </w:style>
  <w:style w:styleId="Style_85" w:type="paragraph">
    <w:name w:val="Title"/>
    <w:next w:val="Style_2"/>
    <w:link w:val="Style_85_ch"/>
    <w:uiPriority w:val="10"/>
    <w:qFormat/>
    <w:pPr>
      <w:widowControl w:val="1"/>
      <w:spacing w:after="567" w:before="567" w:line="240" w:lineRule="auto"/>
      <w:ind w:firstLine="0" w:left="0" w:right="0"/>
      <w:jc w:val="center"/>
    </w:pPr>
    <w:rPr>
      <w:rFonts w:ascii="XO Thames" w:hAnsi="XO Thames"/>
      <w:b w:val="1"/>
      <w:caps w:val="1"/>
      <w:color w:val="000000"/>
      <w:spacing w:val="0"/>
      <w:sz w:val="40"/>
    </w:rPr>
  </w:style>
  <w:style w:styleId="Style_85_ch" w:type="character">
    <w:name w:val="Title"/>
    <w:link w:val="Style_85"/>
    <w:rPr>
      <w:rFonts w:ascii="XO Thames" w:hAnsi="XO Thames"/>
      <w:b w:val="1"/>
      <w:caps w:val="1"/>
      <w:color w:val="000000"/>
      <w:spacing w:val="0"/>
      <w:sz w:val="40"/>
    </w:rPr>
  </w:style>
  <w:style w:styleId="Style_86" w:type="paragraph">
    <w:name w:val="heading 4"/>
    <w:next w:val="Style_2"/>
    <w:link w:val="Style_86_ch"/>
    <w:uiPriority w:val="9"/>
    <w:qFormat/>
    <w:pPr>
      <w:widowControl w:val="1"/>
      <w:spacing w:after="120" w:before="120" w:line="240" w:lineRule="auto"/>
      <w:ind w:firstLine="0" w:left="0" w:right="0"/>
      <w:jc w:val="both"/>
      <w:outlineLvl w:val="3"/>
    </w:pPr>
    <w:rPr>
      <w:rFonts w:ascii="XO Thames" w:hAnsi="XO Thames"/>
      <w:b w:val="1"/>
      <w:color w:val="000000"/>
      <w:spacing w:val="0"/>
      <w:sz w:val="24"/>
    </w:rPr>
  </w:style>
  <w:style w:styleId="Style_86_ch" w:type="character">
    <w:name w:val="heading 4"/>
    <w:link w:val="Style_86"/>
    <w:rPr>
      <w:rFonts w:ascii="XO Thames" w:hAnsi="XO Thames"/>
      <w:b w:val="1"/>
      <w:color w:val="000000"/>
      <w:spacing w:val="0"/>
      <w:sz w:val="24"/>
    </w:rPr>
  </w:style>
  <w:style w:styleId="Style_87" w:type="paragraph">
    <w:name w:val="Contents 3"/>
    <w:link w:val="Style_87_ch"/>
    <w:rPr>
      <w:rFonts w:ascii="XO Thames" w:hAnsi="XO Thames"/>
      <w:sz w:val="28"/>
    </w:rPr>
  </w:style>
  <w:style w:styleId="Style_87_ch" w:type="character">
    <w:name w:val="Contents 3"/>
    <w:link w:val="Style_87"/>
    <w:rPr>
      <w:rFonts w:ascii="XO Thames" w:hAnsi="XO Thames"/>
      <w:sz w:val="28"/>
    </w:rPr>
  </w:style>
  <w:style w:styleId="Style_88" w:type="paragraph">
    <w:name w:val="heading 2"/>
    <w:next w:val="Style_2"/>
    <w:link w:val="Style_88_ch"/>
    <w:uiPriority w:val="9"/>
    <w:qFormat/>
    <w:pPr>
      <w:widowControl w:val="1"/>
      <w:spacing w:after="120" w:before="120" w:line="240" w:lineRule="auto"/>
      <w:ind w:firstLine="0" w:left="0" w:right="0"/>
      <w:jc w:val="both"/>
      <w:outlineLvl w:val="1"/>
    </w:pPr>
    <w:rPr>
      <w:rFonts w:ascii="XO Thames" w:hAnsi="XO Thames"/>
      <w:b w:val="1"/>
      <w:color w:val="000000"/>
      <w:spacing w:val="0"/>
      <w:sz w:val="28"/>
    </w:rPr>
  </w:style>
  <w:style w:styleId="Style_88_ch" w:type="character">
    <w:name w:val="heading 2"/>
    <w:link w:val="Style_88"/>
    <w:rPr>
      <w:rFonts w:ascii="XO Thames" w:hAnsi="XO Thames"/>
      <w:b w:val="1"/>
      <w:color w:val="000000"/>
      <w:spacing w:val="0"/>
      <w:sz w:val="28"/>
    </w:rPr>
  </w:style>
  <w:style w:styleId="Style_89" w:type="table">
    <w:name w:val="Table Grid"/>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0">
          <a:prstDash val="solid"/>
        </a:ln>
        <a:ln w="0">
          <a:prstDash val="solid"/>
        </a:ln>
        <a:ln w="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2026-04-09T11:36:53Z</dcterms:modified>
</cp:coreProperties>
</file>