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38251B">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38251B">
        <w:rPr>
          <w:b/>
          <w:bCs/>
          <w:sz w:val="18"/>
          <w:szCs w:val="18"/>
        </w:rPr>
        <w:t>товаров хозяйственного назначения (часы настенные, блендер)</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Pr="00643C40"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FE6622">
        <w:rPr>
          <w:b/>
          <w:bCs/>
          <w:sz w:val="18"/>
          <w:szCs w:val="18"/>
        </w:rPr>
        <w:t>товаров хозяйственного назначения (часы настенные, блендер)</w:t>
      </w:r>
      <w:r w:rsidR="00FE6622"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FE6622">
        <w:rPr>
          <w:sz w:val="18"/>
          <w:szCs w:val="18"/>
        </w:rPr>
        <w:t>15</w:t>
      </w:r>
      <w:r w:rsidR="005B4405" w:rsidRPr="00DF7F33">
        <w:rPr>
          <w:sz w:val="18"/>
          <w:szCs w:val="18"/>
        </w:rPr>
        <w:t xml:space="preserve">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 xml:space="preserve">В случае, если товар соответствует требованиям и </w:t>
      </w:r>
      <w:r w:rsidRPr="00113FFE">
        <w:rPr>
          <w:sz w:val="18"/>
          <w:szCs w:val="18"/>
        </w:rPr>
        <w:lastRenderedPageBreak/>
        <w:t>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Pr="00643C40"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FE6622" w:rsidRDefault="00294770" w:rsidP="002E2589">
      <w:pPr>
        <w:pStyle w:val="affff5"/>
        <w:numPr>
          <w:ilvl w:val="1"/>
          <w:numId w:val="40"/>
        </w:numPr>
        <w:jc w:val="both"/>
        <w:rPr>
          <w:sz w:val="18"/>
          <w:szCs w:val="18"/>
        </w:rPr>
      </w:pPr>
      <w:r w:rsidRPr="00FE6622">
        <w:rPr>
          <w:sz w:val="18"/>
          <w:szCs w:val="18"/>
        </w:rPr>
        <w:t>Цена договора _________</w:t>
      </w:r>
      <w:r w:rsidR="002E2589" w:rsidRPr="00FE6622">
        <w:rPr>
          <w:sz w:val="18"/>
          <w:szCs w:val="18"/>
        </w:rPr>
        <w:t>______________ рублей __ копеек, включая НДС</w:t>
      </w:r>
      <w:r w:rsidR="006A6FDA" w:rsidRPr="00FE6622">
        <w:rPr>
          <w:sz w:val="18"/>
          <w:szCs w:val="18"/>
        </w:rPr>
        <w:t>__</w:t>
      </w:r>
      <w:r w:rsidR="00E3295A" w:rsidRPr="00FE6622">
        <w:rPr>
          <w:sz w:val="18"/>
          <w:szCs w:val="18"/>
        </w:rPr>
        <w:t>_</w:t>
      </w:r>
      <w:r w:rsidR="006A6FDA" w:rsidRPr="00FE6622">
        <w:rPr>
          <w:sz w:val="18"/>
          <w:szCs w:val="18"/>
        </w:rPr>
        <w:t>%</w:t>
      </w:r>
      <w:r w:rsidR="00E3295A" w:rsidRPr="00FE6622">
        <w:rPr>
          <w:sz w:val="18"/>
          <w:szCs w:val="18"/>
        </w:rPr>
        <w:t xml:space="preserve"> </w:t>
      </w:r>
      <w:r w:rsidR="002E2589" w:rsidRPr="00FE6622">
        <w:rPr>
          <w:sz w:val="18"/>
          <w:szCs w:val="18"/>
        </w:rPr>
        <w:t>/</w:t>
      </w:r>
      <w:r w:rsidR="00E3295A" w:rsidRPr="00FE6622">
        <w:rPr>
          <w:sz w:val="18"/>
          <w:szCs w:val="18"/>
        </w:rPr>
        <w:t xml:space="preserve"> </w:t>
      </w:r>
      <w:r w:rsidR="002E2589" w:rsidRPr="00FE6622">
        <w:rPr>
          <w:sz w:val="18"/>
          <w:szCs w:val="18"/>
        </w:rPr>
        <w:t>НДС не облагается (указывается в зависимости от налогообложения).</w:t>
      </w:r>
      <w:r w:rsidR="00480AE8" w:rsidRPr="00FE6622">
        <w:rPr>
          <w:sz w:val="18"/>
          <w:szCs w:val="18"/>
        </w:rPr>
        <w:t xml:space="preserve"> </w:t>
      </w:r>
      <w:r w:rsidR="00085189" w:rsidRPr="00FE6622">
        <w:rPr>
          <w:sz w:val="18"/>
          <w:szCs w:val="18"/>
        </w:rPr>
        <w:t>Цена договора является твердой и определяется на весь срок исполнения договора.</w:t>
      </w:r>
    </w:p>
    <w:p w:rsidR="00294770" w:rsidRPr="00FE6622" w:rsidRDefault="00294770" w:rsidP="00997EF0">
      <w:pPr>
        <w:pStyle w:val="affff5"/>
        <w:numPr>
          <w:ilvl w:val="1"/>
          <w:numId w:val="40"/>
        </w:numPr>
        <w:ind w:left="426" w:hanging="426"/>
        <w:jc w:val="both"/>
        <w:rPr>
          <w:sz w:val="18"/>
          <w:szCs w:val="18"/>
        </w:rPr>
      </w:pPr>
      <w:r w:rsidRPr="00FE6622">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FE6622" w:rsidRDefault="001A0C24" w:rsidP="001A0C24">
      <w:pPr>
        <w:pStyle w:val="affff5"/>
        <w:numPr>
          <w:ilvl w:val="1"/>
          <w:numId w:val="40"/>
        </w:numPr>
        <w:ind w:left="426" w:hanging="426"/>
        <w:jc w:val="both"/>
        <w:rPr>
          <w:sz w:val="18"/>
          <w:szCs w:val="18"/>
        </w:rPr>
      </w:pPr>
      <w:r w:rsidRPr="00FE6622">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FE6622" w:rsidRDefault="001A0C24" w:rsidP="001A0C24">
      <w:pPr>
        <w:pStyle w:val="affff5"/>
        <w:ind w:left="426"/>
        <w:jc w:val="both"/>
        <w:rPr>
          <w:sz w:val="18"/>
          <w:szCs w:val="18"/>
        </w:rPr>
      </w:pPr>
      <w:r w:rsidRPr="00FE6622">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FE6622" w:rsidRDefault="001A0C24" w:rsidP="001A0C24">
      <w:pPr>
        <w:pStyle w:val="affff5"/>
        <w:ind w:left="426"/>
        <w:jc w:val="both"/>
        <w:rPr>
          <w:sz w:val="18"/>
          <w:szCs w:val="18"/>
        </w:rPr>
      </w:pPr>
      <w:r w:rsidRPr="00FE6622">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FE6622" w:rsidRDefault="00E86739" w:rsidP="00E86739">
      <w:pPr>
        <w:pStyle w:val="affff5"/>
        <w:numPr>
          <w:ilvl w:val="1"/>
          <w:numId w:val="40"/>
        </w:numPr>
        <w:jc w:val="both"/>
        <w:rPr>
          <w:sz w:val="18"/>
          <w:szCs w:val="18"/>
        </w:rPr>
      </w:pPr>
      <w:r w:rsidRPr="00FE6622">
        <w:rPr>
          <w:sz w:val="18"/>
          <w:szCs w:val="18"/>
        </w:rPr>
        <w:t xml:space="preserve">Источник финансирования – </w:t>
      </w:r>
      <w:r w:rsidR="000577AA" w:rsidRPr="00FE6622">
        <w:rPr>
          <w:sz w:val="18"/>
          <w:szCs w:val="18"/>
        </w:rPr>
        <w:t>средства бюджетных учреждений</w:t>
      </w:r>
      <w:r w:rsidRPr="00FE6622">
        <w:rPr>
          <w:sz w:val="18"/>
          <w:szCs w:val="18"/>
        </w:rPr>
        <w:t>.</w:t>
      </w:r>
    </w:p>
    <w:p w:rsidR="00141F68" w:rsidRDefault="00141F68" w:rsidP="00E86739">
      <w:pPr>
        <w:pStyle w:val="affff5"/>
        <w:numPr>
          <w:ilvl w:val="1"/>
          <w:numId w:val="40"/>
        </w:numPr>
        <w:jc w:val="both"/>
        <w:rPr>
          <w:sz w:val="18"/>
          <w:szCs w:val="18"/>
        </w:rPr>
      </w:pPr>
      <w:r w:rsidRPr="00FE6622">
        <w:rPr>
          <w:sz w:val="18"/>
          <w:szCs w:val="18"/>
        </w:rPr>
        <w:t>В случае, если оплата товаров, работ, услуг по настоящему</w:t>
      </w:r>
      <w:r w:rsidRPr="00643C40">
        <w:rPr>
          <w:sz w:val="18"/>
          <w:szCs w:val="18"/>
        </w:rPr>
        <w:t xml:space="preserve"> договору осуществляется за счет субсидий, указанных в </w:t>
      </w:r>
      <w:hyperlink r:id="rId8" w:anchor="dst103134" w:tgtFrame="_blank" w:history="1">
        <w:r w:rsidRPr="00643C40">
          <w:rPr>
            <w:rStyle w:val="af4"/>
            <w:color w:val="auto"/>
            <w:sz w:val="18"/>
            <w:szCs w:val="18"/>
          </w:rPr>
          <w:t>пункте 1</w:t>
        </w:r>
      </w:hyperlink>
      <w:r w:rsidRPr="00643C40">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FE6622" w:rsidRPr="00643C40" w:rsidRDefault="00FE6622" w:rsidP="00FE6622">
      <w:pPr>
        <w:pStyle w:val="affff5"/>
        <w:ind w:left="360"/>
        <w:jc w:val="both"/>
        <w:rPr>
          <w:sz w:val="18"/>
          <w:szCs w:val="18"/>
        </w:rPr>
      </w:pPr>
    </w:p>
    <w:p w:rsidR="00997EF0" w:rsidRPr="00643C40" w:rsidRDefault="00997EF0" w:rsidP="00FE6622">
      <w:pPr>
        <w:pStyle w:val="affff5"/>
        <w:numPr>
          <w:ilvl w:val="0"/>
          <w:numId w:val="40"/>
        </w:numPr>
        <w:jc w:val="center"/>
        <w:rPr>
          <w:b/>
          <w:sz w:val="18"/>
          <w:szCs w:val="18"/>
        </w:rPr>
      </w:pPr>
      <w:r w:rsidRPr="00643C40">
        <w:rPr>
          <w:b/>
          <w:sz w:val="18"/>
          <w:szCs w:val="18"/>
        </w:rPr>
        <w:t>Гарантии</w:t>
      </w:r>
    </w:p>
    <w:p w:rsidR="00F67777" w:rsidRPr="00FE6622" w:rsidRDefault="00FE6622" w:rsidP="00FE6622">
      <w:pPr>
        <w:pStyle w:val="affff5"/>
        <w:numPr>
          <w:ilvl w:val="1"/>
          <w:numId w:val="40"/>
        </w:numPr>
        <w:jc w:val="both"/>
        <w:rPr>
          <w:b/>
          <w:sz w:val="18"/>
          <w:szCs w:val="18"/>
        </w:rPr>
      </w:pPr>
      <w:r w:rsidRPr="00500A7E">
        <w:rPr>
          <w:b/>
          <w:sz w:val="18"/>
          <w:szCs w:val="18"/>
        </w:rPr>
        <w:t>Срок гарантии на товар: 12 (двенадцать) месяцев.</w:t>
      </w:r>
    </w:p>
    <w:p w:rsidR="00997EF0" w:rsidRPr="00643C40" w:rsidRDefault="00997EF0" w:rsidP="00FE6622">
      <w:pPr>
        <w:pStyle w:val="affff5"/>
        <w:numPr>
          <w:ilvl w:val="1"/>
          <w:numId w:val="40"/>
        </w:numPr>
        <w:jc w:val="both"/>
        <w:rPr>
          <w:sz w:val="18"/>
          <w:szCs w:val="18"/>
        </w:rPr>
      </w:pPr>
      <w:r w:rsidRPr="00643C40">
        <w:rPr>
          <w:sz w:val="18"/>
          <w:szCs w:val="18"/>
        </w:rPr>
        <w:t>В случае, если на Товар предусмотрен гарантийный срок, то Поставщик гарантирует качество Товара в течение такого срока. Гарантийный срок Товара распространяется и на все составляющие его части (комплектующие изделия) и считается равным гарантийному сроку на основное изделие и начинает истекать одновременно с гарантийным сроком на основное изделие.</w:t>
      </w:r>
    </w:p>
    <w:p w:rsidR="00997EF0" w:rsidRPr="00643C40" w:rsidRDefault="00997EF0" w:rsidP="00FE6622">
      <w:pPr>
        <w:pStyle w:val="affff5"/>
        <w:numPr>
          <w:ilvl w:val="1"/>
          <w:numId w:val="40"/>
        </w:numPr>
        <w:jc w:val="both"/>
        <w:rPr>
          <w:sz w:val="18"/>
          <w:szCs w:val="18"/>
        </w:rPr>
      </w:pPr>
      <w:r w:rsidRPr="00643C40">
        <w:rPr>
          <w:sz w:val="18"/>
          <w:szCs w:val="18"/>
        </w:rPr>
        <w:t xml:space="preserve">Срок гарантии начинает истекать со дня, следующего за днем, когда Товар считается принятым Заказчиком в установленном настоящим договором порядке. </w:t>
      </w:r>
    </w:p>
    <w:p w:rsidR="00997EF0" w:rsidRPr="00643C40" w:rsidRDefault="00997EF0" w:rsidP="00FE6622">
      <w:pPr>
        <w:pStyle w:val="affff5"/>
        <w:numPr>
          <w:ilvl w:val="1"/>
          <w:numId w:val="40"/>
        </w:numPr>
        <w:jc w:val="both"/>
        <w:rPr>
          <w:sz w:val="18"/>
          <w:szCs w:val="18"/>
        </w:rPr>
      </w:pPr>
      <w:r w:rsidRPr="00643C40">
        <w:rPr>
          <w:sz w:val="18"/>
          <w:szCs w:val="18"/>
        </w:rPr>
        <w:t xml:space="preserve">В случае обнаружения недостатков или дефектов Товара, Заказчик представляет Поставщику Товар для устранения дефектов или недостатков, на который установлен гарантийный срок в оригинальной (упакованной производителем) упаковке только в том случае, если требование об этом прямо установлено в сопроводительной документации производителя на Товар. Поставщик не вправе отказаться от приемки такого Товара по причине предоставления Заказчиком Товара в неоригинальной упаковке. </w:t>
      </w:r>
    </w:p>
    <w:p w:rsidR="00997EF0" w:rsidRPr="00643C40" w:rsidRDefault="00997EF0" w:rsidP="00FE6622">
      <w:pPr>
        <w:pStyle w:val="affff5"/>
        <w:numPr>
          <w:ilvl w:val="1"/>
          <w:numId w:val="40"/>
        </w:numPr>
        <w:jc w:val="both"/>
        <w:rPr>
          <w:sz w:val="18"/>
          <w:szCs w:val="18"/>
        </w:rPr>
      </w:pPr>
      <w:r w:rsidRPr="00643C40">
        <w:rPr>
          <w:sz w:val="18"/>
          <w:szCs w:val="18"/>
        </w:rPr>
        <w:t>Заказчик уведомляет Поставщика об обнаружении недостатков или дефектов Товара в течение десяти рабочих дней с момента их обнаружения.</w:t>
      </w:r>
    </w:p>
    <w:p w:rsidR="00997EF0" w:rsidRPr="00643C40" w:rsidRDefault="00997EF0" w:rsidP="00FE6622">
      <w:pPr>
        <w:pStyle w:val="affff5"/>
        <w:numPr>
          <w:ilvl w:val="1"/>
          <w:numId w:val="40"/>
        </w:numPr>
        <w:jc w:val="both"/>
        <w:rPr>
          <w:sz w:val="18"/>
          <w:szCs w:val="18"/>
        </w:rPr>
      </w:pPr>
      <w:r w:rsidRPr="00643C40">
        <w:rPr>
          <w:sz w:val="18"/>
          <w:szCs w:val="18"/>
        </w:rPr>
        <w:t>Гарантийный срок приостанавливается с момента получения Поставщиком уведомления от Заказчика об обнаружении недостатков или дефектов.</w:t>
      </w:r>
    </w:p>
    <w:p w:rsidR="00997EF0" w:rsidRPr="00643C40" w:rsidRDefault="00997EF0" w:rsidP="00FE6622">
      <w:pPr>
        <w:pStyle w:val="affff5"/>
        <w:numPr>
          <w:ilvl w:val="1"/>
          <w:numId w:val="40"/>
        </w:numPr>
        <w:jc w:val="both"/>
        <w:rPr>
          <w:sz w:val="18"/>
          <w:szCs w:val="18"/>
        </w:rPr>
      </w:pPr>
      <w:r w:rsidRPr="00643C40">
        <w:rPr>
          <w:sz w:val="18"/>
          <w:szCs w:val="18"/>
        </w:rPr>
        <w:t>При устранении недостатков или дефектов, возникших не по вине Заказчика, гарантийный срок продлевается на время, в течение которого товар не мог использоваться из-за обнаруженных в нем недостатков.</w:t>
      </w:r>
    </w:p>
    <w:p w:rsidR="00997EF0" w:rsidRPr="00643C40" w:rsidRDefault="00997EF0" w:rsidP="00FE6622">
      <w:pPr>
        <w:pStyle w:val="affff5"/>
        <w:numPr>
          <w:ilvl w:val="1"/>
          <w:numId w:val="40"/>
        </w:numPr>
        <w:jc w:val="both"/>
        <w:rPr>
          <w:sz w:val="18"/>
          <w:szCs w:val="18"/>
        </w:rPr>
      </w:pPr>
      <w:r w:rsidRPr="00643C40">
        <w:rPr>
          <w:sz w:val="18"/>
          <w:szCs w:val="18"/>
        </w:rPr>
        <w:t xml:space="preserve">Если устранение недостатков и дефектов невозможно в месте нахождения Заказчика, Поставщик обязуется своими силами и за свой счет произвести доставку Товара до места обслуживания и(или) ремонта. </w:t>
      </w:r>
    </w:p>
    <w:p w:rsidR="00997EF0" w:rsidRPr="00643C40" w:rsidRDefault="00997EF0" w:rsidP="00FE6622">
      <w:pPr>
        <w:pStyle w:val="affff5"/>
        <w:numPr>
          <w:ilvl w:val="1"/>
          <w:numId w:val="40"/>
        </w:numPr>
        <w:jc w:val="both"/>
        <w:rPr>
          <w:sz w:val="18"/>
          <w:szCs w:val="18"/>
        </w:rPr>
      </w:pPr>
      <w:r w:rsidRPr="00643C40">
        <w:rPr>
          <w:sz w:val="18"/>
          <w:szCs w:val="18"/>
        </w:rPr>
        <w:lastRenderedPageBreak/>
        <w:t>Расходы Поставщика, связанные с гарантийным обслуживанием или ремонтом, в том числе расходы по прибытию Поставщика и доставке Товара в место нахождения Заказчика несет Поставщик.</w:t>
      </w:r>
    </w:p>
    <w:p w:rsidR="00997EF0" w:rsidRPr="00643C40" w:rsidRDefault="00997EF0" w:rsidP="00FE6622">
      <w:pPr>
        <w:pStyle w:val="affff5"/>
        <w:numPr>
          <w:ilvl w:val="1"/>
          <w:numId w:val="40"/>
        </w:numPr>
        <w:jc w:val="both"/>
        <w:rPr>
          <w:sz w:val="18"/>
          <w:szCs w:val="18"/>
        </w:rPr>
      </w:pPr>
      <w:r w:rsidRPr="00643C40">
        <w:rPr>
          <w:sz w:val="18"/>
          <w:szCs w:val="18"/>
        </w:rPr>
        <w:t xml:space="preserve">В случае, если Поставщик, в течение пятнадцати рабочих дней с момента получения уведомления Заказчика об обнаружении недостатков или дефектов Товара не осуществляет обязательства по устранению недостатков или дефектов, а равно уклоняется от них, Заказчик вправе обратиться к третьему лицу для устранения таких недостатков или дефектов, с последующим возложением связанных с этим расходов на Поставщика. В таком случае Поставщик считается </w:t>
      </w:r>
      <w:proofErr w:type="spellStart"/>
      <w:r w:rsidRPr="00643C40">
        <w:rPr>
          <w:sz w:val="18"/>
          <w:szCs w:val="18"/>
        </w:rPr>
        <w:t>неисполнившим</w:t>
      </w:r>
      <w:proofErr w:type="spellEnd"/>
      <w:r w:rsidRPr="00643C40">
        <w:rPr>
          <w:sz w:val="18"/>
          <w:szCs w:val="18"/>
        </w:rPr>
        <w:t xml:space="preserve"> свои гарантийные обязательства и не вправе ссылаться на несостоятельность (необоснованность) заключения, результата проверки и (или) устранения недостатков Товара третьим лицом, а равно на неправоспособность третьего лица устранять такие недостатки. В данном случае гарантийный срок продлевается на общих основаниях, установленных настоящим договором и не снимает в последующем гарантийных обязательств Поставщика перед Заказчиком. Правило, установленное настоящим пунктом, применяется независимо от условий, установленных производителем в документации на Товар.</w:t>
      </w:r>
    </w:p>
    <w:p w:rsidR="00997EF0" w:rsidRPr="00643C40" w:rsidRDefault="00997EF0" w:rsidP="00FE6622">
      <w:pPr>
        <w:pStyle w:val="affff5"/>
        <w:numPr>
          <w:ilvl w:val="1"/>
          <w:numId w:val="40"/>
        </w:numPr>
        <w:jc w:val="both"/>
        <w:rPr>
          <w:sz w:val="18"/>
          <w:szCs w:val="18"/>
        </w:rPr>
      </w:pPr>
      <w:r w:rsidRPr="00643C40">
        <w:rPr>
          <w:sz w:val="18"/>
          <w:szCs w:val="18"/>
        </w:rPr>
        <w:t>В случае, если недостатки или дефекты Товара в период гарантийного срока возникли по вине Заказчика, Стороны руководствуются действующим законодательством</w:t>
      </w:r>
      <w:r w:rsidR="007066C4" w:rsidRPr="00643C40">
        <w:rPr>
          <w:sz w:val="18"/>
          <w:szCs w:val="18"/>
        </w:rPr>
        <w:t>.</w:t>
      </w: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lastRenderedPageBreak/>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276E06" w:rsidRDefault="00276E06"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w:t>
      </w:r>
      <w:proofErr w:type="gramStart"/>
      <w:r w:rsidRPr="00643C40">
        <w:rPr>
          <w:sz w:val="18"/>
          <w:szCs w:val="18"/>
        </w:rPr>
        <w:t>_»_</w:t>
      </w:r>
      <w:proofErr w:type="gramEnd"/>
      <w:r w:rsidRPr="00643C40">
        <w:rPr>
          <w:sz w:val="18"/>
          <w:szCs w:val="18"/>
        </w:rPr>
        <w:t>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38251B" w:rsidRDefault="0038251B" w:rsidP="0038251B">
            <w:pPr>
              <w:pStyle w:val="affff5"/>
              <w:rPr>
                <w:sz w:val="18"/>
                <w:szCs w:val="18"/>
              </w:rPr>
            </w:pPr>
            <w:r w:rsidRPr="00C45037">
              <w:rPr>
                <w:b/>
                <w:sz w:val="18"/>
                <w:szCs w:val="18"/>
              </w:rPr>
              <w:t>Блендер погружной</w:t>
            </w:r>
            <w:r>
              <w:rPr>
                <w:sz w:val="18"/>
                <w:szCs w:val="18"/>
              </w:rPr>
              <w:t>.</w:t>
            </w:r>
          </w:p>
          <w:p w:rsidR="0038251B" w:rsidRPr="00C45037" w:rsidRDefault="0038251B" w:rsidP="0038251B">
            <w:pPr>
              <w:pStyle w:val="affff5"/>
              <w:rPr>
                <w:sz w:val="18"/>
                <w:szCs w:val="18"/>
              </w:rPr>
            </w:pPr>
            <w:r>
              <w:rPr>
                <w:sz w:val="18"/>
                <w:szCs w:val="18"/>
              </w:rPr>
              <w:t>П</w:t>
            </w:r>
            <w:r w:rsidRPr="00C45037">
              <w:rPr>
                <w:sz w:val="18"/>
                <w:szCs w:val="18"/>
              </w:rPr>
              <w:t xml:space="preserve">редназначен для взбивания, измельчения и смешивания ингредиентов. </w:t>
            </w:r>
          </w:p>
          <w:p w:rsidR="0038251B" w:rsidRPr="00C45037" w:rsidRDefault="0038251B" w:rsidP="0038251B">
            <w:pPr>
              <w:pStyle w:val="affff5"/>
              <w:rPr>
                <w:sz w:val="18"/>
                <w:szCs w:val="18"/>
              </w:rPr>
            </w:pPr>
            <w:r w:rsidRPr="00C45037">
              <w:rPr>
                <w:sz w:val="18"/>
                <w:szCs w:val="18"/>
              </w:rPr>
              <w:t>Насадки выполнены из нержавеющей стали, сохраняют свою остроту долгое время, не деформируются, устойчивы к коррозии и воздействию солей даже при длительном использовании.</w:t>
            </w:r>
          </w:p>
          <w:p w:rsidR="0038251B" w:rsidRPr="00C45037" w:rsidRDefault="0038251B" w:rsidP="0038251B">
            <w:pPr>
              <w:pStyle w:val="affff5"/>
              <w:rPr>
                <w:sz w:val="18"/>
                <w:szCs w:val="18"/>
              </w:rPr>
            </w:pPr>
            <w:r w:rsidRPr="00C45037">
              <w:rPr>
                <w:sz w:val="18"/>
                <w:szCs w:val="18"/>
              </w:rPr>
              <w:t>Тип: погружной блендер</w:t>
            </w:r>
          </w:p>
          <w:p w:rsidR="0038251B" w:rsidRPr="00C45037" w:rsidRDefault="0038251B" w:rsidP="0038251B">
            <w:pPr>
              <w:pStyle w:val="affff5"/>
              <w:rPr>
                <w:sz w:val="18"/>
                <w:szCs w:val="18"/>
              </w:rPr>
            </w:pPr>
            <w:r w:rsidRPr="00C45037">
              <w:rPr>
                <w:sz w:val="18"/>
                <w:szCs w:val="18"/>
              </w:rPr>
              <w:t>Управление: кнопочное</w:t>
            </w:r>
          </w:p>
          <w:p w:rsidR="0038251B" w:rsidRPr="00C45037" w:rsidRDefault="0038251B" w:rsidP="0038251B">
            <w:pPr>
              <w:pStyle w:val="affff5"/>
              <w:rPr>
                <w:sz w:val="18"/>
                <w:szCs w:val="18"/>
              </w:rPr>
            </w:pPr>
            <w:r w:rsidRPr="00C45037">
              <w:rPr>
                <w:sz w:val="18"/>
                <w:szCs w:val="18"/>
              </w:rPr>
              <w:t>Минимальная мощность: 1200 Вт</w:t>
            </w:r>
          </w:p>
          <w:p w:rsidR="0038251B" w:rsidRPr="00C45037" w:rsidRDefault="0038251B" w:rsidP="0038251B">
            <w:pPr>
              <w:pStyle w:val="affff5"/>
              <w:rPr>
                <w:sz w:val="18"/>
                <w:szCs w:val="18"/>
              </w:rPr>
            </w:pPr>
            <w:r w:rsidRPr="00C45037">
              <w:rPr>
                <w:sz w:val="18"/>
                <w:szCs w:val="18"/>
              </w:rPr>
              <w:t>Питание от сети 220 В</w:t>
            </w:r>
          </w:p>
          <w:p w:rsidR="0038251B" w:rsidRPr="00C45037" w:rsidRDefault="0038251B" w:rsidP="0038251B">
            <w:pPr>
              <w:pStyle w:val="affff5"/>
              <w:rPr>
                <w:sz w:val="18"/>
                <w:szCs w:val="18"/>
              </w:rPr>
            </w:pPr>
            <w:r w:rsidRPr="00C45037">
              <w:rPr>
                <w:sz w:val="18"/>
                <w:szCs w:val="18"/>
              </w:rPr>
              <w:t>Наличие чаши с минимальным объемом: 0.86 л</w:t>
            </w:r>
          </w:p>
          <w:p w:rsidR="0038251B" w:rsidRPr="00C45037" w:rsidRDefault="0038251B" w:rsidP="0038251B">
            <w:pPr>
              <w:pStyle w:val="affff5"/>
              <w:rPr>
                <w:sz w:val="18"/>
                <w:szCs w:val="18"/>
              </w:rPr>
            </w:pPr>
            <w:r w:rsidRPr="00C45037">
              <w:rPr>
                <w:sz w:val="18"/>
                <w:szCs w:val="18"/>
              </w:rPr>
              <w:t>Минимальное количество насадок: 3</w:t>
            </w:r>
          </w:p>
          <w:p w:rsidR="0038251B" w:rsidRPr="00C45037" w:rsidRDefault="0038251B" w:rsidP="0038251B">
            <w:pPr>
              <w:pStyle w:val="affff5"/>
              <w:rPr>
                <w:sz w:val="18"/>
                <w:szCs w:val="18"/>
              </w:rPr>
            </w:pPr>
            <w:r w:rsidRPr="00C45037">
              <w:rPr>
                <w:sz w:val="18"/>
                <w:szCs w:val="18"/>
              </w:rPr>
              <w:t>Материал корпуса: нержавеющая сталь, пластик</w:t>
            </w:r>
          </w:p>
          <w:p w:rsidR="0038251B" w:rsidRPr="00C45037" w:rsidRDefault="0038251B" w:rsidP="0038251B">
            <w:pPr>
              <w:pStyle w:val="affff5"/>
              <w:rPr>
                <w:sz w:val="18"/>
                <w:szCs w:val="18"/>
              </w:rPr>
            </w:pPr>
            <w:r w:rsidRPr="00C45037">
              <w:rPr>
                <w:sz w:val="18"/>
                <w:szCs w:val="18"/>
              </w:rPr>
              <w:t>Материал погружной части насадок: нержавеющая сталь</w:t>
            </w:r>
          </w:p>
          <w:p w:rsidR="0072584F" w:rsidRPr="00643C40" w:rsidRDefault="0038251B" w:rsidP="0038251B">
            <w:pPr>
              <w:pStyle w:val="affff5"/>
              <w:jc w:val="both"/>
              <w:rPr>
                <w:rFonts w:cs="Times New Roman"/>
                <w:sz w:val="18"/>
                <w:szCs w:val="18"/>
              </w:rPr>
            </w:pPr>
            <w:r w:rsidRPr="00C45037">
              <w:rPr>
                <w:sz w:val="18"/>
                <w:szCs w:val="18"/>
              </w:rPr>
              <w:t>Минимальная длина сетевого шнура: 1 м</w:t>
            </w:r>
          </w:p>
        </w:tc>
        <w:tc>
          <w:tcPr>
            <w:tcW w:w="677" w:type="dxa"/>
          </w:tcPr>
          <w:p w:rsidR="0072584F" w:rsidRPr="00643C40" w:rsidRDefault="0038251B" w:rsidP="007200C4">
            <w:pPr>
              <w:pStyle w:val="affff5"/>
              <w:jc w:val="center"/>
              <w:rPr>
                <w:rFonts w:cs="Times New Roman"/>
                <w:sz w:val="18"/>
                <w:szCs w:val="18"/>
              </w:rPr>
            </w:pPr>
            <w:proofErr w:type="spellStart"/>
            <w:r>
              <w:rPr>
                <w:rFonts w:cs="Times New Roman"/>
                <w:sz w:val="18"/>
                <w:szCs w:val="18"/>
              </w:rPr>
              <w:t>шт</w:t>
            </w:r>
            <w:proofErr w:type="spellEnd"/>
          </w:p>
        </w:tc>
        <w:tc>
          <w:tcPr>
            <w:tcW w:w="1020" w:type="dxa"/>
          </w:tcPr>
          <w:p w:rsidR="0072584F" w:rsidRPr="00643C40" w:rsidRDefault="0038251B" w:rsidP="007200C4">
            <w:pPr>
              <w:pStyle w:val="affff5"/>
              <w:jc w:val="center"/>
              <w:rPr>
                <w:rFonts w:cs="Times New Roman"/>
                <w:sz w:val="18"/>
                <w:szCs w:val="18"/>
              </w:rPr>
            </w:pPr>
            <w:r>
              <w:rPr>
                <w:rFonts w:cs="Times New Roman"/>
                <w:sz w:val="18"/>
                <w:szCs w:val="18"/>
              </w:rPr>
              <w:t>1</w:t>
            </w:r>
          </w:p>
        </w:tc>
        <w:tc>
          <w:tcPr>
            <w:tcW w:w="1274" w:type="dxa"/>
          </w:tcPr>
          <w:p w:rsidR="0072584F" w:rsidRPr="00643C40" w:rsidRDefault="0072584F" w:rsidP="007200C4">
            <w:pPr>
              <w:pStyle w:val="affff5"/>
              <w:jc w:val="center"/>
              <w:rPr>
                <w:sz w:val="18"/>
                <w:szCs w:val="18"/>
              </w:rPr>
            </w:pPr>
            <w:bookmarkStart w:id="0" w:name="_GoBack"/>
            <w:bookmarkEnd w:id="0"/>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38251B" w:rsidRPr="00643C40" w:rsidTr="0072584F">
        <w:tc>
          <w:tcPr>
            <w:tcW w:w="521" w:type="dxa"/>
          </w:tcPr>
          <w:p w:rsidR="0038251B" w:rsidRPr="00643C40" w:rsidRDefault="0038251B" w:rsidP="007200C4">
            <w:pPr>
              <w:pStyle w:val="affff5"/>
              <w:numPr>
                <w:ilvl w:val="0"/>
                <w:numId w:val="44"/>
              </w:numPr>
              <w:ind w:left="0" w:firstLine="0"/>
              <w:jc w:val="center"/>
              <w:rPr>
                <w:sz w:val="18"/>
                <w:szCs w:val="18"/>
              </w:rPr>
            </w:pPr>
          </w:p>
        </w:tc>
        <w:tc>
          <w:tcPr>
            <w:tcW w:w="4652" w:type="dxa"/>
          </w:tcPr>
          <w:p w:rsidR="00FE6622" w:rsidRDefault="00FE6622" w:rsidP="005D485B">
            <w:pPr>
              <w:pStyle w:val="affff5"/>
              <w:jc w:val="both"/>
              <w:rPr>
                <w:sz w:val="18"/>
                <w:szCs w:val="18"/>
              </w:rPr>
            </w:pPr>
            <w:r w:rsidRPr="005D485B">
              <w:rPr>
                <w:b/>
                <w:sz w:val="18"/>
                <w:szCs w:val="18"/>
              </w:rPr>
              <w:t>Часы настенные.</w:t>
            </w:r>
          </w:p>
          <w:p w:rsidR="00FE6622" w:rsidRDefault="00FE6622" w:rsidP="00FE6622">
            <w:pPr>
              <w:pStyle w:val="affff5"/>
              <w:rPr>
                <w:sz w:val="18"/>
                <w:szCs w:val="18"/>
              </w:rPr>
            </w:pPr>
            <w:r>
              <w:rPr>
                <w:sz w:val="18"/>
                <w:szCs w:val="18"/>
              </w:rPr>
              <w:t>Настенные часы, круглой формы, классический дизайн.</w:t>
            </w:r>
            <w:r w:rsidR="007B76BC">
              <w:rPr>
                <w:sz w:val="18"/>
                <w:szCs w:val="18"/>
              </w:rPr>
              <w:t xml:space="preserve"> </w:t>
            </w:r>
            <w:r w:rsidRPr="00FE6622">
              <w:rPr>
                <w:sz w:val="18"/>
                <w:szCs w:val="18"/>
              </w:rPr>
              <w:t xml:space="preserve">Циферблат защищен от повреждений прочным пластиковым стеклом. </w:t>
            </w:r>
          </w:p>
          <w:p w:rsidR="00FE6622" w:rsidRPr="00FE6622" w:rsidRDefault="00FE6622" w:rsidP="00FE6622">
            <w:pPr>
              <w:pStyle w:val="affff5"/>
              <w:rPr>
                <w:sz w:val="18"/>
                <w:szCs w:val="18"/>
              </w:rPr>
            </w:pPr>
            <w:r>
              <w:rPr>
                <w:sz w:val="18"/>
                <w:szCs w:val="18"/>
              </w:rPr>
              <w:t>Плавный ход стрелки.</w:t>
            </w:r>
          </w:p>
          <w:p w:rsidR="00FE6622" w:rsidRPr="00FE6622" w:rsidRDefault="00FE6622" w:rsidP="00FE6622">
            <w:pPr>
              <w:pStyle w:val="affff5"/>
              <w:rPr>
                <w:sz w:val="18"/>
                <w:szCs w:val="18"/>
              </w:rPr>
            </w:pPr>
            <w:r w:rsidRPr="00FE6622">
              <w:rPr>
                <w:sz w:val="18"/>
                <w:szCs w:val="18"/>
              </w:rPr>
              <w:t>Цвет циферблата:</w:t>
            </w:r>
            <w:r>
              <w:rPr>
                <w:sz w:val="18"/>
                <w:szCs w:val="18"/>
              </w:rPr>
              <w:t xml:space="preserve"> </w:t>
            </w:r>
            <w:r w:rsidRPr="00FE6622">
              <w:rPr>
                <w:sz w:val="18"/>
                <w:szCs w:val="18"/>
              </w:rPr>
              <w:t>белый</w:t>
            </w:r>
            <w:r w:rsidR="007B76BC">
              <w:rPr>
                <w:sz w:val="18"/>
                <w:szCs w:val="18"/>
              </w:rPr>
              <w:t>.</w:t>
            </w:r>
          </w:p>
          <w:p w:rsidR="00FE6622" w:rsidRPr="00FE6622" w:rsidRDefault="00FE6622" w:rsidP="00FE6622">
            <w:pPr>
              <w:pStyle w:val="affff5"/>
              <w:rPr>
                <w:sz w:val="18"/>
                <w:szCs w:val="18"/>
              </w:rPr>
            </w:pPr>
            <w:r w:rsidRPr="00FE6622">
              <w:rPr>
                <w:sz w:val="18"/>
                <w:szCs w:val="18"/>
              </w:rPr>
              <w:t>Цвет корпуса:</w:t>
            </w:r>
            <w:r>
              <w:rPr>
                <w:sz w:val="18"/>
                <w:szCs w:val="18"/>
              </w:rPr>
              <w:t xml:space="preserve"> </w:t>
            </w:r>
            <w:r w:rsidRPr="00FE6622">
              <w:rPr>
                <w:sz w:val="18"/>
                <w:szCs w:val="18"/>
              </w:rPr>
              <w:t>серебристый</w:t>
            </w:r>
            <w:r w:rsidR="00554A02">
              <w:rPr>
                <w:sz w:val="18"/>
                <w:szCs w:val="18"/>
              </w:rPr>
              <w:t xml:space="preserve"> или черный</w:t>
            </w:r>
          </w:p>
          <w:p w:rsidR="00FE6622" w:rsidRPr="00FE6622" w:rsidRDefault="00FE6622" w:rsidP="00FE6622">
            <w:pPr>
              <w:pStyle w:val="affff5"/>
              <w:rPr>
                <w:sz w:val="18"/>
                <w:szCs w:val="18"/>
              </w:rPr>
            </w:pPr>
            <w:r w:rsidRPr="00FE6622">
              <w:rPr>
                <w:sz w:val="18"/>
                <w:szCs w:val="18"/>
              </w:rPr>
              <w:t>Цифры:</w:t>
            </w:r>
            <w:r>
              <w:rPr>
                <w:sz w:val="18"/>
                <w:szCs w:val="18"/>
              </w:rPr>
              <w:t xml:space="preserve"> </w:t>
            </w:r>
            <w:r w:rsidRPr="00FE6622">
              <w:rPr>
                <w:sz w:val="18"/>
                <w:szCs w:val="18"/>
              </w:rPr>
              <w:t>арабские</w:t>
            </w:r>
            <w:r w:rsidR="007B76BC">
              <w:rPr>
                <w:sz w:val="18"/>
                <w:szCs w:val="18"/>
              </w:rPr>
              <w:t>.</w:t>
            </w:r>
          </w:p>
          <w:p w:rsidR="00FE6622" w:rsidRPr="00FE6622" w:rsidRDefault="00FE6622" w:rsidP="00FE6622">
            <w:pPr>
              <w:pStyle w:val="affff5"/>
              <w:rPr>
                <w:sz w:val="18"/>
                <w:szCs w:val="18"/>
              </w:rPr>
            </w:pPr>
            <w:r w:rsidRPr="00FE6622">
              <w:rPr>
                <w:sz w:val="18"/>
                <w:szCs w:val="18"/>
              </w:rPr>
              <w:t>Форма корпуса:</w:t>
            </w:r>
            <w:r w:rsidR="00365EB8">
              <w:rPr>
                <w:sz w:val="18"/>
                <w:szCs w:val="18"/>
              </w:rPr>
              <w:t xml:space="preserve"> </w:t>
            </w:r>
            <w:r w:rsidRPr="00FE6622">
              <w:rPr>
                <w:sz w:val="18"/>
                <w:szCs w:val="18"/>
              </w:rPr>
              <w:t>круг</w:t>
            </w:r>
            <w:r w:rsidR="007B76BC">
              <w:rPr>
                <w:sz w:val="18"/>
                <w:szCs w:val="18"/>
              </w:rPr>
              <w:t>.</w:t>
            </w:r>
          </w:p>
          <w:p w:rsidR="00FE6622" w:rsidRPr="00FE6622" w:rsidRDefault="00365EB8" w:rsidP="00FE6622">
            <w:pPr>
              <w:pStyle w:val="affff5"/>
              <w:rPr>
                <w:sz w:val="18"/>
                <w:szCs w:val="18"/>
              </w:rPr>
            </w:pPr>
            <w:r>
              <w:rPr>
                <w:sz w:val="18"/>
                <w:szCs w:val="18"/>
              </w:rPr>
              <w:t>Минимальный диаметр корпуса</w:t>
            </w:r>
            <w:r w:rsidR="00FE6622" w:rsidRPr="00FE6622">
              <w:rPr>
                <w:sz w:val="18"/>
                <w:szCs w:val="18"/>
              </w:rPr>
              <w:t>:</w:t>
            </w:r>
            <w:r>
              <w:rPr>
                <w:sz w:val="18"/>
                <w:szCs w:val="18"/>
              </w:rPr>
              <w:t xml:space="preserve"> 2</w:t>
            </w:r>
            <w:r w:rsidR="00554A02">
              <w:rPr>
                <w:sz w:val="18"/>
                <w:szCs w:val="18"/>
              </w:rPr>
              <w:t>9</w:t>
            </w:r>
            <w:r w:rsidR="00FE6622" w:rsidRPr="00FE6622">
              <w:rPr>
                <w:sz w:val="18"/>
                <w:szCs w:val="18"/>
              </w:rPr>
              <w:t xml:space="preserve"> см</w:t>
            </w:r>
            <w:r w:rsidR="007B76BC">
              <w:rPr>
                <w:sz w:val="18"/>
                <w:szCs w:val="18"/>
              </w:rPr>
              <w:t>.</w:t>
            </w:r>
          </w:p>
          <w:p w:rsidR="00FE6622" w:rsidRPr="00643C40" w:rsidRDefault="00FE6622" w:rsidP="00365EB8">
            <w:pPr>
              <w:pStyle w:val="affff5"/>
              <w:rPr>
                <w:sz w:val="18"/>
                <w:szCs w:val="18"/>
              </w:rPr>
            </w:pPr>
            <w:r w:rsidRPr="00FE6622">
              <w:rPr>
                <w:sz w:val="18"/>
                <w:szCs w:val="18"/>
              </w:rPr>
              <w:t>Тип элемента питания:</w:t>
            </w:r>
            <w:r w:rsidR="00365EB8">
              <w:rPr>
                <w:sz w:val="18"/>
                <w:szCs w:val="18"/>
              </w:rPr>
              <w:t xml:space="preserve"> AA</w:t>
            </w:r>
            <w:r w:rsidR="007B76BC">
              <w:rPr>
                <w:sz w:val="18"/>
                <w:szCs w:val="18"/>
              </w:rPr>
              <w:t>.</w:t>
            </w:r>
          </w:p>
        </w:tc>
        <w:tc>
          <w:tcPr>
            <w:tcW w:w="677" w:type="dxa"/>
          </w:tcPr>
          <w:p w:rsidR="0038251B" w:rsidRPr="00643C40" w:rsidRDefault="00FE6622" w:rsidP="007200C4">
            <w:pPr>
              <w:pStyle w:val="affff5"/>
              <w:jc w:val="center"/>
              <w:rPr>
                <w:sz w:val="18"/>
                <w:szCs w:val="18"/>
              </w:rPr>
            </w:pPr>
            <w:proofErr w:type="spellStart"/>
            <w:r>
              <w:rPr>
                <w:sz w:val="18"/>
                <w:szCs w:val="18"/>
              </w:rPr>
              <w:t>шт</w:t>
            </w:r>
            <w:proofErr w:type="spellEnd"/>
          </w:p>
        </w:tc>
        <w:tc>
          <w:tcPr>
            <w:tcW w:w="1020" w:type="dxa"/>
          </w:tcPr>
          <w:p w:rsidR="0038251B" w:rsidRPr="00643C40" w:rsidRDefault="00FE6622" w:rsidP="007200C4">
            <w:pPr>
              <w:pStyle w:val="affff5"/>
              <w:jc w:val="center"/>
              <w:rPr>
                <w:sz w:val="18"/>
                <w:szCs w:val="18"/>
              </w:rPr>
            </w:pPr>
            <w:r>
              <w:rPr>
                <w:sz w:val="18"/>
                <w:szCs w:val="18"/>
              </w:rPr>
              <w:t>5</w:t>
            </w:r>
          </w:p>
        </w:tc>
        <w:tc>
          <w:tcPr>
            <w:tcW w:w="1274" w:type="dxa"/>
          </w:tcPr>
          <w:p w:rsidR="0038251B" w:rsidRPr="00643C40" w:rsidRDefault="0038251B" w:rsidP="007200C4">
            <w:pPr>
              <w:pStyle w:val="affff5"/>
              <w:jc w:val="center"/>
              <w:rPr>
                <w:sz w:val="18"/>
                <w:szCs w:val="18"/>
              </w:rPr>
            </w:pPr>
          </w:p>
        </w:tc>
        <w:tc>
          <w:tcPr>
            <w:tcW w:w="1441" w:type="dxa"/>
          </w:tcPr>
          <w:p w:rsidR="0038251B" w:rsidRPr="00643C40" w:rsidRDefault="0038251B" w:rsidP="007200C4">
            <w:pPr>
              <w:pStyle w:val="affff5"/>
              <w:jc w:val="center"/>
              <w:rPr>
                <w:sz w:val="18"/>
                <w:szCs w:val="18"/>
              </w:rPr>
            </w:pPr>
          </w:p>
        </w:tc>
        <w:tc>
          <w:tcPr>
            <w:tcW w:w="1261" w:type="dxa"/>
          </w:tcPr>
          <w:p w:rsidR="0038251B" w:rsidRPr="00643C40" w:rsidRDefault="0038251B" w:rsidP="007200C4">
            <w:pPr>
              <w:pStyle w:val="affff5"/>
              <w:jc w:val="center"/>
              <w:rPr>
                <w:sz w:val="18"/>
                <w:szCs w:val="18"/>
              </w:rPr>
            </w:pPr>
          </w:p>
        </w:tc>
      </w:tr>
      <w:tr w:rsidR="0074057E"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A3170F"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sz w:val="18"/>
                <w:szCs w:val="18"/>
              </w:rPr>
            </w:pPr>
            <w:r w:rsidRPr="000106A3">
              <w:rPr>
                <w:rFonts w:cs="Times New Roman"/>
                <w:color w:val="00B050"/>
                <w:sz w:val="18"/>
                <w:szCs w:val="18"/>
              </w:rPr>
              <w:t>Паспорт, инструкция (руководство) по применению (эксплуатации) товара на русском языке</w:t>
            </w:r>
            <w:r w:rsidRPr="000106A3">
              <w:rPr>
                <w:rFonts w:cs="Times New Roman"/>
                <w:sz w:val="18"/>
                <w:szCs w:val="18"/>
              </w:rPr>
              <w:t xml:space="preserve"> </w:t>
            </w:r>
            <w:r w:rsidRPr="00643C40">
              <w:rPr>
                <w:rFonts w:cs="Times New Roman"/>
                <w:color w:val="FF0000"/>
                <w:sz w:val="18"/>
                <w:szCs w:val="18"/>
              </w:rPr>
              <w:t>- при наличии</w:t>
            </w:r>
          </w:p>
        </w:tc>
      </w:tr>
      <w:tr w:rsidR="000106A3" w:rsidRPr="00643C40" w:rsidTr="0015221B">
        <w:tc>
          <w:tcPr>
            <w:tcW w:w="534" w:type="dxa"/>
          </w:tcPr>
          <w:p w:rsidR="000106A3" w:rsidRPr="00643C40" w:rsidRDefault="00A3170F" w:rsidP="000106A3">
            <w:pPr>
              <w:pStyle w:val="affff5"/>
              <w:jc w:val="center"/>
              <w:outlineLvl w:val="0"/>
              <w:rPr>
                <w:sz w:val="18"/>
                <w:szCs w:val="18"/>
              </w:rPr>
            </w:pPr>
            <w:r>
              <w:rPr>
                <w:sz w:val="18"/>
                <w:szCs w:val="18"/>
              </w:rPr>
              <w:t>6</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Default="00113FFE">
      <w:pPr>
        <w:widowControl/>
        <w:snapToGrid/>
        <w:spacing w:line="240" w:lineRule="auto"/>
        <w:ind w:firstLine="0"/>
        <w:jc w:val="left"/>
        <w:rPr>
          <w:b/>
          <w:sz w:val="18"/>
          <w:szCs w:val="18"/>
          <w:u w:val="single"/>
        </w:rPr>
      </w:pPr>
    </w:p>
    <w:sectPr w:rsidR="00113FFE"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05B" w:rsidRDefault="0020105B" w:rsidP="00D1257E">
      <w:pPr>
        <w:spacing w:line="240" w:lineRule="auto"/>
      </w:pPr>
      <w:r>
        <w:separator/>
      </w:r>
    </w:p>
  </w:endnote>
  <w:endnote w:type="continuationSeparator" w:id="0">
    <w:p w:rsidR="0020105B" w:rsidRDefault="0020105B"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05B" w:rsidRDefault="0020105B" w:rsidP="00D1257E">
      <w:pPr>
        <w:spacing w:line="240" w:lineRule="auto"/>
      </w:pPr>
      <w:r>
        <w:separator/>
      </w:r>
    </w:p>
  </w:footnote>
  <w:footnote w:type="continuationSeparator" w:id="0">
    <w:p w:rsidR="0020105B" w:rsidRDefault="0020105B"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05B"/>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6E06"/>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5D03"/>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5EB8"/>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251B"/>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A02"/>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485B"/>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B76BC"/>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0F"/>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A38"/>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41D"/>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57C5"/>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2D24"/>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6622"/>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35CA-8DB4-45E7-8891-27C6CED6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5</Pages>
  <Words>3970</Words>
  <Characters>22629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26546</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389</cp:revision>
  <cp:lastPrinted>2014-01-27T04:22:00Z</cp:lastPrinted>
  <dcterms:created xsi:type="dcterms:W3CDTF">2014-01-23T03:58:00Z</dcterms:created>
  <dcterms:modified xsi:type="dcterms:W3CDTF">2026-06-01T10:58:00Z</dcterms:modified>
</cp:coreProperties>
</file>