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/>
        <w:suppressAutoHyphens w:val="true"/>
        <w:bidi w:val="0"/>
        <w:spacing w:lineRule="auto" w:line="240" w:before="0" w:after="0"/>
        <w:ind w:left="6293" w:right="0" w:hanging="0"/>
        <w:jc w:val="left"/>
        <w:rPr/>
      </w:pPr>
      <w:r>
        <w:rPr>
          <w:rFonts w:eastAsia="PT Astra Serif" w:cs="PT Astra Serif" w:ascii="PT Astra Serif" w:hAnsi="PT Astra Serif"/>
          <w:color w:val="000000"/>
          <w:sz w:val="22"/>
          <w:szCs w:val="22"/>
        </w:rPr>
        <w:t xml:space="preserve">         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   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УТВЕРЖДАЮ 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Заместитель начальника Главного управления МЧС России по Республике Мордовия -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начальник управления гражданской обороны и защиты населения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полковник</w:t>
      </w:r>
    </w:p>
    <w:p>
      <w:pPr>
        <w:pStyle w:val="Normal"/>
        <w:spacing w:before="0" w:after="0"/>
        <w:ind w:left="6293" w:right="0" w:hanging="0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________________/</w:t>
      </w:r>
      <w:r>
        <w:rPr>
          <w:rFonts w:eastAsia="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Ю.А. Белоуско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/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896" w:right="0" w:hanging="0"/>
        <w:jc w:val="left"/>
        <w:rPr/>
      </w:pPr>
      <w:r>
        <w:rPr>
          <w:rFonts w:eastAsia="PT Astra Serif;Times New Roman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«</w:t>
      </w:r>
      <w:r>
        <w:rPr>
          <w:rFonts w:eastAsia="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  <w:lang w:eastAsia="ru-RU"/>
        </w:rPr>
        <w:t>21</w:t>
      </w:r>
      <w:r>
        <w:rPr>
          <w:rFonts w:eastAsia="PT Astra Serif;Times New Roman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» августа 2026 г.</w:t>
      </w:r>
    </w:p>
    <w:p>
      <w:pPr>
        <w:pStyle w:val="Normal"/>
        <w:spacing w:lineRule="auto" w:line="240" w:before="0" w:after="0"/>
        <w:jc w:val="right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ПРОЕКТ ГОСУДАРСТВЕННОГО КОНТРАКТА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i w:val="false"/>
          <w:iCs w:val="false"/>
          <w:color w:val="000000"/>
          <w:sz w:val="22"/>
          <w:szCs w:val="22"/>
        </w:rPr>
        <w:t>ГОСУДАРСТВЕННЫЙ КОНТРАКТ № ____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вещевого имущества для нужд Главного управления 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МЧС России по Республике Мордовия (ДТО вещ)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val="ru-RU" w:eastAsia="ru-RU"/>
        </w:rPr>
        <w:t>Идентификационный код закупки: 261132619211613280100100270000000000</w:t>
      </w:r>
    </w:p>
    <w:p>
      <w:pPr>
        <w:pStyle w:val="Parametervalue"/>
        <w:spacing w:lineRule="auto" w:line="240" w:before="0" w:after="0"/>
        <w:ind w:left="0" w:right="0" w:firstLine="459"/>
        <w:jc w:val="center"/>
        <w:rPr>
          <w:rFonts w:ascii="PT Astra Serif;Times New Roman" w:hAnsi="PT Astra Serif;Times New Roman" w:cs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г. Саранск</w:t>
        <w:tab/>
        <w:tab/>
        <w:tab/>
        <w:tab/>
        <w:tab/>
        <w:tab/>
        <w:tab/>
        <w:tab/>
        <w:tab/>
        <w:t xml:space="preserve">            </w:t>
        <w:tab/>
        <w:t>«___» _________ 202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г.</w:t>
      </w:r>
    </w:p>
    <w:p>
      <w:pPr>
        <w:pStyle w:val="19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ind w:left="0" w:right="-57" w:firstLine="680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(Главное управление МЧС России по Республике Мордовия), выступающее от имени Российской Федерации для обеспечения государственных нужд, именуемое в дальнейшим «Заказчик», в лице 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kern w:val="0"/>
          <w:sz w:val="22"/>
          <w:szCs w:val="22"/>
          <w:lang w:val="ru-RU" w:eastAsia="zh-CN" w:bidi="ar-SA"/>
        </w:rPr>
        <w:t>____________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действующего на основании_________________________, с одной стороны, и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2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именуемый(ое) в дальнейшем «Поставщик», в лице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3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, действующего (ей) на основании _____________</w:t>
      </w:r>
      <w:r>
        <w:rPr>
          <w:rStyle w:val="Style35"/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footnoteReference w:id="4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, с другой стороны, вместе именуемые в дальнейшем «Стороны», на основании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и иного законодательства Российской Федерации 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>(Итоговый протокол закупочной сессии от «__» ______ 202</w:t>
      </w:r>
      <w:r>
        <w:rPr>
          <w:rFonts w:eastAsia="Times New Roman" w:cs="PT Astra Serif;Times New Roman" w:ascii="PT Astra Serif;Times New Roman" w:hAnsi="PT Astra Serif;Times New Roman"/>
          <w:bCs/>
          <w:i/>
          <w:color w:val="000000"/>
          <w:sz w:val="22"/>
          <w:szCs w:val="22"/>
          <w:lang w:val="ru-RU" w:eastAsia="ru-RU" w:bidi="ar-SA"/>
        </w:rPr>
        <w:t>6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 xml:space="preserve"> г. №___)</w:t>
      </w:r>
      <w:r>
        <w:rPr>
          <w:rStyle w:val="Style35"/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footnoteReference w:id="5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ключили настоящий Государственный контракт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вещевого имущества для нужд Главного управления МЧС России по Республике Мордовия (ДТО вещ)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- Контракт) о нижеследующем:</w:t>
      </w:r>
    </w:p>
    <w:p>
      <w:pPr>
        <w:pStyle w:val="Normal"/>
        <w:spacing w:lineRule="auto" w:line="240" w:before="0" w:after="0"/>
        <w:ind w:left="0" w:right="-57" w:firstLine="680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1. ПРЕДМЕТ КОНТРАКТА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</w:rPr>
        <w:t>.1. В соответствии с настоящим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Контрактом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обязуется поставить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вещевое имущество для нужд Главного управления МЧС России по Республике Мордовия (ДТО вещ)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по тексту – Товар) в соответствии с требованиями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,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установленными настоящим Контрактом </w:t>
      </w:r>
      <w:bookmarkStart w:id="0" w:name="_Hlk35437235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и действующим законодательством Российской Федерации,</w:t>
      </w:r>
      <w:bookmarkEnd w:id="0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а Заказчик обязуется принять Товар надлеж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ащего качества и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оплатить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его в порядке и на условиях, предусмотренных Контрактом.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1.2. Наименование,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количество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и иные характеристики поставляемого Товара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определен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ы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Спецификации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(приложение № 1 к Контракту) и Описании объекта закупки (приложение № 2 к Контракту), являющихся неотъемлемой частью настоящего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  <w:lang w:val="ru-RU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онтракта.</w:t>
      </w:r>
    </w:p>
    <w:p>
      <w:pPr>
        <w:pStyle w:val="Style47"/>
        <w:spacing w:lineRule="auto" w:line="240" w:before="0" w:after="0"/>
        <w:ind w:left="0" w:right="0" w:firstLine="708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  <w:lang w:val="ru-RU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</w:r>
    </w:p>
    <w:p>
      <w:pPr>
        <w:pStyle w:val="Style47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2.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ЦЕНА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 xml:space="preserve">КОНТРАКТА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И ПОРЯДОК ОПЛАТЫ</w:t>
      </w:r>
    </w:p>
    <w:p>
      <w:pPr>
        <w:pStyle w:val="Normal"/>
        <w:widowControl/>
        <w:tabs>
          <w:tab w:val="clear" w:pos="709"/>
          <w:tab w:val="left" w:pos="573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.1. Цена Контракта составляет </w:t>
      </w: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___________(_________) рублей _____ копеек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, в том числе НДС  _____ % - ___________(_________) рублей _____ копеек</w:t>
      </w:r>
      <w:r>
        <w:rPr>
          <w:rStyle w:val="Style35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footnoteReference w:id="6"/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(НДС не облагается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7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(далее – цена Контракта).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2.2.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2.3. Источник финансирования: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средства федерального бюджета на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ru-RU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год.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Код бюджетной классификации Российской Федерации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: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  <w:lang w:val="ru-RU" w:eastAsia="ru-RU"/>
        </w:rPr>
        <w:t>17703101040190049244.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2.4.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Цена Контракта и валюта платежа устанавливаются в Российских рублях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2.5. Форма оплаты: безналичный расчет.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2.6.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Оплата цены Контракта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осуществляется </w:t>
      </w:r>
      <w:r>
        <w:rPr>
          <w:rStyle w:val="23"/>
          <w:rFonts w:eastAsia="Calibri" w:cs="PT Astra Serif;Times New Roman" w:ascii="PT Astra Serif;Times New Roman" w:hAnsi="PT Astra Serif;Times New Roman"/>
          <w:bCs/>
          <w:color w:val="000000"/>
          <w:position w:val="0"/>
          <w:sz w:val="22"/>
          <w:sz w:val="22"/>
          <w:szCs w:val="22"/>
          <w:vertAlign w:val="baseline"/>
        </w:rPr>
        <w:t xml:space="preserve">путем перечисления Заказчиком денежных средств на расчетный счет Поставщика, указанный в Контракте,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в течение 7 (семи) рабочих дней с даты подписания Заказчиком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 xml:space="preserve"> товарной накладной (или универсального передаточного документа)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eastAsia="Symbol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zh-CN" w:bidi="hi-IN"/>
        </w:rPr>
        <w:t xml:space="preserve">и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Акта приемки товаров, работ, услуг по форме ОКУД 0510452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при отсутствии у Заказчика претензий к поставленному Товару.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2.7. Обязательства Заказчика по оплате цены Контракта считаются исполненными с момента списания денежных средств в размере, установленном Контрактом,  со счета Заказчика. За дальнейшее прохождение денежных средств Заказчик ответственности не несет.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2.8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Style w:val="Style22"/>
          <w:rFonts w:cs="PT Astra Serif;Times New Roman" w:ascii="PT Astra Serif;Times New Roman" w:hAnsi="PT Astra Serif;Times New Roman"/>
          <w:bCs/>
          <w:iCs/>
          <w:color w:val="000000"/>
          <w:position w:val="0"/>
          <w:sz w:val="22"/>
          <w:sz w:val="22"/>
          <w:szCs w:val="22"/>
          <w:vertAlign w:val="baseline"/>
          <w:lang w:val="ru-RU" w:eastAsia="ru-RU" w:bidi="ar-SA"/>
        </w:rPr>
        <w:t>Цена Контракта включает в себя стоимость Товара, расходы, связанные с доставкой, погрузкой-разгрузкой Товара, размещением в местах хранения Заказчика, стоимость расходных материалов, упаковки (тары), маркировки, страхование, таможенные платежи (пошлины), налоги, сборы и иные расходы Поставщика связанные с исполнением Контракта.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2.9. Цена Контракта является твердой, определяется на весь срок его исполнения и может изменяться только в случаях, в порядке и на условиях, которые установлены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Федеральным законом от 05.04.2013 № 44-ФЗ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 настоящим Контрактом.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2.10. При изменении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банковских реквизитов,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Поставщик уведомляет Заказчика о новых реквизитах в течение 3 (трех) рабочих дней путем оформления и предоставления для подписания дополнительного соглашения к Контракту. В случае несвоевременного уведомления все риски, связанные с перечислением Заказчиком денежных средств по указанным при заключении настоящего Контракта реквизитам, несет Поставщик.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>3. ПОРЯДОК, СРОК, МЕСТО ПОСТАВКИ И ПРИЕМКИ ТОВАРА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3.1. </w:t>
      </w:r>
      <w:r>
        <w:rPr>
          <w:rFonts w:eastAsia="Times New Roman" w:cs="PT Astra Serif;Times New Roman" w:ascii="PT Astra Serif;Times New Roman" w:hAnsi="PT Astra Serif;Times New Roman"/>
          <w:b/>
          <w:color w:val="000000"/>
          <w:sz w:val="22"/>
          <w:szCs w:val="22"/>
          <w:lang w:eastAsia="ru-RU"/>
        </w:rPr>
        <w:t>Место поставки Товара: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Республика Мордовия, г. Саранск, ул. Косарева, д.40.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3.2.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Срок поставки Товара: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дата начала поставки — 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после заключения Контракта.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31"/>
          <w:rFonts w:eastAsia="MS Mincho;ＭＳ 明朝" w:cs="PT Astra Serif;Times New Roman" w:ascii="PT Astra Serif;Times New Roman" w:hAnsi="PT Astra Serif;Times New Roman"/>
          <w:b w:val="false"/>
          <w:bCs w:val="false"/>
          <w:iCs/>
          <w:color w:val="000000"/>
          <w:sz w:val="22"/>
          <w:szCs w:val="22"/>
          <w:lang w:eastAsia="ru-RU"/>
        </w:rPr>
        <w:t xml:space="preserve">дата окончания поставки -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не позднее 10 сентября 2026 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Поставка Товара осуществляется в рабочие дни и часы Заказчика — с 09:00 ч. до 18:00 ч. (понедельник-четверг), с 09:00 ч. до 16:45 ч. (пятница), перерыв на обед с 13:00 ч. до 13:45 ч.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val="ru-RU"/>
        </w:rPr>
        <w:t xml:space="preserve">Поставка Товара осуществляется Поставщиком единовременно одной партией.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 w:eastAsia="en-US"/>
        </w:rPr>
        <w:t>3.3. Не позднее, чем за 2 (два) рабочих дня до дня поставки Товара Поставщик обязан согласовать с Заказчиком дату и время поставки Товара по телефону, указанному в Контракте (либо с представителем Заказчика по телефону 8(8342)28-86-43).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Поставщик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за свой счет осуществляет погрузо-разгрузочные работы, включая доставку Товара, по адресу, указанному в Контракте.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4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 При заключении Контракта Стороны самостоятельно определяют своих уполномоченных представителей, которые будут принимать Товар, а также подписывать документы и совершать иные действия, связанные с исполнением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3.5.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Поставщик в момент отгрузки (передачи) Товара предоставляет Заказчику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  <w:lang w:eastAsia="ru-RU"/>
        </w:rPr>
        <w:t>товарную накладную (или универсальный передаточный документ)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 в 2-х экземплярах.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При наличии технической возможности, Поставщик направляет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eastAsia="ru-RU"/>
        </w:rPr>
        <w:t xml:space="preserve">товарную накладную (или универсальный передаточный документ) с помощью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 не позднее 3 (трех) рабочих дней после поставки Товара Заказчику.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3.6. Для проверки предоставленных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Поставщиком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 решению Заказчика для приемки Товара, включая проведение экспертизы, может создаваться приемочная комиссия.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3.7. Приемка Товара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в части соответствия количества, комплектности и объема требованиям, установленным Контрактом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, включая проведение экспертизы, осуществляется Заказчиком (или уполномоченным представителем Заказчика) в течение 10 (десяти) рабочих дней с даты поставки Товара Поставщиком и предоставления документов, указанных в пункте 3.5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По итогам приемки и экспертизы Товара, Заказчиком в тот же срок подписывается товарная накладная (или универсальный передаточный документ) и передается один экземпляр Поставщику,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 также Заказчиком (или уполномоченным представителем Заказчика) и Поставщиком (или уполномоченным представителем Поставщика) подписывается Акт приемки товаров, работ, услуг по форме ОКУД 0510452 (в соответствии с Приказом Минфина от 15.04.2021 №61н) который в дальнейшем утверждается Заказчиком (в случае создания приемочной комиссии Акт приемки товаров, работ, услуг по форме ОКУД 0510452 подписывается всеми членами приемочной комиссии и утверждается Заказчиком)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либо Поставщику направляется мотивированный отказ в письменной форме от подписания такого документа с указанием перечня выявленных несоответствий и/или недостатков и сроков их устранения.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При наличии технической возможности у Сторон, формирование и подписание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Акта приемки товаров, работ, услуг по форме ОКУД 0510452,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shd w:fill="FFFFFF" w:val="clear"/>
          <w:lang w:eastAsia="ru-RU" w:bidi="hi-IN"/>
        </w:rPr>
        <w:t xml:space="preserve">товарной накладной (или универсального передаточного документа)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осуществляется с использованием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3.8. После устранения выявленных несоответствий и/или недостатков, Товар принимается Заказчиком повторно в порядке, установленном настоящим разделом.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3.9. Обязательство Поставщика считается выполненным с момента подписания Заказчиком документов, указанных в пункте 3.7 Контракта. При этом срок приемки Товара Заказчиком не входит в срок поставки Товара Поставщиком.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Датой приемки Товара считается дата подписания Заказчиком товарной накладной (или 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3.10. В случае отсутствия документов, указанных в пункте 3.5 Контракта, Заказчик вправе отказаться от приемки Товара. Товар будет считаться не поставленным.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1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аказчик вправе не отказывать в приемке поставленного Товара, в случае выявлени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й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несоответствий и/или недостатков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этого Товара условиям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онтракта, если выявленн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ые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несоответстви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и/или недостатк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не препятствует приемке этого Товара и устранено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ри обнаружении при приемке Товара несоответствий и/или недостатков, 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обязан за свой счёт и своими силами устранить такие несоответствия и/или недостатки или заменить Товар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 течение 10 (десяти) календарных дней с момента заявления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 соответствующего требования, если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аказчиком не установлен иной срок.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4. ПРАВА И ОБЯЗАННОСТИ СТОРОН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4.1. Поставщик обязуется: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4.1.1. Поставить Товар на условиях, предусмотренных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4.1.2. Своевременно и надлежащим образом предоставить Заказчику документы, предусмотренные пунктом 3.5. Контракта.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4.1.4. </w:t>
      </w:r>
      <w:r>
        <w:rPr>
          <w:rFonts w:cs="PT Astra Serif;Times New Roman" w:ascii="PT Astra Serif;Times New Roman" w:hAnsi="PT Astra Serif;Times New Roman"/>
          <w:iCs/>
          <w:color w:val="000000"/>
          <w:sz w:val="22"/>
          <w:szCs w:val="22"/>
        </w:rPr>
        <w:t>О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 xml:space="preserve">4.1.5.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Передать вместе с Товаром сопроводительную документацию, подтверждающее качество Товара (сертификаты соответствия,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lang w:eastAsia="ar-SA"/>
        </w:rPr>
        <w:t>декларации о соответствии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 и т. п.) если в отношении Товара законодательством Российской Федерации требуется наличие таких документов. 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4.1.6. Обеспечить устранение за свой счет и своими силами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В случае принятия предусмотренного частью 19 статьи 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95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Федеральн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от 05.04.2013 № 44-ФЗ решения об одностороннем отказе от исполнения Контракта, передать такое решение лицу, имеющему право действовать от имени Заказчика,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Заказчику по почте заказным письмом с уведомлением о вручении по адресу Заказчика,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ru-RU" w:bidi="ru-RU"/>
        </w:rPr>
        <w:t>8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. Отменить не вступившее в силу решение об одностороннем отказе от исполнения Контракта, если в течение 10 (десятидневного)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zh-CN" w:bidi="ar-SA"/>
        </w:rPr>
        <w:t>9</w:t>
      </w: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Исполнять иные обязанности, предусмотренные законодательством Российской Федерации и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4.2. Поставщик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4.2.1.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  <w:bookmarkStart w:id="1" w:name="sub_3421"/>
      <w:bookmarkEnd w:id="1"/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4.2.2. Требовать уплаты неустоек (штрафов, пеней) в соответствии с разделом 6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4.2.3. Запрашивать у Заказчика разъяснения и уточнения относительно Товара в рамках Контракта.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4.2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.4.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 xml:space="preserve">.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4.2.5. П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ривлекать к исполнению Контракта третьих лиц, в том числе по согласованию с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аказчиком. При этом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несет ответственность перед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казчиком за неисполнение или ненадлежащее исполнение обязательств соисполнителей, в том числе обязательств, установленных для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настоящим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4.2.6.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4.3. Заказчик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4.3.1. Требовать от Поставщика надлежащего исполнения обязательств, предусмотренных Контрактом, а также требовать своевременного устранения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 О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существлять контроль за исполнением Контракта, без вмешательства в оперативную хозяйственную деятельность Поставщика.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4.3.3. Запрашивать у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информацию о ходе исполнения обязательств по Контракту.</w:t>
      </w:r>
    </w:p>
    <w:p>
      <w:pPr>
        <w:pStyle w:val="Normal"/>
        <w:tabs>
          <w:tab w:val="clear" w:pos="709"/>
          <w:tab w:val="left" w:pos="54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4.3.4. 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Требовать от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представления надлежащим образом оформленных документов, предусмотренных Контрактом, а также иных документов, относящихся к Товару.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4.3.5. Отказаться от приемки Товара в случаях, предусмотренных Контрактом и законодательством Российской Федерации.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4.3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.6.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4.3.7.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sz w:val="22"/>
          <w:szCs w:val="22"/>
        </w:rPr>
        <w:t>4.4. Заказчик обязан: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4.4.1. Для проверки предоставленных Поставщиком результатов, предусмотренных Контрактом, в части их соответствия условиям Контракта, провести экспертизу в соответствии с Федеральным законом от 05.04.2013 г. № 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4.4.2. Сообщать в письменной форме Поставщику 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несоответствиях и/или недостатках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4.4.3. 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Обеспечить своевременную приемку и оплату</w:t>
      </w:r>
      <w:bookmarkStart w:id="2" w:name="sub_3403"/>
      <w:bookmarkEnd w:id="2"/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поставленного Товара надлежащего качества в порядке и сроки, предусмотренные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4.4.4. В случае принятия предусмотренного частью 9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от 05.04.2013 № 44-ФЗ решения об одностороннем отказе от исполнения Контракта, передать такое решение лицу, имеющему право действовать от имени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Поставщику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с соблюдением требований законодательства Российской Федерации о государственной тайне по адресу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4.4.5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 w:bidi="ru-RU"/>
        </w:rPr>
        <w:t>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Отменить,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с учетом положений части 14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от 05.04.2013 № 44-ФЗ,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не вступившее в силу решение об одностороннем отказе от исполнения контракта, если в течение 10 (десятидневного) срока с даты надлежащего уведомления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 частью 10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от 05.04.2013 № 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4.4.6. Исполнять иные обязанности, предусмотренные законодательством Российской Федерации и условиями Контракта.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1"/>
        <w:numPr>
          <w:ilvl w:val="0"/>
          <w:numId w:val="3"/>
        </w:numPr>
        <w:spacing w:lineRule="auto" w:line="240" w:before="0" w:after="0"/>
        <w:ind w:left="720" w:right="0" w:hanging="360"/>
        <w:jc w:val="center"/>
        <w:rPr/>
      </w:pPr>
      <w:bookmarkStart w:id="3" w:name="sub_3500"/>
      <w:bookmarkEnd w:id="3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5.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ТРЕБОВАНИЯ 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КАЧЕСТВУ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ПОСТАВЛЯЕМОГО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ТОВАРА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4" w:name="sub_3501"/>
      <w:bookmarkStart w:id="5" w:name="sub_35001"/>
      <w:bookmarkEnd w:id="5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5.1. </w:t>
      </w:r>
      <w:bookmarkEnd w:id="4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Поставщик гарантирует, что поставляемый Товар соответствует требованиям, установленным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bookmarkStart w:id="6" w:name="sub_3502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5.2</w:t>
      </w:r>
      <w:bookmarkEnd w:id="6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Поставщик обеспечивает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val="ru-RU"/>
        </w:rPr>
        <w:t>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5.3.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shd w:fill="FFFFFF" w:val="clear"/>
          <w:lang w:val="ru-RU"/>
        </w:rPr>
        <w:t>5.4. Упаковка Товара должна обеспечивать сохранность Товара во время транспортировки любым видом транспорта.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7" w:name="sub_3504"/>
      <w:bookmarkEnd w:id="7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5.5. </w:t>
      </w:r>
      <w:r>
        <w:rPr>
          <w:rFonts w:eastAsia="Calibri" w:cs="PT Astra Serif;Times New Roman" w:ascii="PT Astra Serif;Times New Roman" w:hAnsi="PT Astra Serif;Times New Roman"/>
          <w:b w:val="false"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shd w:fill="FFFFFF" w:val="clear"/>
          <w:lang w:eastAsia="ru-RU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  <w:bookmarkStart w:id="8" w:name="sub_35041"/>
      <w:bookmarkStart w:id="9" w:name="sub_35041"/>
      <w:bookmarkEnd w:id="9"/>
    </w:p>
    <w:p>
      <w:pPr>
        <w:pStyle w:val="Normal"/>
        <w:spacing w:lineRule="auto" w:line="240" w:before="0" w:after="0"/>
        <w:ind w:left="36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6. ОТВЕТСТВЕННОСТЬ СТОРОН 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  <w:bookmarkStart w:id="10" w:name="_Hlk32353799"/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6.1.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6.2. Размер штрафа устанавливается Контрактом в соответствии с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 августа 2017 г. №1042).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6.3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 Ответственность Заказчика: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6.3.1.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(штрафов, пеней). 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6.3.2.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обязательства. Такая пеня устанавливается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6.3.3. Штрафы начисляются за ненадлежащее исполнение Заказчиком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6.3.4.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</w:t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размере</w:t>
      </w:r>
      <w:r>
        <w:rPr>
          <w:rStyle w:val="Style35"/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footnoteReference w:id="8"/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 xml:space="preserve"> _______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6.3.5. Общая сумма начисленных штрафов за ненадлежащее исполнение Заказчиком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не может превышать цену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6.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 Ответственность Поставщика: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6.4.1. В случае просрочки исполнения Поставщиком обязательств (в том числе гарантийного обязательства), предусмотренных настоящим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6.4.2. Пеня начисляется за каждый день просрочки исполнения Поставщиком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пени </w:t>
      </w:r>
      <w:r>
        <w:rPr>
          <w:rStyle w:val="Style13"/>
          <w:rFonts w:cs="PT Astra Serif;Times New Roman" w:ascii="PT Astra Serif;Times New Roman" w:hAnsi="PT Astra Serif;Times New Roman"/>
          <w:color w:val="000000"/>
          <w:sz w:val="22"/>
          <w:szCs w:val="22"/>
          <w:u w:val="none"/>
        </w:rPr>
        <w:t>ключевой ставки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Центрального банка Российской Федерации от цены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(отдельного этапа исполнения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(соответствующим отдельным этапом исполнения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6.4.3. Штрафы начисляются за ненадлежащее исполнение Поставщиком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6.4.4. 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</w:t>
      </w:r>
      <w:r>
        <w:rPr>
          <w:rStyle w:val="Style35"/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footnoteReference w:id="9"/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 xml:space="preserve"> _______% цены Контракта, что составляет______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6.4.5. За каждый факт неисполнения или ненадлежащего исполнения Поставщиком обязательства, предусмотренного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которое не имеет стоимостного выражения, штраф </w:t>
      </w:r>
      <w:bookmarkStart w:id="11" w:name="p_292"/>
      <w:bookmarkEnd w:id="11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устанавливается (при наличии в Контракте таких обязательств) в размере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0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________ (________) руб. ___ коп.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6.4.6.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6.5. Сторона освобождается от уплаты неустойки (штрафа, пени), если это Сторона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6.6. Уплата неустойки (пени, штрафа) не освобождает Сторону от исполнения или надлежащего исполнения обязательств, установленных  Контрактом.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6.7. Окончание срока действия Контракта не освобождает Стороны от ответственности за его нарушение.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6.8. С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№44-ФЗ, удерживаются из суммы, подлежащей оплате Поставщику.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6.9. Правительство Российской Федерации вправе установить случаи и порядок списания начисленных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eastAsia="ru-RU" w:bidi="ru-RU"/>
        </w:rPr>
        <w:t>Поставщику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6.10.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1"/>
        <w:keepNext w:val="true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2" w:name="sub_3700"/>
      <w:bookmarkEnd w:id="12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>7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. ОБЕСПЕЧЕНИЕ ИСПОЛНЕНИЯ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bookmarkStart w:id="13" w:name="sub_37001"/>
      <w:bookmarkEnd w:id="13"/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7.1. 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Обеспечение исполнения </w:t>
      </w:r>
      <w:r>
        <w:rPr>
          <w:rStyle w:val="Style22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  <w:lang w:val="ru-RU" w:eastAsia="zh-CN" w:bidi="ar-SA"/>
        </w:rPr>
        <w:t>К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онтракта </w:t>
      </w:r>
      <w:r>
        <w:rPr>
          <w:rStyle w:val="Style22"/>
          <w:rFonts w:cs="PT Astra Serif;Times New Roman" w:ascii="PT Astra Serif;Times New Roman" w:hAnsi="PT Astra Serif;Times New Roman"/>
          <w:bCs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>не установлено.</w:t>
      </w:r>
      <w:bookmarkEnd w:id="10"/>
    </w:p>
    <w:p>
      <w:pPr>
        <w:pStyle w:val="Normal"/>
        <w:spacing w:lineRule="auto" w:line="240" w:before="0" w:after="0"/>
        <w:ind w:left="0" w:right="0" w:firstLine="567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4" w:name="sub_3800"/>
      <w:bookmarkEnd w:id="14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8. ОБЕСПЕЧЕНИЕ ГАРАНТИЙНЫХ ОБЯЗАТЕЛЬСТВ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bookmarkStart w:id="15" w:name="sub_38001"/>
      <w:bookmarkStart w:id="16" w:name="sub_3801"/>
      <w:bookmarkEnd w:id="15"/>
      <w:bookmarkEnd w:id="16"/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8.1. Обеспечение гарантийных обязательств не устанавливается.</w:t>
      </w:r>
    </w:p>
    <w:p>
      <w:pPr>
        <w:pStyle w:val="Style47"/>
        <w:spacing w:lineRule="auto" w:line="240" w:before="0" w:after="0"/>
        <w:ind w:left="360" w:right="28" w:hanging="0"/>
        <w:contextualSpacing/>
        <w:jc w:val="center"/>
        <w:rPr>
          <w:rFonts w:ascii="PT Astra Serif;Times New Roman" w:hAnsi="PT Astra Serif;Times New Roman" w:eastAsia="Arial" w:cs="PT Astra Serif;Times New Roman"/>
          <w:b/>
          <w:b/>
          <w:bCs w:val="false"/>
          <w:color w:val="000000"/>
          <w:sz w:val="22"/>
          <w:szCs w:val="22"/>
          <w:lang w:val="ru-RU"/>
        </w:rPr>
      </w:pPr>
      <w:r>
        <w:rPr>
          <w:rFonts w:eastAsia="Arial" w:cs="PT Astra Serif;Times New Roman" w:ascii="PT Astra Serif;Times New Roman" w:hAnsi="PT Astra Serif;Times New Roman"/>
          <w:b/>
          <w:bCs w:val="false"/>
          <w:color w:val="000000"/>
          <w:sz w:val="22"/>
          <w:szCs w:val="22"/>
          <w:lang w:val="ru-RU"/>
        </w:rPr>
      </w:r>
      <w:bookmarkStart w:id="17" w:name="sub_38011"/>
      <w:bookmarkStart w:id="18" w:name="sub_38011"/>
      <w:bookmarkEnd w:id="18"/>
    </w:p>
    <w:p>
      <w:pPr>
        <w:pStyle w:val="Style47"/>
        <w:widowControl/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9. </w:t>
      </w: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</w:rPr>
        <w:t>ОБСТОЯТЕЛЬСТВА НЕПРЕОДОЛИМОЙ СИЛЫ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9.2. Под обстоятельствами непреодолимой силы понимают возникшие после заключения Контракта обстоятельства, которые невозможно было предвидеть либо предотвратить любыми доступными мерами и обладающие признаками чрезвычайности и непредотвратимости.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К обстоятельствам непреодолимой силы относятся, в том числе, природные явления (пожар, наводнение, землетрясение, другие стихийные бедствия и т.д.),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т.д.)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9.3. Сторона, у которой возникли обстоятельства непреодолимой силы, обязана в течение 3 (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трех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) рабоч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их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дн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ей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9.4.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 действия этих обстоятельств и их последствий.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Style47"/>
        <w:spacing w:lineRule="auto" w:line="240" w:before="0" w:after="0"/>
        <w:ind w:left="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10.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ПОРЯДОК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ИЗМЕНЕНИЯ И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РАСТОРЖЕНИЯ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10.1. Изменение существенных условий К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bidi="ru-RU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при его исполнении не допускается, за исключением случаев, предусмотренных Федеральным законом от 05.04.2013 № 44-ФЗ и Контрактом.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По соглашению Сторон допускается изменение существенных условий Контракта, в соответствии с частью 65.1 статьи 112 Федерального закона от 05.04.2013 №44-ФЗ.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10.2. При исполнении Контракта (за исключением случаев, предусмотренных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"/document/70353464/entry/14413"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1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"/document/70353464/entry/14422"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«б» пункта 2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"/document/70353464/entry/14433"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3 части 4 статьи 14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Федерального закона от 05.04.2013 №44-ФЗ)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10.3. </w:t>
      </w:r>
      <w:bookmarkStart w:id="19" w:name="p_13521"/>
      <w:bookmarkEnd w:id="19"/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 гражданским законодательством.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Расторжение Контракта в связи с односторонним отказом Стороны от исполнения Контракта предусматривается в соответствии с положениями частей 8-11, 13-19, 21-23 и 25 статьи 95 Федерального закона от 05.04.2013 № 44-ФЗ. </w:t>
      </w:r>
    </w:p>
    <w:p>
      <w:pPr>
        <w:pStyle w:val="Style55"/>
        <w:shd w:val="clear" w:fill="FFFFFF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eastAsia="ru-RU"/>
        </w:rPr>
        <w:t>10.4. Все изменения к Контракту оформляются в письменном виде, путем подписания Сторонами Дополнительного Соглашения, которое является неотъемлемой частью Контракта.</w:t>
      </w:r>
    </w:p>
    <w:p>
      <w:pPr>
        <w:pStyle w:val="Style47"/>
        <w:widowControl w:val="false"/>
        <w:spacing w:lineRule="auto" w:line="240" w:before="0" w:after="0"/>
        <w:ind w:left="0" w:right="28" w:hanging="0"/>
        <w:contextualSpacing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11.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ПОРЯДОК УРЕГУЛИРОВАНИЯ СПОРОВ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11.1.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направления претензий (требований).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До передачи спора на разрешение Арбитражного суда Республики Мордовия, Стороны принимают меры к его урегулированию в претензионном порядке. Срок рассмотрения и ответа на претензию (требован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ие) составляет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(семь) дней с момента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получения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её (его) Стороной</w:t>
      </w:r>
      <w:r>
        <w:rPr>
          <w:rFonts w:cs="PT Astra Serif;Times New Roman" w:ascii="PT Astra Serif;Times New Roman" w:hAnsi="PT Astra Serif;Times New Roman"/>
          <w:strike w:val="false"/>
          <w:dstrike w:val="false"/>
          <w:color w:val="000000"/>
          <w:sz w:val="22"/>
          <w:szCs w:val="22"/>
          <w:shd w:fill="auto" w:val="clear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претензии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(требованию) могут быть приложены документы, подтверждающие обоснованность заявленных Стороной претензий (требований).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Претензии (требования) направляются Сторонами с использованием электронной почты по адресу, указанному в Контракте, с последующим представлением оригинала.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11.2. В случае недостижения взаимного согласия, все споры по Контракту разрешаются в Арбитражном суде Республики Мордовия.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12. СРОК ДЕЙСТВИЯ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7" w:firstLine="73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12.1. Контракт вступает в силу с даты его подписания обеими Сторонами и действует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 31 октября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г.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12.2. Окончание срока действия Контракта не влечет прекращения неисполненных обязательств Сторон по Контракту.</w:t>
      </w:r>
    </w:p>
    <w:p>
      <w:pPr>
        <w:pStyle w:val="Style47"/>
        <w:widowControl w:val="false"/>
        <w:spacing w:lineRule="auto" w:line="240" w:before="0" w:after="0"/>
        <w:ind w:left="360" w:right="28" w:hanging="0"/>
        <w:contextualSpacing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360" w:right="28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  <w:lang w:val="ru-RU"/>
        </w:rPr>
        <w:t xml:space="preserve">13. </w:t>
      </w: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</w:rPr>
        <w:t>Прочие положения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13.1. Все письменные уведомления Сторон, связанные с исполнением Контракта, направляются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оригинала, за исключением иных случаев, предусмотренных Контрактом.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вручении, если иной срок не установлен Контрактом. В случае отправления уведомлений посредством факсимильной связи и электронной почты уведомления считаются полученными Стороной в день их отправки,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13.2. Контракт составлен в 2 (двух) экземплярах, идентичных по содержанию и имеющих одинаковую юридическую силу, один из которых передан Поставщику, второй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наход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тся у Заказчика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1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13.3.</w:t>
      </w:r>
      <w:r>
        <w:rPr>
          <w:rFonts w:eastAsia="Times New Roman CYR"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 xml:space="preserve"> Каждая из сторон должна выполнять свои обязанности надлежащим образом, в соответствии с требованиями настоящего Контракта, а также оказывать другой стороне всевозможное содействие в выполнении её обязанностей.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13.4. В случаях, не урегулированных 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настоящим Контрактом, Стороны руководствуются действующим законодательством Российской Федерации.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13.5. Неотъемлемыми частями Контракта являются следующие приложения к Контракту: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- приложение №1 - «Спецификация»;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- приложение №2 - «Описание объекта закупки».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2410" w:right="0" w:hanging="2410"/>
        <w:jc w:val="center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14. ЮРИДИЧЕСКИЕ АДРЕСА, РЕКВИЗИТЫ И ПОДПИСИ СТОРОН</w:t>
      </w:r>
    </w:p>
    <w:tbl>
      <w:tblPr>
        <w:tblW w:w="10145" w:type="dxa"/>
        <w:jc w:val="left"/>
        <w:tblInd w:w="16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4"/>
        <w:gridCol w:w="4990"/>
      </w:tblGrid>
      <w:tr>
        <w:trPr>
          <w:trHeight w:val="280" w:hRule="atLeast"/>
        </w:trPr>
        <w:tc>
          <w:tcPr>
            <w:tcW w:w="5154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b/>
                <w:b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4990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auto"/>
                <w:sz w:val="22"/>
                <w:szCs w:val="22"/>
                <w:lang w:val="ru-RU" w:eastAsia="zh-CN" w:bidi="ar-SA"/>
              </w:rPr>
              <w:t>ПОСТАВЩИК:</w:t>
            </w:r>
          </w:p>
        </w:tc>
      </w:tr>
      <w:tr>
        <w:trPr>
          <w:trHeight w:val="549" w:hRule="atLeast"/>
        </w:trPr>
        <w:tc>
          <w:tcPr>
            <w:tcW w:w="515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Главное управление МЧС России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по Республике Мордовия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Юридический адрес: 430031, Республика Мордовия,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Почтовый адрес: 430031, Республика Мордовия,    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Адрес электронной почты: gu@13.mchs.gov.ru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Телефон: </w:t>
            </w:r>
            <w:r>
              <w:rPr>
                <w:rFonts w:eastAsia="PT Astra Serif"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 8 (8342) 28-86-00 (приемная)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ИНН 1326192116 КПП 132801001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ОГРН 1041316014266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/>
                <w:iCs/>
                <w:color w:val="000000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Казначейский счет 03211643000000013232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л/сч 03091783140, БИК 012202102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Единый казначейский счет 40102810745370000024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i/>
                <w:iCs/>
                <w:color w:val="000000"/>
                <w:sz w:val="22"/>
                <w:szCs w:val="22"/>
              </w:rPr>
              <w:t>Реквизиты для уплаты неустоек (штрафов, пеней):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Номер казначейского счета 03100643000000010900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//УФК по Республике Мордовия, г. Саранск, л/сч 04091783140</w:t>
            </w:r>
          </w:p>
          <w:p>
            <w:pPr>
              <w:pStyle w:val="Normal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БИК 042202114, ОКТМО 89701000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Единый казначейский счет 40102810545370000114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КБК 17711607090019000140 – для уплаты штрафов;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PT Astra Serif"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КБК 17711607010019000140 – для уплаты пени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</w:rPr>
            </w:r>
          </w:p>
        </w:tc>
        <w:tc>
          <w:tcPr>
            <w:tcW w:w="4990" w:type="dxa"/>
            <w:tcBorders/>
          </w:tcPr>
          <w:p>
            <w:pPr>
              <w:pStyle w:val="Normal"/>
              <w:snapToGrid w:val="false"/>
              <w:jc w:val="both"/>
              <w:rPr>
                <w:rFonts w:ascii="PT Astra Serif;Times New Roman" w:hAnsi="PT Astra Serif;Times New Roman" w:cs="PT Astra Serif;Times New Roman"/>
                <w:bCs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auto"/>
                <w:sz w:val="22"/>
                <w:szCs w:val="22"/>
              </w:rPr>
            </w:r>
          </w:p>
        </w:tc>
      </w:tr>
      <w:tr>
        <w:trPr>
          <w:trHeight w:val="513" w:hRule="atLeast"/>
        </w:trPr>
        <w:tc>
          <w:tcPr>
            <w:tcW w:w="5154" w:type="dxa"/>
            <w:tcBorders/>
          </w:tcPr>
          <w:p>
            <w:pPr>
              <w:pStyle w:val="Normal"/>
              <w:ind w:left="0" w:right="-1" w:hanging="0"/>
              <w:jc w:val="both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990" w:type="dxa"/>
            <w:tcBorders/>
          </w:tcPr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Calibri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_________________________/____________/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2"/>
          <w:headerReference w:type="first" r:id="rId3"/>
          <w:footnotePr>
            <w:numFmt w:val="decimal"/>
          </w:footnotePr>
          <w:type w:val="nextPage"/>
          <w:pgSz w:w="11906" w:h="16838"/>
          <w:pgMar w:left="1134" w:right="567" w:header="567" w:top="1134" w:footer="0" w:bottom="567" w:gutter="0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1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auto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rPr>
          <w:rFonts w:ascii="PT Astra Serif;Times New Roman" w:hAnsi="PT Astra Serif;Times New Roman" w:cs="PT Astra Serif;Times New Roman"/>
          <w:b/>
          <w:b/>
          <w:bCs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i/>
          <w:color w:val="000000"/>
          <w:sz w:val="22"/>
          <w:szCs w:val="22"/>
        </w:rPr>
      </w:r>
    </w:p>
    <w:p>
      <w:pPr>
        <w:pStyle w:val="Normal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i/>
          <w:i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i/>
          <w:color w:val="000000"/>
          <w:kern w:val="2"/>
          <w:sz w:val="22"/>
          <w:szCs w:val="22"/>
          <w:lang w:eastAsia="en-US"/>
        </w:rPr>
      </w:r>
    </w:p>
    <w:p>
      <w:pPr>
        <w:pStyle w:val="Normal"/>
        <w:widowControl/>
        <w:suppressAutoHyphens w:val="true"/>
        <w:bidi w:val="0"/>
        <w:ind w:left="0" w:right="0" w:hanging="0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вещевого имущества для нужд Главного управления МЧС России по Республике Мордовия (ДТО вещ)</w:t>
      </w:r>
    </w:p>
    <w:p>
      <w:pPr>
        <w:pStyle w:val="Normal"/>
        <w:jc w:val="center"/>
        <w:rPr>
          <w:rFonts w:ascii="PT Astra Serif;Times New Roman" w:hAnsi="PT Astra Serif;Times New Roman" w:cs="PT Astra Serif;Times New Roman"/>
          <w:b/>
          <w:b/>
          <w:bCs/>
          <w:color w:val="000000"/>
          <w:sz w:val="22"/>
          <w:szCs w:val="22"/>
          <w:highlight w:val="yellow"/>
        </w:rPr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  <w:highlight w:val="yellow"/>
        </w:rPr>
      </w:r>
    </w:p>
    <w:tbl>
      <w:tblPr>
        <w:tblW w:w="15653" w:type="dxa"/>
        <w:jc w:val="left"/>
        <w:tblInd w:w="14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2946"/>
        <w:gridCol w:w="2154"/>
        <w:gridCol w:w="205"/>
        <w:gridCol w:w="3888"/>
        <w:gridCol w:w="1814"/>
        <w:gridCol w:w="961"/>
        <w:gridCol w:w="1705"/>
        <w:gridCol w:w="1351"/>
      </w:tblGrid>
      <w:tr>
        <w:trPr>
          <w:trHeight w:val="1379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Страна происхождения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before="0" w:after="0"/>
              <w:ind w:left="-113" w:right="0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  <w:highlight w:val="white"/>
              </w:rPr>
              <w:t xml:space="preserve">Номер реестровой  записи </w:t>
            </w:r>
            <w:r>
              <w:rPr>
                <w:rFonts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 xml:space="preserve">из реестра российской промышленной продукции / номер реестровой записи из евразийского реестра промышленных товаров </w:t>
            </w:r>
            <w:r>
              <w:rPr>
                <w:rFonts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 xml:space="preserve">и совокупное количество баллов за выполнение (освоение) на территории Российской Федерации соответствующих операций (условий) / совокупное количество баллов за выполнение (освоение) на территории Евразийского экономического союза соответствующих операций (условий) </w:t>
            </w:r>
            <w:r>
              <w:rPr>
                <w:rFonts w:ascii="PT Astra Serif;Times New Roman" w:hAnsi="PT Astra Serif;Times New Roman"/>
                <w:b w:val="false"/>
                <w:bCs/>
                <w:i/>
                <w:iCs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</w:rPr>
              <w:t>(если в отношении такого товара  установлены требования о совокупном количестве баллов)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  <w:t>Единица измерения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Цена за ед. товара с НДС/без НДС, руб.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Сумма с НДС/без НДС, руб.</w:t>
            </w:r>
          </w:p>
        </w:tc>
      </w:tr>
      <w:tr>
        <w:trPr>
          <w:trHeight w:val="381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eastAsia="Times New Roman" w:cs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eastAsia="Times New Roman" w:cs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5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tbl>
      <w:tblPr>
        <w:tblW w:w="11340" w:type="dxa"/>
        <w:jc w:val="left"/>
        <w:tblInd w:w="17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2"/>
        <w:gridCol w:w="5557"/>
      </w:tblGrid>
      <w:tr>
        <w:trPr/>
        <w:tc>
          <w:tcPr>
            <w:tcW w:w="5782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557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5557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4"/>
          <w:footnotePr>
            <w:numFmt w:val="decimal"/>
          </w:footnotePr>
          <w:type w:val="nextPage"/>
          <w:pgSz w:orient="landscape" w:w="16838" w:h="11906"/>
          <w:pgMar w:left="567" w:right="567" w:header="567" w:top="1103" w:footer="0" w:bottom="567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2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</w:rPr>
        <w:t xml:space="preserve">ОПИСАНИЕ ОБЪЕКТА ЗАКУПКИ 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вещевого имущества для нужд Главного управления МЧС России по Республике Мордовия (ДТО вещ)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left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  <w:lang w:eastAsia="ru-RU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  <w:lang w:eastAsia="ru-RU"/>
        </w:rPr>
        <w:t>1. Наименование, количество и характеристики Товара:</w:t>
      </w:r>
    </w:p>
    <w:tbl>
      <w:tblPr>
        <w:tblW w:w="1574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74"/>
        <w:gridCol w:w="2251"/>
        <w:gridCol w:w="1297"/>
        <w:gridCol w:w="738"/>
        <w:gridCol w:w="1451"/>
        <w:gridCol w:w="2717"/>
        <w:gridCol w:w="3859"/>
        <w:gridCol w:w="2651"/>
      </w:tblGrid>
      <w:tr>
        <w:trPr>
          <w:trHeight w:val="527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57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Ед.</w:t>
            </w:r>
          </w:p>
          <w:p>
            <w:pPr>
              <w:pStyle w:val="Normal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изм.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>Код ОКПД2</w:t>
            </w:r>
          </w:p>
        </w:tc>
        <w:tc>
          <w:tcPr>
            <w:tcW w:w="9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b/>
                <w:color w:val="000000" w:themeColor="text1"/>
                <w:sz w:val="22"/>
                <w:szCs w:val="22"/>
              </w:rPr>
              <w:t xml:space="preserve">Функциональные, технические и качественные характеристики, эксплуатационные характеристики Товара </w:t>
            </w:r>
          </w:p>
        </w:tc>
      </w:tr>
      <w:tr>
        <w:trPr>
          <w:trHeight w:val="70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PT Astra Serif" w:cs="Times New Roman" w:ascii="PT Astra Serif;Times New Roman" w:hAnsi="PT Astra Serif;Times New Roman"/>
                <w:i/>
                <w:iCs/>
                <w:color w:val="000000" w:themeColor="text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PT Astra Serif" w:cs="Times New Roman" w:ascii="PT Astra Serif;Times New Roman" w:hAnsi="PT Astra Serif;Times New Roman"/>
                <w:i/>
                <w:iCs/>
                <w:color w:val="000000" w:themeColor="text1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34" w:hanging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i/>
                <w:iCs/>
                <w:color w:val="000000"/>
                <w:sz w:val="22"/>
                <w:szCs w:val="22"/>
              </w:rPr>
              <w:t>Единица измерения характеристики</w:t>
            </w:r>
          </w:p>
        </w:tc>
      </w:tr>
      <w:tr>
        <w:trPr>
          <w:trHeight w:val="285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contextualSpacing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Погоны серо-синего цвета с 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 просветами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Пара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035" w:leader="none"/>
                <w:tab w:val="left" w:pos="2205" w:leader="none"/>
              </w:tabs>
              <w:spacing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sz w:val="22"/>
                <w:szCs w:val="22"/>
              </w:rPr>
            </w:pPr>
            <w:r>
              <w:rPr>
                <w:rStyle w:val="Style29"/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14.19.23.210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Ширина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" w:cs="Times New Roman" w:ascii="PT Astra Serif;Times New Roman" w:hAnsi="PT Astra Serif;Times New Roman" w:eastAsiaTheme="minorEastAsia"/>
                <w:sz w:val="22"/>
                <w:szCs w:val="22"/>
              </w:rPr>
              <w:t>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14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Длина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" w:cs="Times New Roman" w:ascii="PT Astra Serif;Times New Roman" w:hAnsi="PT Astra Serif;Times New Roman" w:eastAsiaTheme="minorEastAsia"/>
                <w:sz w:val="22"/>
                <w:szCs w:val="22"/>
              </w:rPr>
              <w:t>13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highlight w:val="white"/>
                <w:lang w:eastAsia="ru-RU"/>
              </w:rPr>
              <w:t>Ширина канта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0,25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  <w:highlight w:val="white"/>
                <w:lang w:eastAsia="ru-RU"/>
              </w:rPr>
              <w:t>Ширина просвета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Сантиметр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sz w:val="22"/>
                <w:szCs w:val="22"/>
                <w:shd w:fill="FFFFFF" w:val="clear"/>
              </w:rPr>
              <w:t>Внешний вид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 xml:space="preserve">Погоны старшего начальствующего </w:t>
            </w:r>
            <w:r>
              <w:rPr>
                <w:rFonts w:eastAsia="Times New Roman" w:cs="Times New Roman" w:ascii="PT Astra Serif;Times New Roman" w:hAnsi="PT Astra Serif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состава</w:t>
            </w: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  <w:lang w:eastAsia="ru-RU"/>
              </w:rPr>
              <w:t xml:space="preserve"> серо-синего цвета, съемные, с 2 (двумя) просветами, с закругленным верхним краем, втачным кантом по всем сторонам погон, кроме нижней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-</w:t>
            </w:r>
          </w:p>
        </w:tc>
      </w:tr>
      <w:tr>
        <w:trPr>
          <w:trHeight w:val="2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numPr>
                <w:ilvl w:val="0"/>
                <w:numId w:val="2"/>
              </w:numPr>
              <w:spacing w:before="0" w:after="0"/>
              <w:ind w:left="720" w:right="0" w:hanging="360"/>
              <w:jc w:val="center"/>
              <w:rPr>
                <w:rFonts w:ascii="PT Astra Serif;Times New Roman" w:hAnsi="PT Astra Serif;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sz w:val="22"/>
                <w:szCs w:val="22"/>
              </w:rPr>
              <w:t>Основа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sz w:val="22"/>
                <w:szCs w:val="22"/>
                <w:lang w:eastAsia="ru-RU"/>
              </w:rPr>
              <w:t>Пластик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-</w:t>
            </w:r>
          </w:p>
        </w:tc>
      </w:tr>
    </w:tbl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PT Astra Serif;Times New Roman" w:cs="PT Astra Serif" w:ascii="PT Astra Serif;Times New Roman" w:hAnsi="PT Astra Serif;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eastAsia="ar-SA"/>
        </w:rPr>
        <w:t xml:space="preserve">* </w:t>
      </w:r>
      <w:r>
        <w:rPr>
          <w:rFonts w:ascii="PT Astra Serif;Times New Roman" w:hAnsi="PT Astra Serif;Times New Roman"/>
          <w:b/>
          <w:bCs/>
          <w:i w:val="false"/>
          <w:iCs w:val="false"/>
          <w:color w:val="000000"/>
          <w:sz w:val="22"/>
          <w:szCs w:val="22"/>
        </w:rPr>
        <w:t>Инструкция по заполнению заявки: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 xml:space="preserve">В соответствии с пунктом 1 постановления Правительства Российской Федерации от 23.12.2014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— постановление Правительства РФ от 23.12.2024 №1875) </w:t>
      </w:r>
      <w:r>
        <w:rPr>
          <w:rFonts w:eastAsia="Times New Roman" w:cs="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>установлен запрет закупок товаров, происходящих из иностранных государств.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firstLine="567"/>
        <w:jc w:val="both"/>
        <w:rPr>
          <w:rFonts w:ascii="PT Astra Serif;Times New Roman" w:hAnsi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ru-RU" w:bidi="ar-SA"/>
        </w:rPr>
        <w:t>Информацией и документами, подтверждающими страну происхождения Товара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- для подтверждения происхождения товаров </w:t>
      </w:r>
      <w:bookmarkStart w:id="20" w:name="p_15179"/>
      <w:bookmarkEnd w:id="20"/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из Российской Федерации -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номер реестровой записи из реестра российской промышленной продукции</w:t>
      </w: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,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 предусмотренного статьей 17.1 Федерального закона 31 декабря 2014 г. № 488-ФЗ «О промышленной политике в Российской Федерации»,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и справка, подтверждающая наличие специального инвестиционного контракта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 и предусмотренная пунктом 1.1 постановления Правительства Российской Федерации от 17 июля 2015 г. № 719 «О подтверждении производства российской промышленной продукции» (далее — постановление Правительства от 17.07.2015 №719),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или номер реестровой записи из реестра российской промышленной продукции, содержащей в том числе: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bookmarkStart w:id="21" w:name="p_15180"/>
      <w:bookmarkEnd w:id="21"/>
      <w:r>
        <w:rPr>
          <w:rFonts w:ascii="PT Astra Serif;Times New Roman" w:hAnsi="PT Astra Serif;Times New Roman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  <w:t>информацию о совокупном количестве баллов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 за выполнение (освоение) на территории Российской Федерации соответствующих операций (условий) </w:t>
      </w:r>
      <w:r>
        <w:rPr>
          <w:rFonts w:ascii="PT Astra Serif;Times New Roman" w:hAnsi="PT Astra Serif;Times New Roman"/>
          <w:b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>(если в отношении такого товара постановлением Правительства Российской Федерации от 17.07.2015 № 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, которое составляет или превышает значение, определенное постановлением Правительства Российской Федерации от 17.07.2015 № 719, включая значение, определенное для целей осуществления закупок (если постановлением Правительства Российской Федерации от 17.07.2015 № 719 в отношении такого товара определено значение для целей осуществления закупок);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- для подтверждения происхождения товаров </w:t>
      </w:r>
      <w:bookmarkStart w:id="22" w:name="p_12"/>
      <w:bookmarkEnd w:id="22"/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из государств - членов Евразийского экономического союза, за исключением Российской Федерации, - </w:t>
      </w:r>
      <w:r>
        <w:rPr>
          <w:rFonts w:eastAsia="Times New Roman" w:cs="PT Astra Serif;Times New Roman" w:ascii="PT Astra Serif;Times New Roman" w:hAnsi="PT Astra Serif;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номер реестровой записи из евразийского реестра промышленных товаров государств - членов Евразийского экономического союза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 xml:space="preserve">, порядок формирования и ведения которого устанавливается правом Евразийского экономического союза (далее - евразийский реестр промышленных товаров), </w:t>
      </w:r>
      <w:r>
        <w:rPr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u w:val="none"/>
          <w:vertAlign w:val="baseline"/>
          <w:em w:val="none"/>
          <w:lang w:val="ru-RU" w:eastAsia="zh-CN" w:bidi="ar-SA"/>
        </w:rPr>
        <w:t>содержащей в том числе: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bookmarkStart w:id="23" w:name="p_13"/>
      <w:bookmarkEnd w:id="23"/>
      <w:r>
        <w:rPr>
          <w:rFonts w:ascii="PT Astra Serif;Times New Roman" w:hAnsi="PT Astra Serif;Times New Roman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  <w:t>информацию о совокупном количестве баллов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 за выполнение (освоение) на территории Евразийского экономического союза соответствующих операций (условий) </w:t>
      </w:r>
      <w:r>
        <w:rPr>
          <w:rFonts w:ascii="PT Astra Serif;Times New Roman" w:hAnsi="PT Astra Serif;Times New Roman"/>
          <w:b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>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</w:t>
      </w:r>
      <w:r>
        <w:rPr>
          <w:rFonts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, которое составляет или превышает значение, определенное правом Евразийского экономического союза.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>В случае указания в Описании объекта закупки товарных знаков и Заказчиком установлена возможность поставки эквивалента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pacing w:val="0"/>
          <w:sz w:val="22"/>
          <w:szCs w:val="22"/>
          <w:lang w:eastAsia="ar-SA"/>
        </w:rPr>
        <w:t>, у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 xml:space="preserve">частник закупки указывает товарный знак (при наличии у товара товарного знака) без слов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  <w:lang w:eastAsia="ar-SA"/>
        </w:rPr>
        <w:t>«или эквивалент», «аналог».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Предложение участника закупки в отношении товаров, в том числе поставляемых заказчику при выполнении закупаемых работ, оказании закупаемых услуг,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</w:rPr>
        <w:t>не должно сопровождаться словами: «аналог»,  «или эквивалент»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eastAsia="Calibri" w:cs="PT Astra Serif;Times New Roman" w:ascii="PT Astra Serif;Times New Roman" w:hAnsi="PT Astra Serif;Times New Roman"/>
          <w:i/>
          <w:iCs/>
          <w:color w:val="000000"/>
          <w:sz w:val="22"/>
          <w:szCs w:val="22"/>
          <w:lang w:eastAsia="ar-SA"/>
        </w:rPr>
        <w:t>Значения характеристики Товара остаются неизменными и указываются в том виде, в котором они установлены Заказчиком.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bookmarkStart w:id="24" w:name="_Hlk12632738311"/>
      <w:bookmarkStart w:id="25" w:name="_Ref248562452"/>
      <w:bookmarkStart w:id="26" w:name="_Ref248562863"/>
      <w:r>
        <w:rPr>
          <w:rStyle w:val="Ikzvalue"/>
          <w:rFonts w:eastAsia="Calibri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highlight w:val="white"/>
          <w:u w:val="none"/>
          <w:vertAlign w:val="baseline"/>
          <w:em w:val="none"/>
          <w:lang w:val="ru-RU" w:eastAsia="en-US" w:bidi="ar-SA"/>
        </w:rPr>
        <w:t>В случае предоставления участником закупочной сессии характеристик не соответствующих требованиям, установленным в настоящем Описании объекта закупки, предложение такого участника подлежит отклонению.</w:t>
      </w:r>
      <w:bookmarkEnd w:id="24"/>
      <w:bookmarkEnd w:id="25"/>
      <w:bookmarkEnd w:id="26"/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34" w:firstLine="567"/>
        <w:jc w:val="both"/>
        <w:rPr>
          <w:rStyle w:val="Dblock"/>
          <w:rFonts w:ascii="PT Astra Serif;Times New Roman" w:hAnsi="PT Astra Serif;Times New Roman" w:eastAsia="SimSun" w:cs="PT Astra Serif;Times New Roman"/>
          <w:b w:val="false"/>
          <w:b w:val="false"/>
          <w:bCs/>
          <w:i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pPr>
      <w:r>
        <w:rPr>
          <w:rFonts w:eastAsia="SimSun" w:cs="PT Astra Serif;Times New Roman" w:ascii="PT Astra Serif;Times New Roman" w:hAnsi="PT Astra Serif;Times New Roman"/>
          <w:b w:val="false"/>
          <w:bCs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before="0" w:after="0"/>
        <w:ind w:left="0" w:right="0" w:firstLine="567"/>
        <w:jc w:val="both"/>
        <w:rPr>
          <w:rFonts w:ascii="PT Astra Serif;Times New Roman" w:hAnsi="PT Astra Serif;Times New Roman"/>
          <w:b/>
          <w:b/>
          <w:sz w:val="22"/>
          <w:szCs w:val="22"/>
        </w:rPr>
      </w:pPr>
      <w:r>
        <w:rPr>
          <w:rFonts w:ascii="PT Astra Serif;Times New Roman" w:hAnsi="PT Astra Serif;Times New Roman"/>
          <w:b/>
          <w:sz w:val="22"/>
          <w:szCs w:val="22"/>
        </w:rPr>
        <w:t>2. Условия исполнения Контракта: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</w:t>
      </w:r>
      <w:r>
        <w:rPr>
          <w:rFonts w:cs="Times New Roman" w:ascii="PT Astra Serif;Times New Roman" w:hAnsi="PT Astra Serif;Times New Roman"/>
          <w:b w:val="false"/>
          <w:bCs w:val="false"/>
          <w:sz w:val="22"/>
          <w:szCs w:val="22"/>
        </w:rPr>
        <w:t>.2. Товар должен быть упакован и маркирован в соответствии с установленными для данного вида Товаров стандартами и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Товар не должен иметь внутренних и внешних дефектов, в том числе не влияющих на возможность использования Товара по назначению.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2.3. Каждая пара должна быть упакована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  <w:lang w:eastAsia="ru-RU"/>
        </w:rPr>
        <w:t>в пакетики ПВД с защелкой или упакованы в оберточную бумагу по ГОСТ 8273-75 «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ru-RU"/>
        </w:rPr>
        <w:t>Бумага оберточная. Технические условия».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2.4. Требования к гарантии качества Товара: Поставщик обязан поставить Заказчику Товар, качество которого соответствует требованиям действующих в Российской Федерации санитарных и фитосанитарных норм, технических регламентов и других актов, установленных для данного вида Товара и пригодный для целей, для которых Товар такого рода обычно используется в течение определенного гарантийного срока.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2.5. Требования к гарантийному сроку Товара: гарантийный срок Поставщика на поставляемый Товар составляет </w:t>
      </w:r>
      <w:r>
        <w:rPr>
          <w:rFonts w:eastAsia="SimSun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hi-IN" w:bidi="hi-IN"/>
        </w:rPr>
        <w:t xml:space="preserve">не менее 12 (двенадцати) месяцев с момента подписания Заказчиком товарной накладной (или универсального передаточного документа) и 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Акта приемки товаров, работ, услуг по форме ОКУД 0510452.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объему предоставления гарантии качества: 100 % (сто процентов) на весь объём поставленного Товара.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гарантийному обслуживанию Товара: при обнаружении в период гарантийного срока несоответствий и/или недостатков Товара, Поставщик обязан устранить несоответствия и/или недостатки Товара или заменить Товар ненадлежащего качества новым Товаром надлежащего качества в соответствии с требованиями настоящего Описания объекта закупки в течение 10 (десяти) рабочих дней с момента заявления Заказчиком соответствующего требования, если Заказчиком не установлен иной срок.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2.6. В случае устранения несоответствий и/или недостатков Товара в период гарантийного срока Товара этот срок продлевается на время, в течение которого товар не использовался из-за обнаружения несоответствий и/или недостатков. При замене Товара гарантийный срок исчисляется заново со дня замены и равен установленному настоящим Описанием объекта закупки гарантийному сроку на замененный Товар. </w:t>
      </w:r>
    </w:p>
    <w:p>
      <w:pPr>
        <w:pStyle w:val="Normal"/>
        <w:widowControl/>
        <w:tabs>
          <w:tab w:val="clear" w:pos="709"/>
          <w:tab w:val="left" w:pos="567" w:leader="none"/>
        </w:tabs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bidi="ru-RU"/>
        </w:rPr>
        <w:t>2.7. В период действия гарантийного срока устранение несоответствий и/или недостатков, а также замена Товара осуществляется Поставщиком за свой счёт и своими силами, если Поставщик не докажет, что несоответствия и/или недостатки произошли вследствие нормального износа или неправильной эксплуатации Товара Заказчиком, не являются результатом действия непреодолимой силы, небрежности или повреждения со стороны Заказчика или третьих лиц.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true"/>
        <w:bidi w:val="0"/>
        <w:spacing w:before="0" w:after="0"/>
        <w:ind w:firstLine="567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true"/>
        <w:bidi w:val="0"/>
        <w:spacing w:before="0" w:after="0"/>
        <w:ind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3576" w:type="dxa"/>
        <w:jc w:val="left"/>
        <w:tblInd w:w="109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9"/>
        <w:gridCol w:w="6566"/>
      </w:tblGrid>
      <w:tr>
        <w:trPr/>
        <w:tc>
          <w:tcPr>
            <w:tcW w:w="7009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6566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7009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6566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/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567" w:right="567" w:header="567" w:top="1191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Arial Unicode MS">
    <w:charset w:val="01"/>
    <w:family w:val="roman"/>
    <w:pitch w:val="default"/>
  </w:font>
  <w:font w:name="TimesET">
    <w:altName w:val="Times New Roman"/>
    <w:charset w:val="01"/>
    <w:family w:val="roman"/>
    <w:pitch w:val="default"/>
  </w:font>
  <w:font w:name="TimesET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Arial Narrow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полное наименование организации-поставщика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предпринимателя.</w:t>
      </w:r>
    </w:p>
  </w:footnote>
  <w:footnote w:id="3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фамилия, имя и отчество (при наличии), а также должность (при наличии) представителя поставщика, уполномоченного на подписание государственного контракта.</w:t>
      </w:r>
    </w:p>
  </w:footnote>
  <w:footnote w:id="4">
    <w:p>
      <w:pPr>
        <w:pStyle w:val="Style62"/>
        <w:widowControl/>
        <w:suppressAutoHyphens w:val="true"/>
        <w:bidi w:val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документ (акт) со всеми реквизитами, на основании которого действует представитель поставщика, уполномоченный на подписание государственного контракта.</w:t>
      </w:r>
    </w:p>
  </w:footnote>
  <w:footnote w:id="5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>Включается в Контракт при условии, если Заказчику направлен итоговый протокол закупочной сессии с информацией о победителе закупочной сессии (или единственном участнике закупочной сессии).</w:t>
      </w:r>
    </w:p>
  </w:footnote>
  <w:footnote w:id="6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  <w:color w:val="000000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 xml:space="preserve"> в случае, если Контракт заключается с лицами, являющимися в соответствии с Налоговым кодексом Российской Федерации плательщиками НДС.</w:t>
      </w:r>
    </w:p>
  </w:footnote>
  <w:footnote w:id="7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 xml:space="preserve"> в случае, если Контракт заключается с лицами, не являющимися в соответствии с Налоговым кодексом Российской Федерации плательщиками НДС, с указанием основания освобождения.</w:t>
      </w:r>
    </w:p>
  </w:footnote>
  <w:footnote w:id="8">
    <w:p>
      <w:pPr>
        <w:pStyle w:val="Style38"/>
        <w:shd w:val="clear" w:fill="FFFFFF"/>
        <w:spacing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а) 1000 рублей, если цена контракта не превышает 3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г) 100000 рублей, если цена контракта превышает 100 млн. рублей.</w:t>
      </w:r>
    </w:p>
  </w:footnote>
  <w:footnote w:id="9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7" w:name="p_18"/>
      <w:bookmarkEnd w:id="27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8" w:name="p_19"/>
      <w:bookmarkEnd w:id="28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9" w:name="p_20"/>
      <w:bookmarkEnd w:id="29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0" w:name="p_21"/>
      <w:bookmarkEnd w:id="30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1" w:name="p_22"/>
      <w:bookmarkEnd w:id="31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2" w:name="p_23"/>
      <w:bookmarkEnd w:id="32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3" w:name="p_24"/>
      <w:bookmarkEnd w:id="33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4" w:name="p_25"/>
      <w:bookmarkEnd w:id="34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5" w:name="p_26"/>
      <w:bookmarkEnd w:id="35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</w:footnote>
  <w:footnote w:id="10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6" w:name="p_36"/>
      <w:bookmarkEnd w:id="36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1000 рублей, если цена контракта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7" w:name="p_37"/>
      <w:bookmarkEnd w:id="37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8" w:name="p_38"/>
      <w:bookmarkEnd w:id="38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9" w:name="p_39"/>
      <w:bookmarkEnd w:id="39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100000 рублей, если цена контракта превышает 100 млн. рублей.</w:t>
      </w:r>
    </w:p>
  </w:footnote>
  <w:footnote w:id="11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i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>В случае заключения Контракта по результатам электронной процедуры данный пункт излагается в следующей редакции: «Контракт составлен в форме электронного документа, подписанного усиленными электронными подписями Сторон».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8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12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</w:rPr>
    </w:pPr>
    <w:r>
      <w:rPr>
        <w:rFonts w:cs="PT Astra Serif;Times New Roman" w:ascii="PT Astra Serif;Times New Roman" w:hAnsi="PT Astra Serif;Times New Roman"/>
      </w:rPr>
      <w:fldChar w:fldCharType="begin"/>
    </w:r>
    <w:r>
      <w:rPr>
        <w:rFonts w:cs="PT Astra Serif;Times New Roman" w:ascii="PT Astra Serif;Times New Roman" w:hAnsi="PT Astra Serif;Times New Roman"/>
      </w:rPr>
      <w:instrText> PAGE </w:instrText>
    </w:r>
    <w:r>
      <w:rPr>
        <w:rFonts w:cs="PT Astra Serif;Times New Roman" w:ascii="PT Astra Serif;Times New Roman" w:hAnsi="PT Astra Serif;Times New Roman"/>
      </w:rPr>
      <w:fldChar w:fldCharType="separate"/>
    </w:r>
    <w:r>
      <w:rPr>
        <w:rFonts w:cs="PT Astra Serif;Times New Roman" w:ascii="PT Astra Serif;Times New Roman" w:hAnsi="PT Astra Serif;Times New Roman"/>
      </w:rPr>
      <w:t>10</w:t>
    </w:r>
    <w:r>
      <w:rPr>
        <w:rFonts w:cs="PT Astra Serif;Times New Roman" w:ascii="PT Astra Serif;Times New Roman" w:hAnsi="PT Astra Serif;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i w:val="false"/>
    </w:rPr>
  </w:style>
  <w:style w:type="character" w:styleId="WW8Num2z1">
    <w:name w:val="WW8Num2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2z2">
    <w:name w:val="WW8Num2z2"/>
    <w:qFormat/>
    <w:rPr>
      <w:b w:val="false"/>
      <w:bCs w:val="false"/>
      <w:i w:val="false"/>
      <w:iCs w:val="false"/>
    </w:rPr>
  </w:style>
  <w:style w:type="character" w:styleId="WW8Num2z3">
    <w:name w:val="WW8Num2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2z4">
    <w:name w:val="WW8Num2z4"/>
    <w:qFormat/>
    <w:rPr/>
  </w:style>
  <w:style w:type="character" w:styleId="WW8Num2z5">
    <w:name w:val="WW8Num2z5"/>
    <w:qFormat/>
    <w:rPr>
      <w:rFonts w:ascii="Symbol" w:hAnsi="Symbol" w:cs="Symbol"/>
    </w:rPr>
  </w:style>
  <w:style w:type="character" w:styleId="WW8Num3z0">
    <w:name w:val="WW8Num3z0"/>
    <w:qFormat/>
    <w:rPr>
      <w:b/>
      <w:i w:val="false"/>
    </w:rPr>
  </w:style>
  <w:style w:type="character" w:styleId="WW8Num3z1">
    <w:name w:val="WW8Num3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3z2">
    <w:name w:val="WW8Num3z2"/>
    <w:qFormat/>
    <w:rPr>
      <w:b w:val="false"/>
      <w:bCs w:val="false"/>
      <w:i w:val="false"/>
      <w:iCs w:val="false"/>
    </w:rPr>
  </w:style>
  <w:style w:type="character" w:styleId="WW8Num3z3">
    <w:name w:val="WW8Num3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3z4">
    <w:name w:val="WW8Num3z4"/>
    <w:qFormat/>
    <w:rPr/>
  </w:style>
  <w:style w:type="character" w:styleId="WW8Num3z5">
    <w:name w:val="WW8Num3z5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  <w:i w:val="false"/>
    </w:rPr>
  </w:style>
  <w:style w:type="character" w:styleId="WW8Num14z1">
    <w:name w:val="WW8Num1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14z2">
    <w:name w:val="WW8Num14z2"/>
    <w:qFormat/>
    <w:rPr>
      <w:b w:val="false"/>
      <w:bCs w:val="false"/>
      <w:i w:val="false"/>
      <w:iCs w:val="false"/>
    </w:rPr>
  </w:style>
  <w:style w:type="character" w:styleId="WW8Num14z3">
    <w:name w:val="WW8Num1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14z4">
    <w:name w:val="WW8Num14z4"/>
    <w:qFormat/>
    <w:rPr/>
  </w:style>
  <w:style w:type="character" w:styleId="WW8Num14z5">
    <w:name w:val="WW8Num14z5"/>
    <w:qFormat/>
    <w:rPr>
      <w:rFonts w:ascii="Symbol" w:hAnsi="Symbol" w:cs="Symbol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Times New Roman" w:hAnsi="Times New Roman" w:cs="Times New Roman"/>
      <w:b/>
      <w:sz w:val="22"/>
      <w:szCs w:val="22"/>
      <w:lang w:val="ru-RU"/>
    </w:rPr>
  </w:style>
  <w:style w:type="character" w:styleId="WW8Num16z1">
    <w:name w:val="WW8Num16z1"/>
    <w:qFormat/>
    <w:rPr>
      <w:rFonts w:ascii="Times New Roman" w:hAnsi="Times New Roman" w:cs="Times New Roman"/>
      <w:b w:val="false"/>
      <w:sz w:val="22"/>
      <w:szCs w:val="22"/>
      <w:lang w:val="ru-RU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color w:val="000000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cs="Times New Roman"/>
      <w:b/>
    </w:rPr>
  </w:style>
  <w:style w:type="character" w:styleId="WW8Num28z1">
    <w:name w:val="WW8Num28z1"/>
    <w:qFormat/>
    <w:rPr>
      <w:rFonts w:cs="Times New Roman"/>
    </w:rPr>
  </w:style>
  <w:style w:type="character" w:styleId="WW8NumSt17z0">
    <w:name w:val="WW8NumSt17z0"/>
    <w:qFormat/>
    <w:rPr>
      <w:b/>
    </w:rPr>
  </w:style>
  <w:style w:type="character" w:styleId="WW8NumSt17z1">
    <w:name w:val="WW8NumSt17z1"/>
    <w:qFormat/>
    <w:rPr>
      <w:b w:val="false"/>
    </w:rPr>
  </w:style>
  <w:style w:type="character" w:styleId="WW8NumSt17z2">
    <w:name w:val="WW8NumSt17z2"/>
    <w:qFormat/>
    <w:rPr/>
  </w:style>
  <w:style w:type="character" w:styleId="11">
    <w:name w:val="Основной шрифт абзаца1"/>
    <w:qFormat/>
    <w:rPr/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b/>
      <w:caps/>
      <w:sz w:val="24"/>
      <w:szCs w:val="24"/>
    </w:rPr>
  </w:style>
  <w:style w:type="character" w:styleId="Style13">
    <w:name w:val="Интернет-ссылка"/>
    <w:rPr>
      <w:color w:val="0000FF"/>
      <w:u w:val="single"/>
    </w:rPr>
  </w:style>
  <w:style w:type="character" w:styleId="S10">
    <w:name w:val="s_10"/>
    <w:basedOn w:val="11"/>
    <w:qFormat/>
    <w:rPr/>
  </w:style>
  <w:style w:type="character" w:styleId="Style14">
    <w:name w:val="Гипертекстовая ссылка"/>
    <w:qFormat/>
    <w:rPr>
      <w:color w:val="106BBE"/>
    </w:rPr>
  </w:style>
  <w:style w:type="character" w:styleId="Style15">
    <w:name w:val="Текст выноски Знак"/>
    <w:qFormat/>
    <w:rPr>
      <w:rFonts w:ascii="Segoe UI" w:hAnsi="Segoe UI" w:eastAsia="Times New Roman" w:cs="Segoe UI"/>
      <w:bCs/>
      <w:sz w:val="18"/>
      <w:szCs w:val="18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zh-CN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bCs/>
      <w:szCs w:val="28"/>
    </w:rPr>
  </w:style>
  <w:style w:type="character" w:styleId="ConsPlusNormal">
    <w:name w:val="ConsPlusNormal Знак"/>
    <w:qFormat/>
    <w:rPr>
      <w:rFonts w:ascii="Arial" w:hAnsi="Arial" w:eastAsia="Times New Roman" w:cs="Arial"/>
      <w:sz w:val="22"/>
      <w:szCs w:val="22"/>
      <w:lang w:bidi="ar-SA"/>
    </w:rPr>
  </w:style>
  <w:style w:type="character" w:styleId="Iceouttxt5">
    <w:name w:val="iceouttxt5"/>
    <w:qFormat/>
    <w:rPr>
      <w:rFonts w:ascii="Arial" w:hAnsi="Arial" w:cs="Arial"/>
      <w:color w:val="666666"/>
      <w:sz w:val="13"/>
    </w:rPr>
  </w:style>
  <w:style w:type="character" w:styleId="Style17">
    <w:name w:val="Основной текст с отступом Знак"/>
    <w:qFormat/>
    <w:rPr>
      <w:rFonts w:ascii="Arial Unicode MS" w:hAnsi="Arial Unicode MS" w:eastAsia="Arial Unicode MS" w:cs="Times New Roman"/>
      <w:color w:val="000000"/>
      <w:sz w:val="24"/>
      <w:szCs w:val="24"/>
      <w:lang w:val="en-US" w:eastAsia="zh-CN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18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Style19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20">
    <w:name w:val="Основной текст_"/>
    <w:qFormat/>
    <w:rPr>
      <w:spacing w:val="4"/>
      <w:shd w:fill="FFFFFF" w:val="clear"/>
    </w:rPr>
  </w:style>
  <w:style w:type="character" w:styleId="Style21">
    <w:name w:val="Верхний колонтитул Знак"/>
    <w:qFormat/>
    <w:rPr>
      <w:rFonts w:ascii="Times New Roman" w:hAnsi="Times New Roman" w:eastAsia="Times New Roman" w:cs="Times New Roman"/>
      <w:bCs/>
      <w:sz w:val="22"/>
      <w:szCs w:val="28"/>
    </w:rPr>
  </w:style>
  <w:style w:type="character" w:styleId="Blk">
    <w:name w:val="blk"/>
    <w:basedOn w:val="11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bidi="en-US"/>
    </w:rPr>
  </w:style>
  <w:style w:type="character" w:styleId="Titleinfotitletext">
    <w:name w:val="title-info-title-text"/>
    <w:qFormat/>
    <w:rPr/>
  </w:style>
  <w:style w:type="character" w:styleId="22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Pinkbg">
    <w:name w:val="pinkbg"/>
    <w:qFormat/>
    <w:rPr/>
  </w:style>
  <w:style w:type="character" w:styleId="Highlightsearch">
    <w:name w:val="highlightsearch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Style24">
    <w:name w:val="Без интервала Знак"/>
    <w:qFormat/>
    <w:rPr>
      <w:rFonts w:eastAsia="Times New Roman"/>
      <w:sz w:val="22"/>
      <w:szCs w:val="22"/>
      <w:lang w:eastAsia="zh-CN" w:bidi="ar-SA"/>
    </w:rPr>
  </w:style>
  <w:style w:type="character" w:styleId="Style25">
    <w:name w:val="Неразрешенное упоминание"/>
    <w:qFormat/>
    <w:rPr>
      <w:color w:val="605E5C"/>
      <w:shd w:fill="E1DFDD" w:val="clear"/>
    </w:rPr>
  </w:style>
  <w:style w:type="character" w:styleId="Dblock">
    <w:name w:val="d-block"/>
    <w:qFormat/>
    <w:rPr/>
  </w:style>
  <w:style w:type="character" w:styleId="Highlightsearch4">
    <w:name w:val="highlightsearch4"/>
    <w:qFormat/>
    <w:rPr/>
  </w:style>
  <w:style w:type="character" w:styleId="Cardmaininfotitle2">
    <w:name w:val="cardmaininfo__title2"/>
    <w:qFormat/>
    <w:rPr>
      <w:color w:val="909EBB"/>
    </w:rPr>
  </w:style>
  <w:style w:type="character" w:styleId="Cardmaininfocontent2">
    <w:name w:val="cardmaininfo__content2"/>
    <w:qFormat/>
    <w:rPr>
      <w:vanish w:val="false"/>
    </w:rPr>
  </w:style>
  <w:style w:type="character" w:styleId="S104">
    <w:name w:val="s_104"/>
    <w:qFormat/>
    <w:rPr/>
  </w:style>
  <w:style w:type="character" w:styleId="Style26">
    <w:name w:val="Цветовое выделение"/>
    <w:qFormat/>
    <w:rPr>
      <w:b/>
      <w:color w:val="26282F"/>
    </w:rPr>
  </w:style>
  <w:style w:type="character" w:styleId="CharChar">
    <w:name w:val="Обычный Char Char"/>
    <w:qFormat/>
    <w:rPr>
      <w:rFonts w:ascii="TimesET;Times New Roman" w:hAnsi="TimesET;Times New Roman" w:eastAsia="Times New Roman" w:cs="TimesET;Times New Roman"/>
      <w:sz w:val="24"/>
      <w:szCs w:val="24"/>
      <w:lang w:bidi="ar-SA"/>
    </w:rPr>
  </w:style>
  <w:style w:type="character" w:styleId="Style27">
    <w:name w:val="Выделение"/>
    <w:qFormat/>
    <w:rPr>
      <w:i/>
      <w:iCs/>
    </w:rPr>
  </w:style>
  <w:style w:type="character" w:styleId="Searchresult2">
    <w:name w:val="search_result2"/>
    <w:qFormat/>
    <w:rPr/>
  </w:style>
  <w:style w:type="character" w:styleId="Style28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Ikzvalue">
    <w:name w:val="ikzvalue"/>
    <w:qFormat/>
    <w:rPr/>
  </w:style>
  <w:style w:type="character" w:styleId="Style29">
    <w:name w:val="Выделение жирным"/>
    <w:qFormat/>
    <w:rPr>
      <w:b/>
      <w:bCs/>
    </w:rPr>
  </w:style>
  <w:style w:type="character" w:styleId="23">
    <w:name w:val="Знак сноски2"/>
    <w:qFormat/>
    <w:rPr>
      <w:vertAlign w:val="superscript"/>
    </w:rPr>
  </w:style>
  <w:style w:type="character" w:styleId="Style30">
    <w:name w:val="Символ концевой сноски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Style31">
    <w:name w:val="Символ нумерации"/>
    <w:qFormat/>
    <w:rPr/>
  </w:style>
  <w:style w:type="character" w:styleId="Style32">
    <w:name w:val="Посещённая гиперссылка"/>
    <w:rPr>
      <w:color w:val="800000"/>
      <w:u w:val="single"/>
      <w:lang w:val="zxx" w:bidi="zxx"/>
    </w:rPr>
  </w:style>
  <w:style w:type="character" w:styleId="15">
    <w:name w:val="Знак сноски1"/>
    <w:qFormat/>
    <w:rPr>
      <w:vertAlign w:val="superscript"/>
    </w:rPr>
  </w:style>
  <w:style w:type="character" w:styleId="32">
    <w:name w:val="Знак сноски3"/>
    <w:qFormat/>
    <w:rPr>
      <w:vertAlign w:val="superscript"/>
    </w:rPr>
  </w:style>
  <w:style w:type="character" w:styleId="24">
    <w:name w:val="Знак концевой сноски2"/>
    <w:qFormat/>
    <w:rPr>
      <w:vertAlign w:val="superscript"/>
    </w:rPr>
  </w:style>
  <w:style w:type="character" w:styleId="Style33">
    <w:name w:val="Знак сноски"/>
    <w:qFormat/>
    <w:rPr>
      <w:vertAlign w:val="superscript"/>
    </w:rPr>
  </w:style>
  <w:style w:type="character" w:styleId="Style34">
    <w:name w:val="Знак концевой сноски"/>
    <w:qFormat/>
    <w:rPr>
      <w:vertAlign w:val="superscript"/>
    </w:rPr>
  </w:style>
  <w:style w:type="character" w:styleId="Style35">
    <w:name w:val="Привязка сноски"/>
    <w:rPr>
      <w:vertAlign w:val="superscript"/>
    </w:rPr>
  </w:style>
  <w:style w:type="character" w:styleId="Style36">
    <w:name w:val="Привязка концевой сноски"/>
    <w:rPr>
      <w:vertAlign w:val="superscript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59pt">
    <w:name w:val="Основной текст (5) + 9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5">
    <w:name w:val="Основной текст (5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1">
    <w:name w:val="Основной текст (5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10">
    <w:name w:val="Обычный + 10 пт Знак"/>
    <w:qFormat/>
    <w:rPr>
      <w:rFonts w:ascii="TimesET" w:hAnsi="TimesET" w:eastAsia="TimesET" w:cs="TimesET"/>
      <w:sz w:val="24"/>
      <w:szCs w:val="24"/>
      <w:lang w:eastAsia="zh-CN"/>
    </w:rPr>
  </w:style>
  <w:style w:type="character" w:styleId="33">
    <w:name w:val="Знак концевой сноски3"/>
    <w:qFormat/>
    <w:rPr>
      <w:vertAlign w:val="superscript"/>
    </w:rPr>
  </w:style>
  <w:style w:type="character" w:styleId="4">
    <w:name w:val="Знак сноски4"/>
    <w:qFormat/>
    <w:rPr>
      <w:vertAlign w:val="superscript"/>
    </w:rPr>
  </w:style>
  <w:style w:type="character" w:styleId="41">
    <w:name w:val="Основной шрифт абзаца4"/>
    <w:qFormat/>
    <w:rPr/>
  </w:style>
  <w:style w:type="character" w:styleId="25">
    <w:name w:val="Основной текст (2)_"/>
    <w:basedOn w:val="DefaultParagraphFont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29pt">
    <w:name w:val="Основной текст (2) + 9 pt"/>
    <w:basedOn w:val="25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paragraph" w:styleId="Style37">
    <w:name w:val="Заголовок"/>
    <w:basedOn w:val="Normal"/>
    <w:next w:val="Style38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Style38">
    <w:name w:val="Body Text"/>
    <w:basedOn w:val="Normal"/>
    <w:pPr>
      <w:spacing w:before="0" w:after="120"/>
    </w:pPr>
    <w:rPr/>
  </w:style>
  <w:style w:type="paragraph" w:styleId="Style39">
    <w:name w:val="List"/>
    <w:basedOn w:val="Style38"/>
    <w:pPr/>
    <w:rPr>
      <w:rFonts w:ascii="PT Astra Serif;Times New Roman" w:hAnsi="PT Astra Serif;Times New Roman" w:cs="Noto Sans Devanagari;Times New Roman"/>
    </w:rPr>
  </w:style>
  <w:style w:type="paragraph" w:styleId="Style4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16">
    <w:name w:val="Название объекта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7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Style4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4">
    <w:name w:val="Footer"/>
    <w:basedOn w:val="Normal"/>
    <w:pPr/>
    <w:rPr>
      <w:b/>
      <w:caps/>
      <w:lang w:val="ru-RU"/>
    </w:rPr>
  </w:style>
  <w:style w:type="paragraph" w:styleId="Style45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b/>
      <w:bCs w:val="false"/>
      <w:caps/>
      <w:sz w:val="20"/>
      <w:szCs w:val="20"/>
    </w:rPr>
  </w:style>
  <w:style w:type="paragraph" w:styleId="18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1">
    <w:name w:val="s_1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22">
    <w:name w:val="s_22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9">
    <w:name w:val="s_9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6">
    <w:name w:val="Обычный (веб)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7">
    <w:name w:val="Абзац списка"/>
    <w:basedOn w:val="Normal"/>
    <w:qFormat/>
    <w:pPr>
      <w:spacing w:before="0" w:after="0"/>
      <w:ind w:left="720" w:right="0" w:hanging="0"/>
      <w:contextualSpacing/>
    </w:pPr>
    <w:rPr>
      <w:bCs/>
      <w:sz w:val="20"/>
      <w:szCs w:val="28"/>
      <w:lang w:val="ru-RU"/>
    </w:rPr>
  </w:style>
  <w:style w:type="paragraph" w:styleId="Style48">
    <w:name w:val="Комментарий"/>
    <w:basedOn w:val="Normal"/>
    <w:next w:val="Normal"/>
    <w:qFormat/>
    <w:pPr>
      <w:spacing w:before="75" w:after="0"/>
      <w:ind w:left="170" w:right="0" w:hanging="0"/>
      <w:jc w:val="both"/>
    </w:pPr>
    <w:rPr>
      <w:rFonts w:ascii="Arial" w:hAnsi="Arial" w:eastAsia="Calibri" w:cs="Arial"/>
      <w:bCs w:val="false"/>
      <w:color w:val="353842"/>
      <w:sz w:val="24"/>
      <w:szCs w:val="24"/>
      <w:shd w:fill="F0F0F0" w:val="clear"/>
    </w:rPr>
  </w:style>
  <w:style w:type="paragraph" w:styleId="Style49">
    <w:name w:val="Информация об изменениях документа"/>
    <w:basedOn w:val="Style48"/>
    <w:next w:val="Normal"/>
    <w:qFormat/>
    <w:pPr/>
    <w:rPr>
      <w:i/>
      <w:iCs/>
    </w:rPr>
  </w:style>
  <w:style w:type="paragraph" w:styleId="Style50">
    <w:name w:val="Текст выноски"/>
    <w:basedOn w:val="Normal"/>
    <w:qFormat/>
    <w:pPr/>
    <w:rPr>
      <w:rFonts w:ascii="Segoe UI" w:hAnsi="Segoe UI" w:cs="Segoe UI"/>
      <w:bCs/>
      <w:sz w:val="18"/>
      <w:szCs w:val="18"/>
      <w:lang w:val="ru-RU"/>
    </w:rPr>
  </w:style>
  <w:style w:type="paragraph" w:styleId="Style51">
    <w:name w:val="Раздел"/>
    <w:basedOn w:val="Normal"/>
    <w:qFormat/>
    <w:pPr>
      <w:spacing w:before="120" w:after="120"/>
      <w:ind w:left="720" w:right="0" w:hanging="720"/>
      <w:jc w:val="center"/>
    </w:pPr>
    <w:rPr>
      <w:rFonts w:ascii="Arial Narrow" w:hAnsi="Arial Narrow" w:cs="Arial Narrow"/>
      <w:b/>
      <w:sz w:val="28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3">
    <w:name w:val="Заголовок приложения"/>
    <w:basedOn w:val="Normal"/>
    <w:next w:val="Normal"/>
    <w:qFormat/>
    <w:pPr>
      <w:widowControl w:val="false"/>
      <w:spacing w:before="60" w:after="0"/>
      <w:jc w:val="center"/>
    </w:pPr>
    <w:rPr>
      <w:b/>
      <w:bCs w:val="false"/>
      <w:sz w:val="28"/>
      <w:szCs w:val="20"/>
    </w:rPr>
  </w:style>
  <w:style w:type="paragraph" w:styleId="19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napToGrid w:val="false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paragraph" w:styleId="Style54">
    <w:name w:val="Контракт-раздел"/>
    <w:basedOn w:val="Normal"/>
    <w:next w:val="Style55"/>
    <w:qFormat/>
    <w:pPr>
      <w:keepNext w:val="true"/>
      <w:suppressAutoHyphens w:val="true"/>
      <w:spacing w:before="360" w:after="120"/>
      <w:jc w:val="center"/>
    </w:pPr>
    <w:rPr>
      <w:b/>
      <w:caps/>
      <w:sz w:val="24"/>
      <w:szCs w:val="24"/>
    </w:rPr>
  </w:style>
  <w:style w:type="paragraph" w:styleId="Style55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6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8">
    <w:name w:val="Обычный + по ширине"/>
    <w:basedOn w:val="Normal"/>
    <w:qFormat/>
    <w:pPr>
      <w:jc w:val="both"/>
    </w:pPr>
    <w:rPr>
      <w:bCs w:val="false"/>
      <w:sz w:val="24"/>
      <w:szCs w:val="24"/>
    </w:rPr>
  </w:style>
  <w:style w:type="paragraph" w:styleId="Rtejustify">
    <w:name w:val="rtejustify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59">
    <w:name w:val="Body Text Indent"/>
    <w:basedOn w:val="Normal"/>
    <w:pPr>
      <w:suppressAutoHyphens w:val="true"/>
      <w:spacing w:before="0" w:after="120"/>
      <w:ind w:left="283" w:right="0" w:hanging="0"/>
    </w:pPr>
    <w:rPr>
      <w:rFonts w:ascii="Arial Unicode MS" w:hAnsi="Arial Unicode MS" w:eastAsia="Arial Unicode MS" w:cs="Arial Unicode MS"/>
      <w:color w:val="000000"/>
      <w:lang w:val="en-US" w:eastAsia="zh-CN"/>
    </w:rPr>
  </w:style>
  <w:style w:type="paragraph" w:styleId="110">
    <w:name w:val="Текст примечания1"/>
    <w:basedOn w:val="Normal"/>
    <w:qFormat/>
    <w:pPr/>
    <w:rPr>
      <w:bCs/>
      <w:sz w:val="20"/>
      <w:szCs w:val="20"/>
      <w:lang w:val="ru-RU"/>
    </w:rPr>
  </w:style>
  <w:style w:type="paragraph" w:styleId="Style60">
    <w:name w:val="Тема примечания"/>
    <w:basedOn w:val="110"/>
    <w:next w:val="110"/>
    <w:qFormat/>
    <w:pPr/>
    <w:rPr>
      <w:b/>
      <w:bCs w:val="false"/>
    </w:rPr>
  </w:style>
  <w:style w:type="paragraph" w:styleId="28">
    <w:name w:val="Основной текст2"/>
    <w:basedOn w:val="Normal"/>
    <w:qFormat/>
    <w:pPr>
      <w:widowControl w:val="false"/>
      <w:shd w:val="clear" w:fill="FFFFFF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val="ru-RU"/>
    </w:rPr>
  </w:style>
  <w:style w:type="paragraph" w:styleId="Style61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bCs/>
      <w:sz w:val="22"/>
      <w:szCs w:val="28"/>
      <w:lang w:val="ru-RU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</w:pPr>
    <w:rPr>
      <w:rFonts w:ascii="Courier New" w:hAnsi="Courier New" w:eastAsia="Courier New" w:cs="Courier New"/>
      <w:color w:val="000000"/>
      <w:sz w:val="20"/>
      <w:szCs w:val="20"/>
      <w:lang w:val="en-US" w:bidi="en-US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62">
    <w:name w:val="Footnote Text"/>
    <w:basedOn w:val="Normal"/>
    <w:pPr/>
    <w:rPr>
      <w:bCs/>
      <w:sz w:val="20"/>
      <w:szCs w:val="20"/>
      <w:lang w:val="ru-RU"/>
    </w:rPr>
  </w:style>
  <w:style w:type="paragraph" w:styleId="CharCharCharCharCharCharCharCharCharChar1CharChar">
    <w:name w:val=" 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cs="Tahoma"/>
      <w:bCs/>
      <w:sz w:val="20"/>
      <w:szCs w:val="20"/>
      <w:lang w:val="en-US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yle63">
    <w:name w:val="Нормальный (таблица)"/>
    <w:basedOn w:val="Normal"/>
    <w:next w:val="Normal"/>
    <w:qFormat/>
    <w:pPr>
      <w:widowControl w:val="false"/>
      <w:jc w:val="both"/>
    </w:pPr>
    <w:rPr>
      <w:rFonts w:ascii="Times New Roman CYR" w:hAnsi="Times New Roman CYR" w:eastAsia="Times New Roman" w:cs="Times New Roman CYR"/>
    </w:rPr>
  </w:style>
  <w:style w:type="paragraph" w:styleId="Style64">
    <w:name w:val="Информация о версии"/>
    <w:basedOn w:val="Style48"/>
    <w:next w:val="Normal"/>
    <w:qFormat/>
    <w:pPr>
      <w:widowControl w:val="false"/>
    </w:pPr>
    <w:rPr>
      <w:rFonts w:ascii="Times New Roman CYR" w:hAnsi="Times New Roman CYR" w:eastAsia="Times New Roman" w:cs="Times New Roman CYR"/>
      <w:i/>
      <w:iCs/>
      <w:shd w:fill="auto" w:val="clear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cs="Arial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W1">
    <w:name w:val="WW-Сноска"/>
    <w:basedOn w:val="Normal"/>
    <w:next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" w:cs="Times New Roman CYR"/>
      <w:sz w:val="20"/>
      <w:szCs w:val="20"/>
    </w:rPr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111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;Times New Roman" w:hAnsi="TimesET;Times New Roman" w:eastAsia="Times New Roman" w:cs="TimesET;Times New Roman"/>
      <w:color w:val="auto"/>
      <w:kern w:val="0"/>
      <w:sz w:val="24"/>
      <w:szCs w:val="24"/>
      <w:lang w:val="ru-RU" w:eastAsia="zh-CN" w:bidi="ar-SA"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Style65">
    <w:name w:val="Содержимое таблицы"/>
    <w:basedOn w:val="Normal"/>
    <w:qFormat/>
    <w:pPr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paragraph" w:styleId="Style67">
    <w:name w:val="Содержимое врезки"/>
    <w:basedOn w:val="Normal"/>
    <w:qFormat/>
    <w:pPr/>
    <w:rPr/>
  </w:style>
  <w:style w:type="paragraph" w:styleId="NormalWeb">
    <w:name w:val="Normal (Web)"/>
    <w:basedOn w:val="Normal"/>
    <w:qFormat/>
    <w:pPr/>
    <w:rPr>
      <w:bCs/>
    </w:rPr>
  </w:style>
  <w:style w:type="paragraph" w:styleId="Style68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52" w:before="0" w:after="160"/>
      <w:jc w:val="left"/>
    </w:pPr>
    <w:rPr>
      <w:rFonts w:ascii="Calibri" w:hAnsi="Calibri" w:eastAsia="Calibri" w:cs="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eastAsia="Tahoma" w:cs="Tahoma"/>
      <w:sz w:val="16"/>
      <w:szCs w:val="16"/>
    </w:rPr>
  </w:style>
  <w:style w:type="paragraph" w:styleId="112">
    <w:name w:val="Текст сноски1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CharCharCharCharCharCharCharCharCharChar1CharChar1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 w:cs="Tahoma"/>
      <w:bCs/>
      <w:sz w:val="20"/>
      <w:szCs w:val="20"/>
      <w:lang w:val="en-US" w:eastAsia="ar-SA"/>
    </w:rPr>
  </w:style>
  <w:style w:type="paragraph" w:styleId="35">
    <w:name w:val="Название объекта3"/>
    <w:basedOn w:val="Normal"/>
    <w:qFormat/>
    <w:pPr>
      <w:spacing w:before="120" w:after="120"/>
    </w:pPr>
    <w:rPr>
      <w:rFonts w:eastAsia="Noto Sans Devanagari"/>
      <w:i/>
      <w:iCs/>
      <w:lang w:eastAsia="ar-SA"/>
    </w:rPr>
  </w:style>
  <w:style w:type="paragraph" w:styleId="42">
    <w:name w:val="Указатель4"/>
    <w:basedOn w:val="Normal"/>
    <w:qFormat/>
    <w:pPr/>
    <w:rPr>
      <w:rFonts w:eastAsia="Noto Sans Devanagari"/>
      <w:lang w:eastAsia="ar-SA"/>
    </w:rPr>
  </w:style>
  <w:style w:type="paragraph" w:styleId="29">
    <w:name w:val="Основной текст (2)"/>
    <w:basedOn w:val="Normal"/>
    <w:qFormat/>
    <w:pPr>
      <w:shd w:val="clear" w:fill="FFFFFF"/>
      <w:spacing w:lineRule="exact" w:line="473" w:before="0" w:after="0"/>
      <w:jc w:val="center"/>
    </w:pPr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paragraph" w:styleId="ListParagraph">
    <w:name w:val="List Paragraph"/>
    <w:basedOn w:val="Normal"/>
    <w:qFormat/>
    <w:pPr>
      <w:spacing w:lineRule="exact" w:line="240" w:before="0" w:after="0"/>
      <w:ind w:left="720" w:hanging="0"/>
      <w:contextualSpacing/>
    </w:pPr>
    <w:rPr>
      <w:sz w:val="20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1773</TotalTime>
  <Application>LibreOffice/6.4.7.2$Linux_X86_64 LibreOffice_project/72d9d5113b23a0ed474720f9d366fcde9a2744dd</Application>
  <Pages>12</Pages>
  <Words>5060</Words>
  <Characters>36404</Characters>
  <CharactersWithSpaces>41270</CharactersWithSpaces>
  <Paragraphs>300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2026-07-16T12:56:51Z</cp:lastPrinted>
  <dcterms:modified xsi:type="dcterms:W3CDTF">2026-08-21T14:54:15Z</dcterms:modified>
  <cp:revision>389</cp:revision>
  <dc:subject/>
  <dc:title/>
</cp:coreProperties>
</file>