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widowControl w:val="1"/>
        <w:spacing w:after="0" w:before="0"/>
        <w:ind/>
        <w:jc w:val="center"/>
        <w:rPr>
          <w:rFonts w:ascii="Roboto" w:hAnsi="Roboto"/>
          <w:color w:val="334059"/>
          <w:sz w:val="27"/>
        </w:rPr>
      </w:pPr>
      <w:r>
        <w:rPr>
          <w:rFonts w:ascii="Times New Roman" w:hAnsi="Times New Roman"/>
          <w:b w:val="0"/>
          <w:sz w:val="24"/>
        </w:rPr>
        <w:t xml:space="preserve">Договор </w:t>
      </w:r>
      <w:r>
        <w:rPr>
          <w:rFonts w:ascii="Times New Roman" w:hAnsi="Times New Roman"/>
          <w:b w:val="0"/>
          <w:sz w:val="24"/>
        </w:rPr>
        <w:t>№</w:t>
      </w:r>
      <w:r>
        <w:rPr>
          <w:rFonts w:ascii="Times New Roman" w:hAnsi="Times New Roman"/>
          <w:b w:val="0"/>
          <w:sz w:val="24"/>
        </w:rPr>
        <w:t xml:space="preserve"> </w:t>
      </w:r>
    </w:p>
    <w:p w14:paraId="02000000">
      <w:pPr>
        <w:pStyle w:val="Style_2"/>
        <w:widowControl w:val="1"/>
        <w:ind/>
        <w:jc w:val="center"/>
        <w:rPr>
          <w:rFonts w:ascii="Times New Roman" w:hAnsi="Times New Roman"/>
          <w:b w:val="1"/>
          <w:sz w:val="24"/>
        </w:rPr>
      </w:pPr>
    </w:p>
    <w:p w14:paraId="03000000">
      <w:pPr>
        <w:pStyle w:val="Style_2"/>
        <w:widowControl w:val="1"/>
        <w:ind/>
        <w:jc w:val="center"/>
        <w:rPr>
          <w:b w:val="1"/>
        </w:rPr>
      </w:pPr>
      <w:r>
        <w:rPr>
          <w:rFonts w:ascii="Times New Roman" w:hAnsi="Times New Roman"/>
          <w:b w:val="1"/>
          <w:sz w:val="24"/>
        </w:rPr>
        <w:t>о провед</w:t>
      </w:r>
      <w:r>
        <w:rPr>
          <w:rFonts w:ascii="Times New Roman" w:hAnsi="Times New Roman"/>
          <w:b w:val="1"/>
          <w:sz w:val="24"/>
        </w:rPr>
        <w:t xml:space="preserve">ении технического осмотра </w:t>
      </w:r>
    </w:p>
    <w:p w14:paraId="04000000">
      <w:pPr>
        <w:widowControl w:val="1"/>
        <w:spacing w:after="0" w:line="240" w:lineRule="auto"/>
        <w:ind w:firstLine="284"/>
        <w:jc w:val="center"/>
        <w:rPr>
          <w:rFonts w:ascii="Times New Roman" w:hAnsi="Times New Roman"/>
          <w:b w:val="1"/>
          <w:sz w:val="24"/>
        </w:rPr>
      </w:pPr>
      <w:r>
        <w:rPr>
          <w:rStyle w:val="Style_2_ch"/>
          <w:rFonts w:ascii="Times New Roman" w:hAnsi="Times New Roman"/>
          <w:b w:val="1"/>
          <w:sz w:val="24"/>
        </w:rPr>
        <w:t xml:space="preserve">(ИКЗ </w:t>
      </w:r>
      <w:r>
        <w:rPr>
          <w:rStyle w:val="Style_2_ch"/>
          <w:rFonts w:ascii="Times New Roman" w:hAnsi="Times New Roman"/>
          <w:b w:val="1"/>
          <w:sz w:val="24"/>
        </w:rPr>
        <w:t>261910200990891020100100210000000244</w:t>
      </w:r>
      <w:r>
        <w:rPr>
          <w:rStyle w:val="Style_2_ch"/>
          <w:rFonts w:ascii="Times New Roman" w:hAnsi="Times New Roman"/>
          <w:b w:val="1"/>
          <w:sz w:val="24"/>
        </w:rPr>
        <w:t xml:space="preserve"> </w:t>
      </w:r>
      <w:r>
        <w:rPr>
          <w:rStyle w:val="Style_2_ch"/>
          <w:rFonts w:ascii="Times New Roman" w:hAnsi="Times New Roman"/>
          <w:b w:val="1"/>
          <w:sz w:val="24"/>
        </w:rPr>
        <w:t>)</w:t>
      </w:r>
    </w:p>
    <w:p w14:paraId="05000000">
      <w:pPr>
        <w:pStyle w:val="Style_2"/>
        <w:widowControl w:val="1"/>
        <w:ind/>
        <w:jc w:val="both"/>
        <w:rPr>
          <w:rFonts w:ascii="Times New Roman" w:hAnsi="Times New Roman"/>
          <w:sz w:val="24"/>
        </w:rPr>
      </w:pPr>
    </w:p>
    <w:p w14:paraId="06000000">
      <w:pPr>
        <w:pStyle w:val="Style_3"/>
        <w:widowControl w:val="1"/>
        <w:ind/>
        <w:jc w:val="center"/>
        <w:rPr>
          <w:rFonts w:ascii="Times New Roman" w:hAnsi="Times New Roman"/>
          <w:sz w:val="24"/>
        </w:rPr>
      </w:pPr>
      <w:bookmarkStart w:id="1" w:name="P31"/>
      <w:bookmarkEnd w:id="1"/>
    </w:p>
    <w:p w14:paraId="07000000">
      <w:pPr>
        <w:pStyle w:val="Style_3"/>
        <w:widowControl w:val="1"/>
        <w:ind/>
        <w:jc w:val="both"/>
      </w:pPr>
      <w:r>
        <w:rPr>
          <w:rFonts w:ascii="Times New Roman" w:hAnsi="Times New Roman"/>
          <w:sz w:val="24"/>
        </w:rPr>
        <w:t xml:space="preserve">г. Симферополь                                                              </w:t>
      </w:r>
      <w:r>
        <w:rPr>
          <w:rFonts w:ascii="Times New Roman" w:hAnsi="Times New Roman"/>
          <w:sz w:val="24"/>
        </w:rPr>
        <w:t xml:space="preserve">                             "__</w:t>
      </w:r>
      <w:r>
        <w:rPr>
          <w:rFonts w:ascii="Times New Roman" w:hAnsi="Times New Roman"/>
          <w:sz w:val="24"/>
        </w:rPr>
        <w:t xml:space="preserve"> " </w:t>
      </w:r>
      <w:r>
        <w:rPr>
          <w:rFonts w:ascii="Times New Roman" w:hAnsi="Times New Roman"/>
          <w:sz w:val="24"/>
        </w:rPr>
        <w:t>_______</w:t>
      </w:r>
      <w:r>
        <w:rPr>
          <w:rFonts w:ascii="Times New Roman" w:hAnsi="Times New Roman"/>
          <w:sz w:val="24"/>
        </w:rPr>
        <w:t xml:space="preserve"> 2026</w:t>
      </w:r>
      <w:r>
        <w:rPr>
          <w:rFonts w:ascii="Times New Roman" w:hAnsi="Times New Roman"/>
          <w:sz w:val="24"/>
        </w:rPr>
        <w:t xml:space="preserve"> г.</w:t>
      </w:r>
    </w:p>
    <w:p w14:paraId="08000000">
      <w:pPr>
        <w:pStyle w:val="Style_3"/>
        <w:widowControl w:val="1"/>
        <w:ind/>
        <w:jc w:val="both"/>
        <w:rPr>
          <w:rFonts w:ascii="Times New Roman" w:hAnsi="Times New Roman"/>
          <w:sz w:val="24"/>
        </w:rPr>
      </w:pPr>
    </w:p>
    <w:p w14:paraId="09000000">
      <w:pPr>
        <w:widowControl w:val="1"/>
        <w:spacing w:after="0" w:line="240" w:lineRule="auto"/>
        <w:ind w:firstLine="284"/>
        <w:jc w:val="both"/>
        <w:rPr>
          <w:rFonts w:ascii="Times New Roman" w:hAnsi="Times New Roman"/>
          <w:sz w:val="24"/>
        </w:rPr>
      </w:pPr>
      <w:r>
        <w:rPr>
          <w:rFonts w:ascii="Times New Roman" w:hAnsi="Times New Roman"/>
          <w:sz w:val="24"/>
        </w:rPr>
        <w:t xml:space="preserve">    </w:t>
      </w:r>
      <w:r>
        <w:rPr>
          <w:rFonts w:ascii="Times New Roman" w:hAnsi="Times New Roman"/>
          <w:sz w:val="24"/>
        </w:rPr>
        <w:tab/>
      </w:r>
      <w:r>
        <w:rPr>
          <w:rFonts w:ascii="Times New Roman" w:hAnsi="Times New Roman"/>
          <w:b w:val="1"/>
          <w:sz w:val="24"/>
        </w:rPr>
        <w:t>ФЕДЕРАЛЬНОЕ КАЗЕННОЕ УЧРЕЖДЕНИЕ «ГЛАВНОЕ БЮРО МЕДИКО-СОЦИАЛЬНОЙ ЭКСПЕРТИЗЫ ПО РЕСПУБЛИКЕ КРЫМ» МИНИСТЕРСТВА ТРУДА И СОЦИАЛЬНОЙ ЗАЩИТЫ РОССИЙСКОЙ ФЕДЕРАЦИИ</w:t>
      </w:r>
      <w:r>
        <w:rPr>
          <w:rFonts w:ascii="Times New Roman" w:hAnsi="Times New Roman"/>
          <w:sz w:val="24"/>
        </w:rPr>
        <w:t>,</w:t>
      </w:r>
      <w:r>
        <w:rPr>
          <w:rFonts w:ascii="Times New Roman" w:hAnsi="Times New Roman"/>
          <w:b w:val="1"/>
          <w:sz w:val="24"/>
        </w:rPr>
        <w:t xml:space="preserve"> </w:t>
      </w:r>
      <w:r>
        <w:rPr>
          <w:rFonts w:ascii="Times New Roman" w:hAnsi="Times New Roman"/>
          <w:sz w:val="24"/>
        </w:rPr>
        <w:t xml:space="preserve">именуемое далее Заказчик, в лице заместителя руководителя по общим вопросам деятельности учреждения Посторонко Ирины Павловны, </w:t>
      </w:r>
      <w:r>
        <w:rPr>
          <w:rFonts w:ascii="Times New Roman" w:hAnsi="Times New Roman"/>
          <w:sz w:val="24"/>
        </w:rPr>
        <w:t>действующе</w:t>
      </w:r>
      <w:r>
        <w:rPr>
          <w:rFonts w:ascii="Times New Roman" w:hAnsi="Times New Roman"/>
          <w:sz w:val="24"/>
        </w:rPr>
        <w:t>й</w:t>
      </w:r>
      <w:r>
        <w:rPr>
          <w:rFonts w:ascii="Times New Roman" w:hAnsi="Times New Roman"/>
          <w:sz w:val="24"/>
        </w:rPr>
        <w:t xml:space="preserve"> на основании </w:t>
      </w:r>
      <w:r>
        <w:rPr>
          <w:rFonts w:ascii="Times New Roman" w:hAnsi="Times New Roman"/>
          <w:sz w:val="24"/>
        </w:rPr>
        <w:t>приказа от 01 ноября 2023 № 413</w:t>
      </w:r>
      <w:r>
        <w:rPr>
          <w:rFonts w:ascii="Times New Roman" w:hAnsi="Times New Roman"/>
          <w:sz w:val="24"/>
        </w:rPr>
        <w:t xml:space="preserve"> </w:t>
      </w:r>
      <w:r>
        <w:rPr>
          <w:rFonts w:ascii="Times New Roman" w:hAnsi="Times New Roman"/>
          <w:sz w:val="24"/>
        </w:rPr>
        <w:t xml:space="preserve">с одной стороны, </w:t>
      </w:r>
      <w:r>
        <w:rPr>
          <w:rFonts w:ascii="Times New Roman" w:hAnsi="Times New Roman"/>
          <w:b w:val="1"/>
          <w:sz w:val="24"/>
        </w:rPr>
        <w:t>__________</w:t>
      </w:r>
      <w:r>
        <w:rPr>
          <w:rFonts w:ascii="Times New Roman" w:hAnsi="Times New Roman"/>
          <w:sz w:val="24"/>
        </w:rPr>
        <w:t>,</w:t>
      </w:r>
      <w:r>
        <w:rPr>
          <w:rFonts w:ascii="Times New Roman" w:hAnsi="Times New Roman"/>
          <w:b w:val="1"/>
          <w:sz w:val="24"/>
        </w:rPr>
        <w:t xml:space="preserve"> </w:t>
      </w:r>
      <w:r>
        <w:rPr>
          <w:rFonts w:ascii="Times New Roman" w:hAnsi="Times New Roman"/>
          <w:sz w:val="24"/>
        </w:rPr>
        <w:t>с другой стороны, совместно именуемые Стороны</w:t>
      </w:r>
      <w:r>
        <w:rPr>
          <w:rFonts w:ascii="Times New Roman" w:hAnsi="Times New Roman"/>
          <w:sz w:val="24"/>
        </w:rPr>
        <w:t>, на основании п.</w:t>
      </w:r>
      <w:r>
        <w:rPr>
          <w:rFonts w:ascii="Times New Roman" w:hAnsi="Times New Roman"/>
          <w:sz w:val="24"/>
        </w:rPr>
        <w:t xml:space="preserve"> </w:t>
      </w:r>
      <w:r>
        <w:rPr>
          <w:rFonts w:ascii="Times New Roman" w:hAnsi="Times New Roman"/>
          <w:sz w:val="24"/>
        </w:rPr>
        <w:t>4 ч.</w:t>
      </w:r>
      <w:r>
        <w:rPr>
          <w:rFonts w:ascii="Times New Roman" w:hAnsi="Times New Roman"/>
          <w:sz w:val="24"/>
        </w:rPr>
        <w:t xml:space="preserve"> </w:t>
      </w:r>
      <w:r>
        <w:rPr>
          <w:rFonts w:ascii="Times New Roman" w:hAnsi="Times New Roman"/>
          <w:sz w:val="24"/>
        </w:rPr>
        <w:t>1 ст.</w:t>
      </w:r>
      <w:r>
        <w:rPr>
          <w:rFonts w:ascii="Times New Roman" w:hAnsi="Times New Roman"/>
          <w:sz w:val="24"/>
        </w:rPr>
        <w:t xml:space="preserve"> </w:t>
      </w:r>
      <w:r>
        <w:rPr>
          <w:rFonts w:ascii="Times New Roman" w:hAnsi="Times New Roman"/>
          <w:sz w:val="24"/>
        </w:rPr>
        <w:t>93 Феде</w:t>
      </w:r>
      <w:r>
        <w:rPr>
          <w:rFonts w:ascii="Times New Roman" w:hAnsi="Times New Roman"/>
          <w:sz w:val="24"/>
        </w:rPr>
        <w:t xml:space="preserve">рального закона от 05.04.2013 </w:t>
      </w:r>
      <w:r>
        <w:rPr>
          <w:rFonts w:ascii="Times New Roman" w:hAnsi="Times New Roman"/>
          <w:sz w:val="24"/>
        </w:rPr>
        <w:t xml:space="preserve">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sz w:val="24"/>
        </w:rPr>
        <w:t>(далее - Федеральный закон от 05.04.2013 № 44</w:t>
      </w:r>
      <w:r>
        <w:rPr>
          <w:rFonts w:ascii="Times New Roman" w:hAnsi="Times New Roman"/>
          <w:sz w:val="24"/>
        </w:rPr>
        <w:t xml:space="preserve"> </w:t>
      </w:r>
      <w:r>
        <w:rPr>
          <w:rFonts w:ascii="Times New Roman" w:hAnsi="Times New Roman"/>
          <w:sz w:val="24"/>
        </w:rPr>
        <w:t>- ФЗ)</w:t>
      </w:r>
      <w:r>
        <w:rPr>
          <w:rFonts w:ascii="Times New Roman" w:hAnsi="Times New Roman"/>
          <w:sz w:val="24"/>
        </w:rPr>
        <w:t xml:space="preserve"> заключили настоящий Договор (далее - Договор) о следующем</w:t>
      </w:r>
      <w:r>
        <w:rPr>
          <w:rFonts w:ascii="Times New Roman" w:hAnsi="Times New Roman"/>
          <w:color w:val="000000"/>
          <w:sz w:val="24"/>
        </w:rPr>
        <w:t>:</w:t>
      </w:r>
    </w:p>
    <w:p w14:paraId="0A000000">
      <w:pPr>
        <w:pStyle w:val="Style_3"/>
        <w:widowControl w:val="1"/>
        <w:ind/>
        <w:jc w:val="both"/>
        <w:rPr>
          <w:rFonts w:ascii="Times New Roman" w:hAnsi="Times New Roman"/>
          <w:sz w:val="24"/>
        </w:rPr>
      </w:pPr>
    </w:p>
    <w:p w14:paraId="0B000000">
      <w:pPr>
        <w:pStyle w:val="Style_3"/>
        <w:widowControl w:val="1"/>
        <w:ind/>
        <w:jc w:val="center"/>
      </w:pPr>
      <w:r>
        <w:rPr>
          <w:rFonts w:ascii="Times New Roman" w:hAnsi="Times New Roman"/>
          <w:b w:val="1"/>
          <w:sz w:val="24"/>
        </w:rPr>
        <w:t>1. Предмет Договора</w:t>
      </w:r>
    </w:p>
    <w:p w14:paraId="0C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1.1.  По настоящему Договору Исполнитель обязуется по заданию                                    Заказчика оказать услуги </w:t>
      </w:r>
      <w:r>
        <w:rPr>
          <w:rFonts w:ascii="Times New Roman" w:hAnsi="Times New Roman"/>
          <w:sz w:val="24"/>
        </w:rPr>
        <w:t>по проведению технического осмотра автотранспорта с                           использованием средств технического диагностирования, с последующей выдачей диагностических карт технического осмотра</w:t>
      </w:r>
      <w:r>
        <w:rPr>
          <w:rFonts w:ascii="Times New Roman" w:hAnsi="Times New Roman"/>
          <w:sz w:val="24"/>
        </w:rPr>
        <w:t xml:space="preserve"> (далее - Технический осмотр), а Заказчик обязуется оплатить данные услуги.</w:t>
      </w:r>
    </w:p>
    <w:p w14:paraId="0D000000">
      <w:pPr>
        <w:pStyle w:val="Style_4"/>
        <w:widowControl w:val="1"/>
        <w:numPr>
          <w:ilvl w:val="1"/>
          <w:numId w:val="1"/>
        </w:numPr>
        <w:ind w:firstLine="709" w:left="0"/>
        <w:jc w:val="both"/>
      </w:pPr>
      <w:bookmarkStart w:id="2" w:name="P76"/>
      <w:bookmarkEnd w:id="2"/>
      <w:r>
        <w:rPr>
          <w:rFonts w:ascii="Times New Roman" w:hAnsi="Times New Roman"/>
          <w:sz w:val="24"/>
        </w:rPr>
        <w:t>Перечень   транспортных средств и стоимость услуг указаны в Приложении №</w:t>
      </w:r>
      <w:r>
        <w:rPr>
          <w:rFonts w:ascii="Times New Roman" w:hAnsi="Times New Roman"/>
          <w:sz w:val="24"/>
        </w:rPr>
        <w:t xml:space="preserve"> </w:t>
      </w:r>
      <w:r>
        <w:rPr>
          <w:rFonts w:ascii="Times New Roman" w:hAnsi="Times New Roman"/>
          <w:sz w:val="24"/>
        </w:rPr>
        <w:t>1, являющимся неотъемлемой частью настоящего Договора.</w:t>
      </w:r>
    </w:p>
    <w:p w14:paraId="0E000000">
      <w:pPr>
        <w:pStyle w:val="Style_3"/>
        <w:widowControl w:val="1"/>
        <w:numPr>
          <w:ilvl w:val="0"/>
          <w:numId w:val="1"/>
        </w:numPr>
        <w:ind/>
        <w:jc w:val="both"/>
      </w:pPr>
      <w:r>
        <w:rPr>
          <w:rFonts w:ascii="Times New Roman" w:hAnsi="Times New Roman"/>
          <w:sz w:val="24"/>
        </w:rPr>
        <w:t xml:space="preserve">Технический осмотр проводится по </w:t>
      </w:r>
      <w:r>
        <w:rPr>
          <w:rFonts w:ascii="Times New Roman" w:hAnsi="Times New Roman"/>
          <w:sz w:val="24"/>
        </w:rPr>
        <w:t xml:space="preserve">адресу: </w:t>
      </w:r>
      <w:r>
        <w:rPr>
          <w:rFonts w:ascii="Times New Roman" w:hAnsi="Times New Roman"/>
          <w:b w:val="1"/>
          <w:sz w:val="24"/>
        </w:rPr>
        <w:t>Республика Крым, г. Джанкой</w:t>
      </w:r>
      <w:r>
        <w:rPr>
          <w:rFonts w:ascii="Times New Roman" w:hAnsi="Times New Roman"/>
          <w:b w:val="1"/>
          <w:sz w:val="24"/>
        </w:rPr>
        <w:t>; Республика Крым, г. Симферополь.</w:t>
      </w:r>
    </w:p>
    <w:p w14:paraId="0F000000">
      <w:pPr>
        <w:pStyle w:val="Style_3"/>
        <w:widowControl w:val="1"/>
        <w:ind/>
        <w:jc w:val="both"/>
      </w:pPr>
      <w:bookmarkStart w:id="3" w:name="P83"/>
      <w:bookmarkEnd w:id="3"/>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1.4. </w:t>
      </w:r>
      <w:r>
        <w:rPr>
          <w:rFonts w:ascii="Times New Roman" w:hAnsi="Times New Roman"/>
          <w:color w:val="000000"/>
          <w:sz w:val="24"/>
        </w:rPr>
        <w:t>Срок проведения Технического осмотра составляет не более 3 (трех) рабочих дней с момента</w:t>
      </w:r>
      <w:r>
        <w:rPr>
          <w:rFonts w:ascii="Times New Roman" w:hAnsi="Times New Roman"/>
          <w:color w:val="000000"/>
          <w:sz w:val="24"/>
        </w:rPr>
        <w:t xml:space="preserve"> подачи заявки и последующего</w:t>
      </w:r>
      <w:r>
        <w:rPr>
          <w:rFonts w:ascii="Times New Roman" w:hAnsi="Times New Roman"/>
          <w:color w:val="000000"/>
          <w:sz w:val="24"/>
        </w:rPr>
        <w:t xml:space="preserve"> предоставления</w:t>
      </w:r>
      <w:r>
        <w:rPr>
          <w:rFonts w:ascii="Times New Roman" w:hAnsi="Times New Roman"/>
          <w:color w:val="000000"/>
          <w:sz w:val="24"/>
        </w:rPr>
        <w:t> </w:t>
      </w:r>
      <w:r>
        <w:rPr>
          <w:rFonts w:ascii="Times New Roman" w:hAnsi="Times New Roman"/>
          <w:color w:val="000000"/>
          <w:sz w:val="24"/>
        </w:rPr>
        <w:t xml:space="preserve">транспортного средства для проверки в пункт технического осмотра. </w:t>
      </w:r>
    </w:p>
    <w:p w14:paraId="10000000">
      <w:pPr>
        <w:pStyle w:val="Style_3"/>
        <w:widowControl w:val="1"/>
        <w:ind/>
        <w:jc w:val="both"/>
        <w:rPr>
          <w:rFonts w:ascii="Times New Roman" w:hAnsi="Times New Roman"/>
          <w:sz w:val="24"/>
        </w:rPr>
      </w:pPr>
    </w:p>
    <w:p w14:paraId="11000000">
      <w:pPr>
        <w:pStyle w:val="Style_3"/>
        <w:widowControl w:val="1"/>
        <w:ind/>
        <w:jc w:val="center"/>
      </w:pPr>
      <w:r>
        <w:rPr>
          <w:rFonts w:ascii="Times New Roman" w:hAnsi="Times New Roman"/>
          <w:b w:val="1"/>
          <w:sz w:val="24"/>
        </w:rPr>
        <w:t>2. Права и обязанности сторон</w:t>
      </w:r>
    </w:p>
    <w:p w14:paraId="12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2.1. Заказчик обязан:</w:t>
      </w:r>
    </w:p>
    <w:p w14:paraId="13000000">
      <w:pPr>
        <w:pStyle w:val="Style_3"/>
        <w:widowControl w:val="1"/>
        <w:ind/>
        <w:jc w:val="both"/>
      </w:pPr>
      <w:bookmarkStart w:id="4" w:name="P88"/>
      <w:bookmarkEnd w:id="4"/>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2.1.1.   Представить   Исполнителю   Транспортное  средство,  документ, удостоверяющий   личность,  и  доверенность  (для  представителя  владельца транспортного  средства), а также свидетельство о регистрации Транспортного средства  или  паспорт  Транспортного  средства,  указанного  в  </w:t>
      </w:r>
      <w:r>
        <w:rPr>
          <w:rFonts w:ascii="Times New Roman" w:hAnsi="Times New Roman"/>
          <w:color w:val="0000FF"/>
          <w:sz w:val="24"/>
        </w:rPr>
        <w:fldChar w:fldCharType="begin"/>
      </w:r>
      <w:r>
        <w:rPr>
          <w:rFonts w:ascii="Times New Roman" w:hAnsi="Times New Roman"/>
          <w:color w:val="0000FF"/>
          <w:sz w:val="24"/>
        </w:rPr>
        <w:instrText>HYPERLINK \l "P76"</w:instrText>
      </w:r>
      <w:r>
        <w:rPr>
          <w:rFonts w:ascii="Times New Roman" w:hAnsi="Times New Roman"/>
          <w:color w:val="0000FF"/>
          <w:sz w:val="24"/>
        </w:rPr>
        <w:fldChar w:fldCharType="separate"/>
      </w:r>
      <w:r>
        <w:rPr>
          <w:rFonts w:ascii="Times New Roman" w:hAnsi="Times New Roman"/>
          <w:color w:val="0000FF"/>
          <w:sz w:val="24"/>
        </w:rPr>
        <w:t>пункте 1.2</w:t>
      </w:r>
      <w:r>
        <w:rPr>
          <w:rFonts w:ascii="Times New Roman" w:hAnsi="Times New Roman"/>
          <w:color w:val="0000FF"/>
          <w:sz w:val="24"/>
        </w:rPr>
        <w:fldChar w:fldCharType="end"/>
      </w:r>
      <w:r>
        <w:rPr>
          <w:rFonts w:ascii="Times New Roman" w:hAnsi="Times New Roman"/>
          <w:color w:val="0000FF"/>
          <w:sz w:val="24"/>
        </w:rPr>
        <w:t xml:space="preserve"> </w:t>
      </w:r>
      <w:r>
        <w:rPr>
          <w:rFonts w:ascii="Times New Roman" w:hAnsi="Times New Roman"/>
          <w:sz w:val="24"/>
        </w:rPr>
        <w:t>настоящего Договора.</w:t>
      </w:r>
    </w:p>
    <w:p w14:paraId="14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2.1.2. Принять оказанные Исполнителем услуги по Акту оказанных услуг по Техническому  осмотру.  При  наличии  претензий  к  оказанным  Исполнителем услугам  Заказчик  указывает об этом в Акте оказанных услуг по Техническому осмотру.   Акт   оказанных  услуг  по  Техническому  осмотру  подписывается Сторонами.</w:t>
      </w:r>
    </w:p>
    <w:p w14:paraId="15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2.1.3.  Оплатить  Исполнителю стоимость оказанных услуг по Техническому осмотру  в  сроки  и  в  порядке,  предусмотренные  </w:t>
      </w:r>
      <w:r>
        <w:rPr>
          <w:rFonts w:ascii="Times New Roman" w:hAnsi="Times New Roman"/>
          <w:color w:val="0000FF"/>
          <w:sz w:val="24"/>
        </w:rPr>
        <w:fldChar w:fldCharType="begin"/>
      </w:r>
      <w:r>
        <w:rPr>
          <w:rFonts w:ascii="Times New Roman" w:hAnsi="Times New Roman"/>
          <w:color w:val="0000FF"/>
          <w:sz w:val="24"/>
        </w:rPr>
        <w:instrText>HYPERLINK \l "P156"</w:instrText>
      </w:r>
      <w:r>
        <w:rPr>
          <w:rFonts w:ascii="Times New Roman" w:hAnsi="Times New Roman"/>
          <w:color w:val="0000FF"/>
          <w:sz w:val="24"/>
        </w:rPr>
        <w:fldChar w:fldCharType="separate"/>
      </w:r>
      <w:r>
        <w:rPr>
          <w:rFonts w:ascii="Times New Roman" w:hAnsi="Times New Roman"/>
          <w:color w:val="0000FF"/>
          <w:sz w:val="24"/>
        </w:rPr>
        <w:t>разделом  3</w:t>
      </w:r>
      <w:r>
        <w:rPr>
          <w:rFonts w:ascii="Times New Roman" w:hAnsi="Times New Roman"/>
          <w:color w:val="0000FF"/>
          <w:sz w:val="24"/>
        </w:rPr>
        <w:fldChar w:fldCharType="end"/>
      </w:r>
      <w:r>
        <w:rPr>
          <w:rFonts w:ascii="Times New Roman" w:hAnsi="Times New Roman"/>
          <w:sz w:val="24"/>
        </w:rPr>
        <w:t xml:space="preserve">  настоящего Договора.</w:t>
      </w:r>
    </w:p>
    <w:p w14:paraId="16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2.2. Заказчик вправе:</w:t>
      </w:r>
    </w:p>
    <w:p w14:paraId="17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2.2.1.  В  случае,  если  услуги  по Техническому осмотру по настоящему Договору  оказаны  Исполнителем  с  недостатками, Заказчик вправе по своему выбору потребовать от Исполнителя:</w:t>
      </w:r>
    </w:p>
    <w:p w14:paraId="18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2.2.1.1. безвозмездного устранения недостатков в разумный срок;</w:t>
      </w:r>
    </w:p>
    <w:p w14:paraId="19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2.2.1.2.  соразмерного  уменьшения  установленной  настоящим  Договором стоимости услуг по Техническому осмотру.</w:t>
      </w:r>
    </w:p>
    <w:p w14:paraId="1A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2.2.2.  В  случае,  если  недостатки  не будут устранены Исполнителем в установленный  Заказчиком  разумный  срок,  заказчик  вправе  отказаться от исполнения  настоящего  Договора  и  потребовать  от Исполнителя возмещения убытков.</w:t>
      </w:r>
    </w:p>
    <w:p w14:paraId="1B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2.2.3.  Заказчик  вправе  отказаться от исполнения настоящего Договора, предупредив  об  этом  исполнителя  за  3 рабочих дня и оплатив фактически оказанные Исполнителем услуги по Техническому осмотру.</w:t>
      </w:r>
    </w:p>
    <w:p w14:paraId="1C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2.3. Исполнитель обязан:</w:t>
      </w:r>
    </w:p>
    <w:p w14:paraId="1D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2.3.1.   Принять   Транспортное   средство   по   Акту  приема-передачи Транспортного  средства и проверить представленные Заказчиком свидетельство о регистрации Транспортного средства или паспорт Транспортного средства.</w:t>
      </w:r>
    </w:p>
    <w:p w14:paraId="1E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2.3.2.  Провести  Технический  осмотр  Транспортного  средства  в срок, указанный в </w:t>
      </w:r>
      <w:r>
        <w:rPr>
          <w:rFonts w:ascii="Times New Roman" w:hAnsi="Times New Roman"/>
          <w:color w:val="0000FF"/>
          <w:sz w:val="24"/>
        </w:rPr>
        <w:fldChar w:fldCharType="begin"/>
      </w:r>
      <w:r>
        <w:rPr>
          <w:rFonts w:ascii="Times New Roman" w:hAnsi="Times New Roman"/>
          <w:color w:val="0000FF"/>
          <w:sz w:val="24"/>
        </w:rPr>
        <w:instrText>HYPERLINK \l "P83"</w:instrText>
      </w:r>
      <w:r>
        <w:rPr>
          <w:rFonts w:ascii="Times New Roman" w:hAnsi="Times New Roman"/>
          <w:color w:val="0000FF"/>
          <w:sz w:val="24"/>
        </w:rPr>
        <w:fldChar w:fldCharType="separate"/>
      </w:r>
      <w:r>
        <w:rPr>
          <w:rFonts w:ascii="Times New Roman" w:hAnsi="Times New Roman"/>
          <w:color w:val="0000FF"/>
          <w:sz w:val="24"/>
        </w:rPr>
        <w:t>пункте 1.4</w:t>
      </w:r>
      <w:r>
        <w:rPr>
          <w:rFonts w:ascii="Times New Roman" w:hAnsi="Times New Roman"/>
          <w:color w:val="0000FF"/>
          <w:sz w:val="24"/>
        </w:rPr>
        <w:fldChar w:fldCharType="end"/>
      </w:r>
      <w:r>
        <w:rPr>
          <w:rFonts w:ascii="Times New Roman" w:hAnsi="Times New Roman"/>
          <w:sz w:val="24"/>
        </w:rPr>
        <w:t xml:space="preserve"> настоящего Договора.</w:t>
      </w:r>
    </w:p>
    <w:p w14:paraId="1F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2.3.3.  Обеспечить  соблюдение правил проверки Транспортного средства в соответствии с Правилами проведения технического осмотра (далее - Правила), утвержденными Правительством Российской Федерации.</w:t>
      </w:r>
    </w:p>
    <w:p w14:paraId="20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2.3.4.  </w:t>
      </w:r>
      <w:r>
        <w:rPr>
          <w:rFonts w:ascii="Times New Roman" w:hAnsi="Times New Roman"/>
          <w:sz w:val="24"/>
        </w:rPr>
        <w:t>Обеспечить осуществление технического</w:t>
      </w:r>
      <w:r>
        <w:rPr>
          <w:rFonts w:ascii="Times New Roman" w:hAnsi="Times New Roman"/>
          <w:sz w:val="24"/>
        </w:rPr>
        <w:t xml:space="preserve"> диагностирования в ходе проведения Технического осмотра техническим экспертом.</w:t>
      </w:r>
    </w:p>
    <w:p w14:paraId="21000000">
      <w:pPr>
        <w:pStyle w:val="Style_3"/>
        <w:widowControl w:val="1"/>
        <w:ind/>
        <w:jc w:val="both"/>
        <w:rPr>
          <w:rFonts w:ascii="Times New Roman" w:hAnsi="Times New Roman"/>
          <w:sz w:val="24"/>
        </w:rPr>
      </w:pPr>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2.3.5.  </w:t>
      </w:r>
      <w:r>
        <w:rPr>
          <w:rFonts w:ascii="Times New Roman" w:hAnsi="Times New Roman"/>
          <w:sz w:val="24"/>
        </w:rPr>
        <w:t>Обеспечить сохранность</w:t>
      </w:r>
      <w:r>
        <w:rPr>
          <w:rFonts w:ascii="Times New Roman" w:hAnsi="Times New Roman"/>
          <w:sz w:val="24"/>
        </w:rPr>
        <w:t xml:space="preserve"> Транспортного средства, представленного для проведения Технического осмотра.</w:t>
      </w:r>
    </w:p>
    <w:p w14:paraId="22000000">
      <w:pPr>
        <w:pStyle w:val="Style_3"/>
        <w:widowControl w:val="1"/>
        <w:ind/>
        <w:jc w:val="both"/>
        <w:rPr>
          <w:rFonts w:ascii="Times New Roman" w:hAnsi="Times New Roman"/>
          <w:sz w:val="24"/>
        </w:rPr>
      </w:pPr>
      <w:r>
        <w:rPr>
          <w:rFonts w:ascii="Times New Roman" w:hAnsi="Times New Roman"/>
          <w:sz w:val="24"/>
        </w:rPr>
        <w:t xml:space="preserve">            2.3.6.  </w:t>
      </w:r>
      <w:r>
        <w:rPr>
          <w:rFonts w:ascii="Times New Roman" w:hAnsi="Times New Roman"/>
          <w:sz w:val="24"/>
        </w:rPr>
        <w:t>Обеспечить внесение сведений о прохождении технического осмотра автомобиля в единую автоматизированную информационную систему технического осмотра.</w:t>
      </w:r>
    </w:p>
    <w:p w14:paraId="23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2.3.</w:t>
      </w:r>
      <w:r>
        <w:rPr>
          <w:rFonts w:ascii="Times New Roman" w:hAnsi="Times New Roman"/>
          <w:sz w:val="24"/>
        </w:rPr>
        <w:t>7</w:t>
      </w:r>
      <w:r>
        <w:rPr>
          <w:rFonts w:ascii="Times New Roman" w:hAnsi="Times New Roman"/>
          <w:sz w:val="24"/>
        </w:rPr>
        <w:t xml:space="preserve">.  </w:t>
      </w:r>
      <w:r>
        <w:rPr>
          <w:rFonts w:ascii="Times New Roman" w:hAnsi="Times New Roman"/>
          <w:sz w:val="24"/>
        </w:rPr>
        <w:t>По окончании проведения</w:t>
      </w:r>
      <w:r>
        <w:rPr>
          <w:rFonts w:ascii="Times New Roman" w:hAnsi="Times New Roman"/>
          <w:sz w:val="24"/>
        </w:rPr>
        <w:t xml:space="preserve">   Технического  осмотра   представить Заказчику Транспортное средство и следующие документы:</w:t>
      </w:r>
    </w:p>
    <w:p w14:paraId="24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 - Акт оказанных услуг;</w:t>
      </w:r>
    </w:p>
    <w:p w14:paraId="25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 -   диагностическую       </w:t>
      </w:r>
      <w:r>
        <w:rPr>
          <w:rFonts w:ascii="Times New Roman" w:hAnsi="Times New Roman"/>
          <w:sz w:val="24"/>
        </w:rPr>
        <w:t>карту</w:t>
      </w:r>
      <w:r>
        <w:rPr>
          <w:rFonts w:ascii="Times New Roman" w:hAnsi="Times New Roman"/>
          <w:sz w:val="24"/>
        </w:rPr>
        <w:t xml:space="preserve"> на бумажном носителе</w:t>
      </w:r>
      <w:r>
        <w:rPr>
          <w:rFonts w:ascii="Times New Roman" w:hAnsi="Times New Roman"/>
          <w:sz w:val="24"/>
        </w:rPr>
        <w:t xml:space="preserve">, </w:t>
      </w:r>
      <w:r>
        <w:rPr>
          <w:rFonts w:ascii="Times New Roman" w:hAnsi="Times New Roman"/>
          <w:sz w:val="24"/>
        </w:rPr>
        <w:t xml:space="preserve">содержащую  </w:t>
      </w:r>
      <w:r>
        <w:rPr>
          <w:rFonts w:ascii="Times New Roman" w:hAnsi="Times New Roman"/>
          <w:sz w:val="24"/>
        </w:rPr>
        <w:t xml:space="preserve">сведения     о соответствии/несоответствии Транспортного средства обязательным требованиям безопасности  транспортных средств.  </w:t>
      </w:r>
      <w:r>
        <w:rPr>
          <w:rFonts w:ascii="Times New Roman" w:hAnsi="Times New Roman"/>
          <w:sz w:val="24"/>
        </w:rPr>
        <w:t>В случае</w:t>
      </w:r>
      <w:r>
        <w:rPr>
          <w:rFonts w:ascii="Times New Roman" w:hAnsi="Times New Roman"/>
          <w:sz w:val="24"/>
        </w:rPr>
        <w:t xml:space="preserve"> несоответствия Транспортного средства  обязательным  требованиям   безопасности   транспортных   средств диагностическая карта  должна содержать сведения о выявленных   технических неисправностях  Транспортного средства.</w:t>
      </w:r>
    </w:p>
    <w:p w14:paraId="26000000">
      <w:pPr>
        <w:pStyle w:val="Style_3"/>
        <w:widowControl w:val="1"/>
        <w:tabs>
          <w:tab w:leader="none" w:pos="709" w:val="left"/>
        </w:tabs>
        <w:ind/>
        <w:jc w:val="both"/>
      </w:pPr>
      <w:r>
        <w:rPr>
          <w:rFonts w:ascii="Times New Roman" w:hAnsi="Times New Roman"/>
          <w:sz w:val="24"/>
        </w:rPr>
        <w:t xml:space="preserve">    </w:t>
      </w:r>
      <w:r>
        <w:rPr>
          <w:rFonts w:ascii="Times New Roman" w:hAnsi="Times New Roman"/>
          <w:sz w:val="24"/>
        </w:rPr>
        <w:tab/>
      </w:r>
      <w:bookmarkStart w:id="5" w:name="P138"/>
      <w:bookmarkEnd w:id="5"/>
      <w:r>
        <w:rPr>
          <w:rFonts w:ascii="Times New Roman" w:hAnsi="Times New Roman"/>
          <w:sz w:val="24"/>
        </w:rPr>
        <w:t xml:space="preserve"> </w:t>
      </w:r>
      <w:r>
        <w:rPr>
          <w:rFonts w:ascii="Times New Roman" w:hAnsi="Times New Roman"/>
          <w:sz w:val="24"/>
        </w:rPr>
        <w:t>2.4. Исполнитель вправе:</w:t>
      </w:r>
    </w:p>
    <w:p w14:paraId="27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2.4.1.  В  одностороннем  порядке  отказаться  от исполнения настоящего Договора в случаях непредставления для Технического осмотра Заказчиком либо уполномоченным  им  лицом  Транспортного  средства, документов, указанных в </w:t>
      </w:r>
      <w:r>
        <w:rPr>
          <w:rFonts w:ascii="Times New Roman" w:hAnsi="Times New Roman"/>
          <w:color w:val="0000FF"/>
          <w:sz w:val="24"/>
        </w:rPr>
        <w:fldChar w:fldCharType="begin"/>
      </w:r>
      <w:r>
        <w:rPr>
          <w:rFonts w:ascii="Times New Roman" w:hAnsi="Times New Roman"/>
          <w:color w:val="0000FF"/>
          <w:sz w:val="24"/>
        </w:rPr>
        <w:instrText>HYPERLINK \l "P88"</w:instrText>
      </w:r>
      <w:r>
        <w:rPr>
          <w:rFonts w:ascii="Times New Roman" w:hAnsi="Times New Roman"/>
          <w:color w:val="0000FF"/>
          <w:sz w:val="24"/>
        </w:rPr>
        <w:fldChar w:fldCharType="separate"/>
      </w:r>
      <w:r>
        <w:rPr>
          <w:rFonts w:ascii="Times New Roman" w:hAnsi="Times New Roman"/>
          <w:color w:val="0000FF"/>
          <w:sz w:val="24"/>
        </w:rPr>
        <w:t>пункте 2.1.1</w:t>
      </w:r>
      <w:r>
        <w:rPr>
          <w:rFonts w:ascii="Times New Roman" w:hAnsi="Times New Roman"/>
          <w:color w:val="0000FF"/>
          <w:sz w:val="24"/>
        </w:rPr>
        <w:fldChar w:fldCharType="end"/>
      </w:r>
      <w:r>
        <w:rPr>
          <w:rFonts w:ascii="Times New Roman" w:hAnsi="Times New Roman"/>
          <w:sz w:val="24"/>
        </w:rPr>
        <w:t xml:space="preserve"> настоящего Договора</w:t>
      </w:r>
      <w:r>
        <w:rPr>
          <w:rFonts w:ascii="Times New Roman" w:hAnsi="Times New Roman"/>
          <w:sz w:val="24"/>
        </w:rPr>
        <w:t>,</w:t>
      </w:r>
      <w:r>
        <w:rPr>
          <w:rFonts w:ascii="Times New Roman" w:hAnsi="Times New Roman"/>
          <w:sz w:val="24"/>
        </w:rPr>
        <w:t xml:space="preserve"> либо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14:paraId="28000000">
      <w:pPr>
        <w:pStyle w:val="Style_3"/>
        <w:widowControl w:val="1"/>
        <w:ind/>
        <w:jc w:val="both"/>
        <w:rPr>
          <w:rFonts w:ascii="Times New Roman" w:hAnsi="Times New Roman"/>
          <w:sz w:val="24"/>
        </w:rPr>
      </w:pPr>
    </w:p>
    <w:p w14:paraId="29000000">
      <w:pPr>
        <w:pStyle w:val="Style_3"/>
        <w:widowControl w:val="1"/>
        <w:ind/>
        <w:jc w:val="center"/>
      </w:pPr>
      <w:bookmarkStart w:id="6" w:name="P156"/>
      <w:bookmarkEnd w:id="6"/>
      <w:r>
        <w:rPr>
          <w:rFonts w:ascii="Times New Roman" w:hAnsi="Times New Roman"/>
          <w:b w:val="1"/>
          <w:sz w:val="24"/>
        </w:rPr>
        <w:t>3. Стоимость услуг по техническому осмотру и порядок их оплаты</w:t>
      </w:r>
    </w:p>
    <w:p w14:paraId="2A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3.1. Проведение Технического осмотра осуществляется на платной основе.</w:t>
      </w:r>
    </w:p>
    <w:p w14:paraId="2B000000">
      <w:pPr>
        <w:pStyle w:val="Style_3"/>
        <w:widowControl w:val="1"/>
        <w:ind/>
        <w:jc w:val="both"/>
        <w:rPr>
          <w:b w:val="1"/>
        </w:rPr>
      </w:pPr>
      <w:bookmarkStart w:id="7" w:name="P160"/>
      <w:bookmarkEnd w:id="7"/>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3.2. Стоимость услуг по Техническому осмотру составляет </w:t>
      </w:r>
      <w:r>
        <w:rPr>
          <w:rFonts w:ascii="Times New Roman" w:hAnsi="Times New Roman"/>
          <w:b w:val="1"/>
          <w:sz w:val="24"/>
        </w:rPr>
        <w:t>___________</w:t>
      </w:r>
    </w:p>
    <w:p w14:paraId="2C000000">
      <w:pPr>
        <w:pStyle w:val="Style_3"/>
        <w:widowControl w:val="1"/>
        <w:ind/>
        <w:jc w:val="both"/>
        <w:rPr>
          <w:b w:val="1"/>
        </w:rPr>
      </w:pPr>
      <w:r>
        <w:rPr>
          <w:rFonts w:ascii="Times New Roman" w:hAnsi="Times New Roman"/>
          <w:sz w:val="24"/>
        </w:rPr>
        <w:t xml:space="preserve">            3.3. </w:t>
      </w:r>
      <w:r>
        <w:rPr>
          <w:rFonts w:ascii="Times New Roman" w:hAnsi="Times New Roman"/>
          <w:sz w:val="24"/>
        </w:rPr>
        <w:t xml:space="preserve">Оплата по настоящему Договору осуществляется Заказчиком в безналичной форме путем перечисления денежных средств на расчетный счет Исполнителя, указанный в настоящем Договоре, по факту исполнения, принятых на себя обязательств по оказанию </w:t>
      </w:r>
      <w:r>
        <w:rPr>
          <w:rFonts w:ascii="Times New Roman" w:hAnsi="Times New Roman"/>
          <w:sz w:val="24"/>
        </w:rPr>
        <w:t>Технического осмотра</w:t>
      </w:r>
      <w:r>
        <w:rPr>
          <w:rFonts w:ascii="Times New Roman" w:hAnsi="Times New Roman"/>
          <w:sz w:val="24"/>
        </w:rPr>
        <w:t>, в течение 7 (семи) рабочих дней с даты подписания Акта сдачи- приемки услуг.</w:t>
      </w:r>
    </w:p>
    <w:p w14:paraId="2D000000">
      <w:pPr>
        <w:pStyle w:val="Style_5"/>
        <w:widowControl w:val="1"/>
        <w:numPr>
          <w:ilvl w:val="1"/>
          <w:numId w:val="2"/>
        </w:numPr>
        <w:spacing w:after="0" w:line="252" w:lineRule="auto"/>
        <w:ind w:firstLine="851" w:left="0"/>
        <w:jc w:val="both"/>
        <w:rPr>
          <w:rFonts w:ascii="Times New Roman" w:hAnsi="Times New Roman"/>
          <w:sz w:val="24"/>
        </w:rPr>
      </w:pPr>
      <w:r>
        <w:rPr>
          <w:rFonts w:ascii="Times New Roman" w:hAnsi="Times New Roman"/>
          <w:sz w:val="24"/>
        </w:rPr>
        <w:t>Цена Договора является твердой и не подлежит изменению в течение срока действия Договора, за исключением случаев, предусмотренных федеральным законом от 05.04.2013 № 44</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w:t>
      </w:r>
      <w:r>
        <w:rPr>
          <w:rFonts w:ascii="Times New Roman" w:hAnsi="Times New Roman"/>
          <w:sz w:val="24"/>
        </w:rPr>
        <w:t>ФЗ</w:t>
      </w:r>
      <w:r>
        <w:rPr>
          <w:rFonts w:ascii="Times New Roman" w:hAnsi="Times New Roman"/>
          <w:sz w:val="24"/>
        </w:rPr>
        <w:t>.</w:t>
      </w:r>
    </w:p>
    <w:p w14:paraId="2E000000">
      <w:pPr>
        <w:widowControl w:val="1"/>
        <w:numPr>
          <w:ilvl w:val="1"/>
          <w:numId w:val="2"/>
        </w:numPr>
        <w:spacing w:after="0" w:line="240" w:lineRule="auto"/>
        <w:ind w:firstLine="851" w:left="0"/>
        <w:jc w:val="both"/>
      </w:pPr>
      <w:r>
        <w:rPr>
          <w:rFonts w:ascii="Times New Roman" w:hAnsi="Times New Roman"/>
          <w:sz w:val="24"/>
        </w:rPr>
        <w:t>Оплата по Договору осуществляется за счет средств федерального бюджета, предусмотренных</w:t>
      </w:r>
      <w:r>
        <w:t xml:space="preserve"> </w:t>
      </w:r>
      <w:r>
        <w:rPr>
          <w:rFonts w:ascii="Times New Roman" w:hAnsi="Times New Roman"/>
          <w:sz w:val="24"/>
        </w:rPr>
        <w:t>на указанные цели Федерального казенного учреждения «Главное бюро медико-социальной экспертизы по Республике Крым» Министерства труда и социальной защиты Российской Федерации на 2026</w:t>
      </w:r>
      <w:r>
        <w:rPr>
          <w:rFonts w:ascii="Times New Roman" w:hAnsi="Times New Roman"/>
          <w:sz w:val="24"/>
        </w:rPr>
        <w:t xml:space="preserve"> год, путем безналичного перевода денежных средств в валюте Российской Федерации (рубль) на расчетный счет Исполнителя.</w:t>
      </w:r>
    </w:p>
    <w:p w14:paraId="2F000000">
      <w:pPr>
        <w:pStyle w:val="Style_5"/>
        <w:widowControl w:val="1"/>
        <w:spacing w:after="0" w:line="240" w:lineRule="auto"/>
        <w:ind w:firstLine="851" w:left="0"/>
        <w:jc w:val="both"/>
      </w:pPr>
      <w:r>
        <w:rPr>
          <w:rFonts w:ascii="Times New Roman" w:hAnsi="Times New Roman"/>
          <w:sz w:val="24"/>
        </w:rPr>
        <w:t>3.</w:t>
      </w:r>
      <w:r>
        <w:rPr>
          <w:rFonts w:ascii="Times New Roman" w:hAnsi="Times New Roman"/>
          <w:sz w:val="24"/>
        </w:rPr>
        <w:t>5</w:t>
      </w:r>
      <w:r>
        <w:rPr>
          <w:rFonts w:ascii="Times New Roman" w:hAnsi="Times New Roman"/>
          <w:sz w:val="24"/>
        </w:rPr>
        <w:t>. Цена Договора может быть снижена по соглашению Сторон без изменения предусмотренных Договором объема работ, услуг и иных условий исполнения Договора.</w:t>
      </w:r>
    </w:p>
    <w:p w14:paraId="30000000">
      <w:pPr>
        <w:widowControl w:val="0"/>
        <w:spacing w:after="0"/>
        <w:ind w:firstLine="851"/>
        <w:jc w:val="both"/>
      </w:pPr>
      <w:r>
        <w:rPr>
          <w:rFonts w:ascii="Times New Roman" w:hAnsi="Times New Roman"/>
          <w:sz w:val="24"/>
        </w:rPr>
        <w:t>3.</w:t>
      </w:r>
      <w:r>
        <w:rPr>
          <w:rFonts w:ascii="Times New Roman" w:hAnsi="Times New Roman"/>
          <w:sz w:val="24"/>
        </w:rPr>
        <w:t>6</w:t>
      </w:r>
      <w:r>
        <w:rPr>
          <w:rFonts w:ascii="Times New Roman" w:hAnsi="Times New Roman"/>
          <w:sz w:val="24"/>
        </w:rPr>
        <w:t>. Цена Договора может быть изменена, если по предложению Заказчика увеличива</w:t>
      </w:r>
      <w:r>
        <w:rPr>
          <w:rFonts w:ascii="Times New Roman" w:hAnsi="Times New Roman"/>
          <w:sz w:val="24"/>
        </w:rPr>
        <w:t>е</w:t>
      </w:r>
      <w:r>
        <w:rPr>
          <w:rFonts w:ascii="Times New Roman" w:hAnsi="Times New Roman"/>
          <w:sz w:val="24"/>
        </w:rPr>
        <w:t>тся предусмотренный Договором объем услуги не более чем на десять процентов или уменьша</w:t>
      </w:r>
      <w:r>
        <w:rPr>
          <w:rFonts w:ascii="Times New Roman" w:hAnsi="Times New Roman"/>
          <w:sz w:val="24"/>
        </w:rPr>
        <w:t>е</w:t>
      </w:r>
      <w:r>
        <w:rPr>
          <w:rFonts w:ascii="Times New Roman" w:hAnsi="Times New Roman"/>
          <w:sz w:val="24"/>
        </w:rPr>
        <w:t xml:space="preserve">тся предусмотренный Договором объем оказываемой услуги не более чем на десять процентов. </w:t>
      </w:r>
    </w:p>
    <w:p w14:paraId="31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3.</w:t>
      </w:r>
      <w:r>
        <w:rPr>
          <w:rFonts w:ascii="Times New Roman" w:hAnsi="Times New Roman"/>
          <w:sz w:val="24"/>
        </w:rPr>
        <w:t>7</w:t>
      </w:r>
      <w:r>
        <w:rPr>
          <w:rFonts w:ascii="Times New Roman" w:hAnsi="Times New Roman"/>
          <w:sz w:val="24"/>
        </w:rPr>
        <w:t xml:space="preserve">.  </w:t>
      </w:r>
      <w:r>
        <w:rPr>
          <w:rFonts w:ascii="Times New Roman" w:hAnsi="Times New Roman"/>
          <w:sz w:val="24"/>
        </w:rPr>
        <w:t>Оплата стоимости услуг по Техническому</w:t>
      </w:r>
      <w:r>
        <w:rPr>
          <w:rFonts w:ascii="Times New Roman" w:hAnsi="Times New Roman"/>
          <w:sz w:val="24"/>
        </w:rPr>
        <w:t xml:space="preserve"> осмотру производится в валюте  Российской  Федерации  в  безналичном  порядке  путем  перечисления денежных  средств  на  расчетный  счет  Исполнителя. </w:t>
      </w:r>
    </w:p>
    <w:p w14:paraId="32000000">
      <w:pPr>
        <w:pStyle w:val="Style_3"/>
        <w:widowControl w:val="1"/>
        <w:ind/>
        <w:jc w:val="both"/>
        <w:rPr>
          <w:rFonts w:ascii="Times New Roman" w:hAnsi="Times New Roman"/>
          <w:sz w:val="24"/>
        </w:rPr>
      </w:pPr>
    </w:p>
    <w:p w14:paraId="33000000">
      <w:pPr>
        <w:pStyle w:val="Style_3"/>
        <w:widowControl w:val="1"/>
        <w:ind/>
        <w:jc w:val="center"/>
      </w:pPr>
      <w:r>
        <w:rPr>
          <w:rFonts w:ascii="Times New Roman" w:hAnsi="Times New Roman"/>
          <w:b w:val="1"/>
          <w:sz w:val="24"/>
        </w:rPr>
        <w:t>4. Ответственность сторон</w:t>
      </w:r>
    </w:p>
    <w:p w14:paraId="34000000">
      <w:pPr>
        <w:pStyle w:val="Style_6"/>
        <w:widowControl w:val="1"/>
        <w:ind w:firstLine="709"/>
        <w:jc w:val="both"/>
      </w:pPr>
      <w:r>
        <w:rPr>
          <w:sz w:val="24"/>
        </w:rPr>
        <w:t xml:space="preserve"> </w:t>
      </w:r>
      <w:r>
        <w:rPr>
          <w:sz w:val="24"/>
        </w:rPr>
        <w:t>4</w:t>
      </w:r>
      <w:r>
        <w:rPr>
          <w:sz w:val="24"/>
        </w:rPr>
        <w:t>.1.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35000000">
      <w:pPr>
        <w:pStyle w:val="Style_6"/>
        <w:widowControl w:val="1"/>
        <w:ind w:firstLine="709"/>
        <w:jc w:val="both"/>
      </w:pPr>
      <w:r>
        <w:rPr>
          <w:sz w:val="24"/>
        </w:rPr>
        <w:t>4</w:t>
      </w:r>
      <w:r>
        <w:rPr>
          <w:sz w:val="24"/>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36000000">
      <w:pPr>
        <w:pStyle w:val="Style_6"/>
        <w:widowControl w:val="1"/>
        <w:ind w:firstLine="709"/>
        <w:jc w:val="both"/>
      </w:pPr>
      <w:r>
        <w:rPr>
          <w:sz w:val="24"/>
        </w:rPr>
        <w:t>4</w:t>
      </w:r>
      <w:r>
        <w:rPr>
          <w:sz w:val="24"/>
        </w:rPr>
        <w:t>.3.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7000000">
      <w:pPr>
        <w:pStyle w:val="Style_6"/>
        <w:widowControl w:val="1"/>
        <w:ind w:firstLine="709"/>
        <w:jc w:val="both"/>
      </w:pPr>
      <w:r>
        <w:rPr>
          <w:sz w:val="24"/>
        </w:rPr>
        <w:t xml:space="preserve">В случае нарушения Исполнителем сроков оказания услуги, предусмотренных Договором, Заказчик не несет ответственность, установленную настоящим пунктом Договора. </w:t>
      </w:r>
    </w:p>
    <w:p w14:paraId="38000000">
      <w:pPr>
        <w:pStyle w:val="Style_7"/>
        <w:widowControl w:val="1"/>
        <w:ind w:firstLine="709"/>
      </w:pPr>
      <w:r>
        <w:t>4</w:t>
      </w:r>
      <w:r>
        <w:t xml:space="preserve">.4. За каждый факт неисполнения Заказчиком обязательств, предусмотренных Договором, за исключением просрочки исполнения обязательств Исполнитель вправе взыскать с Заказчика штраф в виде фиксированной суммы, определяемой в соответствии с </w:t>
      </w:r>
      <w:r>
        <w:fldChar w:fldCharType="begin"/>
      </w:r>
      <w:r>
        <w:instrText>HYPERLINK "consultantplus://offline/ref=0336324B77B96FACF3BEDAE3EDE9203C0E2B918323B7D3DA1072E17F8Df8AAD"</w:instrText>
      </w:r>
      <w:r>
        <w:fldChar w:fldCharType="separate"/>
      </w:r>
      <w:r>
        <w:t>Постановлением</w:t>
      </w:r>
      <w:r>
        <w:fldChar w:fldCharType="end"/>
      </w:r>
      <w:r>
        <w:t xml:space="preserve"> Правительства Российской Федерации от 30.08.2017 № 1042, и составляет 1000 (одну тысячу) рублей 00 копеек. </w:t>
      </w:r>
    </w:p>
    <w:p w14:paraId="39000000">
      <w:pPr>
        <w:pStyle w:val="Style_7"/>
        <w:widowControl w:val="1"/>
        <w:ind w:firstLine="709"/>
      </w:pPr>
      <w:r>
        <w:t>4</w:t>
      </w:r>
      <w:r>
        <w:t>.5. Штрафные санкции могут быть предъявлены Исполнителем к Заказчику в случае неоднократного (от двух и более раз) незаконного отказа от приемки оказанных услуг по настоящему Договору.</w:t>
      </w:r>
    </w:p>
    <w:p w14:paraId="3A000000">
      <w:pPr>
        <w:pStyle w:val="Style_7"/>
        <w:widowControl w:val="1"/>
        <w:ind w:firstLine="709"/>
      </w:pPr>
      <w:r>
        <w:t>4</w:t>
      </w:r>
      <w:r>
        <w:t>.6.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обязан направить Исполнителю требование об уплате неустоек (штрафов, пеней).</w:t>
      </w:r>
    </w:p>
    <w:p w14:paraId="3B000000">
      <w:pPr>
        <w:pStyle w:val="Style_7"/>
        <w:widowControl w:val="1"/>
        <w:ind w:firstLine="709"/>
      </w:pPr>
      <w:r>
        <w:t>4</w:t>
      </w:r>
      <w:r>
        <w:t>.7. Пеня начисляется за каждый день просрочки исполнения Исполнителем, обязательства, предусмотренного Договором,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3C000000">
      <w:pPr>
        <w:pStyle w:val="Style_7"/>
        <w:widowControl w:val="1"/>
        <w:ind/>
      </w:pPr>
      <w:r>
        <w:t xml:space="preserve">    </w:t>
      </w:r>
      <w:r>
        <w:t>4</w:t>
      </w:r>
      <w:r>
        <w:t>.8.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но не более 5 тыс. рублей и не менее 1 тыс. рублей.</w:t>
      </w:r>
    </w:p>
    <w:p w14:paraId="3D000000">
      <w:pPr>
        <w:pStyle w:val="Style_7"/>
        <w:widowControl w:val="1"/>
        <w:ind w:firstLine="709"/>
      </w:pPr>
      <w:r>
        <w:t>4</w:t>
      </w:r>
      <w:r>
        <w:t>.9.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Правительства Российской Федерации от 30.08.2017 № 1042 и составляет 1 000 (одну тысячу) рублей 00 копеек.</w:t>
      </w:r>
    </w:p>
    <w:p w14:paraId="3E000000">
      <w:pPr>
        <w:pStyle w:val="Style_7"/>
        <w:widowControl w:val="1"/>
        <w:ind w:firstLine="709"/>
      </w:pPr>
      <w:r>
        <w:t>4</w:t>
      </w:r>
      <w:r>
        <w:t xml:space="preserve">.10. Штрафные санкции могут быть предъявлены Заказчиком к Исполнителю в случае </w:t>
      </w:r>
      <w:r>
        <w:t>не поставки</w:t>
      </w:r>
      <w:r>
        <w:t xml:space="preserve"> товара по настоящему Договору; в случае не поставки товара в полном объеме; в случае поставки товара ненадлежащего качества (данные нарушения должны быть зафиксированы в акте).</w:t>
      </w:r>
    </w:p>
    <w:p w14:paraId="3F000000">
      <w:pPr>
        <w:pStyle w:val="Style_7"/>
        <w:widowControl w:val="1"/>
        <w:ind w:firstLine="709"/>
      </w:pPr>
      <w:r>
        <w:t>4</w:t>
      </w:r>
      <w:r>
        <w:t>.11.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40000000">
      <w:pPr>
        <w:pStyle w:val="Style_7"/>
        <w:widowControl w:val="1"/>
        <w:ind w:firstLine="709"/>
      </w:pPr>
      <w:r>
        <w:t>4</w:t>
      </w:r>
      <w:r>
        <w:t>.12.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1000000">
      <w:pPr>
        <w:pStyle w:val="Style_7"/>
        <w:widowControl w:val="1"/>
        <w:ind w:firstLine="709"/>
      </w:pPr>
      <w:r>
        <w:t>4</w:t>
      </w:r>
      <w:r>
        <w:t xml:space="preserve">.13. Ответственность за достоверность и соответствие законодательству Российской Федерации сведений, указанных в представленных документах, несет </w:t>
      </w:r>
      <w:r>
        <w:t>ИСПОЛНИТЕЛЬ</w:t>
      </w:r>
      <w:r>
        <w:t>.</w:t>
      </w:r>
    </w:p>
    <w:p w14:paraId="42000000">
      <w:pPr>
        <w:pStyle w:val="Style_7"/>
        <w:widowControl w:val="1"/>
        <w:ind w:firstLine="709"/>
      </w:pPr>
      <w:r>
        <w:t>4</w:t>
      </w:r>
      <w:r>
        <w:t>.14. Уплата Исполнителем неустойки или применение иной формы ответственности не освобождает его от исполнения обязательств по настоящему Договору.</w:t>
      </w:r>
    </w:p>
    <w:p w14:paraId="43000000">
      <w:pPr>
        <w:pStyle w:val="Style_7"/>
        <w:widowControl w:val="1"/>
        <w:ind w:firstLine="708"/>
      </w:pPr>
      <w:r>
        <w:t>4</w:t>
      </w:r>
      <w:r>
        <w:t>.15.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44000000">
      <w:pPr>
        <w:pStyle w:val="Style_7"/>
        <w:widowControl w:val="1"/>
        <w:ind w:firstLine="708"/>
      </w:pPr>
      <w:r>
        <w:t>4</w:t>
      </w:r>
      <w:r>
        <w:t>.16.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5000000">
      <w:pPr>
        <w:pStyle w:val="Style_7"/>
        <w:widowControl w:val="1"/>
        <w:ind w:firstLine="708"/>
      </w:pPr>
    </w:p>
    <w:p w14:paraId="46000000">
      <w:pPr>
        <w:pStyle w:val="Style_3"/>
        <w:widowControl w:val="1"/>
        <w:ind/>
        <w:jc w:val="center"/>
      </w:pPr>
      <w:r>
        <w:rPr>
          <w:rFonts w:ascii="Times New Roman" w:hAnsi="Times New Roman"/>
          <w:b w:val="1"/>
          <w:sz w:val="24"/>
        </w:rPr>
        <w:t>5.</w:t>
      </w:r>
      <w:r>
        <w:rPr>
          <w:rFonts w:ascii="Times New Roman" w:hAnsi="Times New Roman"/>
          <w:b w:val="1"/>
          <w:sz w:val="24"/>
        </w:rPr>
        <w:t xml:space="preserve"> Срок действия и порядок изменения и расторжения Договора</w:t>
      </w:r>
    </w:p>
    <w:p w14:paraId="47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5.1.  Настоящий Договор вступает в силу с момента его подписания Сторонами и действует до </w:t>
      </w:r>
      <w:r>
        <w:rPr>
          <w:rFonts w:ascii="Times New Roman" w:hAnsi="Times New Roman"/>
          <w:color w:val="000000"/>
          <w:spacing w:val="-1"/>
          <w:sz w:val="24"/>
        </w:rPr>
        <w:t xml:space="preserve"> 31</w:t>
      </w:r>
      <w:r>
        <w:rPr>
          <w:rFonts w:ascii="Times New Roman" w:hAnsi="Times New Roman"/>
          <w:color w:val="000000"/>
          <w:spacing w:val="-1"/>
          <w:sz w:val="24"/>
        </w:rPr>
        <w:t xml:space="preserve"> декабря 2026</w:t>
      </w:r>
      <w:r>
        <w:rPr>
          <w:rFonts w:ascii="Times New Roman" w:hAnsi="Times New Roman"/>
          <w:color w:val="000000"/>
          <w:spacing w:val="-1"/>
          <w:sz w:val="24"/>
        </w:rPr>
        <w:t xml:space="preserve"> г.</w:t>
      </w:r>
    </w:p>
    <w:p w14:paraId="48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5.2.  </w:t>
      </w:r>
      <w:r>
        <w:rPr>
          <w:rFonts w:ascii="Times New Roman" w:hAnsi="Times New Roman"/>
          <w:sz w:val="24"/>
        </w:rPr>
        <w:t>Настоящий Договор может быть изменен по соглашению Сторон</w:t>
      </w:r>
      <w:r>
        <w:rPr>
          <w:rFonts w:ascii="Times New Roman" w:hAnsi="Times New Roman"/>
          <w:sz w:val="24"/>
        </w:rPr>
        <w:t>, составленному в письменной форме.</w:t>
      </w:r>
    </w:p>
    <w:p w14:paraId="49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5.3. Настоящий Договор может быть расторгнут:</w:t>
      </w:r>
    </w:p>
    <w:p w14:paraId="4A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5.3.1. по соглашению Сторон;</w:t>
      </w:r>
    </w:p>
    <w:p w14:paraId="4B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5.3.2.  </w:t>
      </w:r>
      <w:r>
        <w:rPr>
          <w:rFonts w:ascii="Times New Roman" w:hAnsi="Times New Roman"/>
          <w:sz w:val="24"/>
        </w:rPr>
        <w:t>в одностороннем порядке</w:t>
      </w:r>
      <w:r>
        <w:rPr>
          <w:rFonts w:ascii="Times New Roman" w:hAnsi="Times New Roman"/>
          <w:sz w:val="24"/>
        </w:rPr>
        <w:t xml:space="preserve"> в соответствии с условиями настоящего Договора;</w:t>
      </w:r>
    </w:p>
    <w:p w14:paraId="4C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5.3.3.  </w:t>
      </w:r>
      <w:r>
        <w:rPr>
          <w:rFonts w:ascii="Times New Roman" w:hAnsi="Times New Roman"/>
          <w:sz w:val="24"/>
        </w:rPr>
        <w:t>по решению суда</w:t>
      </w:r>
      <w:r>
        <w:rPr>
          <w:rFonts w:ascii="Times New Roman" w:hAnsi="Times New Roman"/>
          <w:sz w:val="24"/>
        </w:rPr>
        <w:t xml:space="preserve"> в соответствии с законодательством Российской Федерации.</w:t>
      </w:r>
    </w:p>
    <w:p w14:paraId="4D000000">
      <w:pPr>
        <w:pStyle w:val="Style_3"/>
        <w:widowControl w:val="1"/>
        <w:ind/>
        <w:jc w:val="center"/>
      </w:pPr>
      <w:r>
        <w:rPr>
          <w:rFonts w:ascii="Times New Roman" w:hAnsi="Times New Roman"/>
          <w:b w:val="1"/>
          <w:sz w:val="24"/>
        </w:rPr>
        <w:t>6. Дополнительные условия</w:t>
      </w:r>
    </w:p>
    <w:p w14:paraId="4E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6.1.  </w:t>
      </w:r>
      <w:r>
        <w:rPr>
          <w:rFonts w:ascii="Times New Roman" w:hAnsi="Times New Roman"/>
          <w:sz w:val="24"/>
        </w:rPr>
        <w:t>Во всем, что не урегулировано настоящим Договором, Стороны</w:t>
      </w:r>
      <w:r>
        <w:rPr>
          <w:rFonts w:ascii="Times New Roman" w:hAnsi="Times New Roman"/>
          <w:sz w:val="24"/>
        </w:rPr>
        <w:t xml:space="preserve"> руководствуются законодательством Российской Федерации.</w:t>
      </w:r>
    </w:p>
    <w:p w14:paraId="4F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6.2.  </w:t>
      </w:r>
      <w:r>
        <w:rPr>
          <w:rFonts w:ascii="Times New Roman" w:hAnsi="Times New Roman"/>
          <w:sz w:val="24"/>
        </w:rPr>
        <w:t>Стороны принимают все</w:t>
      </w:r>
      <w:r>
        <w:rPr>
          <w:rFonts w:ascii="Times New Roman" w:hAnsi="Times New Roman"/>
          <w:sz w:val="24"/>
        </w:rPr>
        <w:t xml:space="preserve"> меры к разрешению споров и разногласий на основе  взаимной  договоренности.  В случае не достижения договоренности все споры   и   </w:t>
      </w:r>
      <w:r>
        <w:rPr>
          <w:rFonts w:ascii="Times New Roman" w:hAnsi="Times New Roman"/>
          <w:sz w:val="24"/>
        </w:rPr>
        <w:t>разногласия решаются в судебном порядке в соответствии с</w:t>
      </w:r>
      <w:r>
        <w:rPr>
          <w:rFonts w:ascii="Times New Roman" w:hAnsi="Times New Roman"/>
          <w:sz w:val="24"/>
        </w:rPr>
        <w:t xml:space="preserve"> законодательством Российской Федерации.</w:t>
      </w:r>
    </w:p>
    <w:p w14:paraId="50000000">
      <w:pPr>
        <w:pStyle w:val="Style_3"/>
        <w:widowControl w:val="1"/>
        <w:ind/>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6.3. Настоящий Договор составлен в двух экземплярах, имеющих одинаковую юридическую силу, по одному экземпляру для каждой из Сторон.</w:t>
      </w:r>
    </w:p>
    <w:p w14:paraId="51000000">
      <w:pPr>
        <w:pStyle w:val="Style_3"/>
        <w:widowControl w:val="1"/>
        <w:ind/>
        <w:jc w:val="both"/>
        <w:rPr>
          <w:rFonts w:ascii="Times New Roman" w:hAnsi="Times New Roman"/>
          <w:sz w:val="24"/>
        </w:rPr>
      </w:pPr>
    </w:p>
    <w:p w14:paraId="52000000">
      <w:pPr>
        <w:pStyle w:val="Style_3"/>
        <w:widowControl w:val="1"/>
        <w:ind/>
        <w:jc w:val="both"/>
        <w:rPr>
          <w:rFonts w:ascii="Times New Roman" w:hAnsi="Times New Roman"/>
          <w:sz w:val="24"/>
        </w:rPr>
      </w:pPr>
    </w:p>
    <w:p w14:paraId="53000000">
      <w:pPr>
        <w:pStyle w:val="Style_5"/>
        <w:widowControl w:val="0"/>
        <w:numPr>
          <w:ilvl w:val="0"/>
          <w:numId w:val="3"/>
        </w:numPr>
        <w:spacing w:after="0" w:line="240" w:lineRule="auto"/>
        <w:ind/>
        <w:jc w:val="both"/>
      </w:pPr>
      <w:r>
        <w:rPr>
          <w:rFonts w:ascii="Times New Roman" w:hAnsi="Times New Roman"/>
          <w:b w:val="1"/>
          <w:sz w:val="24"/>
        </w:rPr>
        <w:t xml:space="preserve">Обстоятельства непреодолимой силы </w:t>
      </w:r>
    </w:p>
    <w:p w14:paraId="54000000">
      <w:pPr>
        <w:widowControl w:val="0"/>
        <w:spacing w:after="0" w:line="240" w:lineRule="auto"/>
        <w:ind w:firstLine="539"/>
        <w:jc w:val="both"/>
      </w:pPr>
      <w:r>
        <w:rPr>
          <w:rFonts w:ascii="Times New Roman" w:hAnsi="Times New Roman"/>
          <w:color w:val="000000"/>
          <w:sz w:val="24"/>
        </w:rPr>
        <w:t>7.1. Стороны не несут ответственности за полное или частичное</w:t>
      </w:r>
      <w:r>
        <w:rPr>
          <w:rFonts w:ascii="Times New Roman" w:hAnsi="Times New Roman"/>
          <w:sz w:val="24"/>
        </w:rPr>
        <w:t xml:space="preserve"> </w:t>
      </w:r>
      <w:r>
        <w:rPr>
          <w:rFonts w:ascii="Times New Roman" w:hAnsi="Times New Roman"/>
          <w:color w:val="000000"/>
          <w:sz w:val="24"/>
        </w:rPr>
        <w:t>неисполнение предусмотренных настоящим Договором</w:t>
      </w:r>
      <w:r>
        <w:rPr>
          <w:rFonts w:ascii="Times New Roman" w:hAnsi="Times New Roman"/>
          <w:sz w:val="24"/>
        </w:rPr>
        <w:t xml:space="preserve"> </w:t>
      </w:r>
      <w:r>
        <w:rPr>
          <w:rFonts w:ascii="Times New Roman" w:hAnsi="Times New Roman"/>
          <w:color w:val="000000"/>
          <w:sz w:val="24"/>
        </w:rPr>
        <w:t>обязательств, если такое неисполнение связано с обстоятельствами</w:t>
      </w:r>
      <w:r>
        <w:rPr>
          <w:rFonts w:ascii="Times New Roman" w:hAnsi="Times New Roman"/>
          <w:sz w:val="24"/>
        </w:rPr>
        <w:t xml:space="preserve"> </w:t>
      </w:r>
      <w:r>
        <w:rPr>
          <w:rFonts w:ascii="Times New Roman" w:hAnsi="Times New Roman"/>
          <w:color w:val="000000"/>
          <w:sz w:val="24"/>
        </w:rPr>
        <w:t>непреодолимой силы.</w:t>
      </w:r>
    </w:p>
    <w:p w14:paraId="55000000">
      <w:pPr>
        <w:widowControl w:val="0"/>
        <w:spacing w:after="0" w:line="240" w:lineRule="auto"/>
        <w:ind w:firstLine="539"/>
        <w:jc w:val="both"/>
      </w:pPr>
      <w:r>
        <w:rPr>
          <w:rFonts w:ascii="Times New Roman" w:hAnsi="Times New Roman"/>
          <w:color w:val="000000"/>
          <w:sz w:val="24"/>
        </w:rPr>
        <w:t xml:space="preserve">7.2. </w:t>
      </w:r>
      <w:r>
        <w:rPr>
          <w:rFonts w:ascii="Times New Roman" w:hAnsi="Times New Roman"/>
          <w:sz w:val="24"/>
        </w:rPr>
        <w:t>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календарных дней с даты их наступления. В случае прекращения указанных обстоятельств, Сторона в течение 3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p>
    <w:p w14:paraId="56000000">
      <w:pPr>
        <w:widowControl w:val="0"/>
        <w:spacing w:after="0" w:line="240" w:lineRule="auto"/>
        <w:ind w:firstLine="539"/>
        <w:jc w:val="both"/>
      </w:pPr>
      <w:r>
        <w:rPr>
          <w:rFonts w:ascii="Times New Roman" w:hAnsi="Times New Roman"/>
          <w:color w:val="000000"/>
          <w:sz w:val="24"/>
        </w:rPr>
        <w:t>7.3. В случае возникновения обстоятельств непреодолимой силы Стороны вправе расторгнуть настоящий Договор, и в этом случае ни  одна из Сторон не вправе</w:t>
      </w:r>
      <w:r>
        <w:rPr>
          <w:rFonts w:ascii="Times New Roman" w:hAnsi="Times New Roman"/>
          <w:sz w:val="24"/>
        </w:rPr>
        <w:t xml:space="preserve"> </w:t>
      </w:r>
      <w:r>
        <w:rPr>
          <w:rFonts w:ascii="Times New Roman" w:hAnsi="Times New Roman"/>
          <w:color w:val="000000"/>
          <w:sz w:val="24"/>
        </w:rPr>
        <w:t>требовать возмещения убытков.</w:t>
      </w:r>
    </w:p>
    <w:p w14:paraId="57000000">
      <w:pPr>
        <w:pStyle w:val="Style_3"/>
        <w:widowControl w:val="1"/>
        <w:ind w:firstLine="567"/>
        <w:jc w:val="both"/>
      </w:pPr>
      <w:r>
        <w:rPr>
          <w:rFonts w:ascii="Times New Roman" w:hAnsi="Times New Roman"/>
          <w:color w:val="000000"/>
          <w:sz w:val="24"/>
        </w:rPr>
        <w:t>7.4. Доказательством наличия обстоятельств непреодолимой силы и их</w:t>
      </w:r>
      <w:r>
        <w:rPr>
          <w:rFonts w:ascii="Times New Roman" w:hAnsi="Times New Roman"/>
          <w:sz w:val="24"/>
        </w:rPr>
        <w:t xml:space="preserve"> </w:t>
      </w:r>
      <w:r>
        <w:rPr>
          <w:rFonts w:ascii="Times New Roman" w:hAnsi="Times New Roman"/>
          <w:color w:val="000000"/>
          <w:sz w:val="24"/>
        </w:rPr>
        <w:t>продолжительности является соответствующее письменное свидетельство</w:t>
      </w:r>
      <w:r>
        <w:rPr>
          <w:rFonts w:ascii="Times New Roman" w:hAnsi="Times New Roman"/>
          <w:sz w:val="24"/>
        </w:rPr>
        <w:t xml:space="preserve"> уполномоченных </w:t>
      </w:r>
      <w:r>
        <w:rPr>
          <w:rFonts w:ascii="Times New Roman" w:hAnsi="Times New Roman"/>
          <w:color w:val="000000"/>
          <w:sz w:val="24"/>
        </w:rPr>
        <w:t>органов и организаций</w:t>
      </w:r>
    </w:p>
    <w:p w14:paraId="58000000">
      <w:pPr>
        <w:pStyle w:val="Style_3"/>
        <w:widowControl w:val="1"/>
        <w:ind/>
        <w:jc w:val="both"/>
        <w:rPr>
          <w:rFonts w:ascii="Times New Roman" w:hAnsi="Times New Roman"/>
          <w:color w:val="000000"/>
          <w:sz w:val="24"/>
        </w:rPr>
      </w:pPr>
    </w:p>
    <w:p w14:paraId="59000000">
      <w:pPr>
        <w:pStyle w:val="Style_5"/>
        <w:widowControl w:val="0"/>
        <w:numPr>
          <w:ilvl w:val="0"/>
          <w:numId w:val="3"/>
        </w:numPr>
        <w:tabs>
          <w:tab w:leader="none" w:pos="2410" w:val="left"/>
        </w:tabs>
        <w:spacing w:after="0" w:line="240" w:lineRule="auto"/>
        <w:ind/>
      </w:pPr>
      <w:r>
        <w:rPr>
          <w:rFonts w:ascii="Times New Roman" w:hAnsi="Times New Roman"/>
          <w:b w:val="1"/>
          <w:sz w:val="24"/>
        </w:rPr>
        <w:t>Рассмотрение и разрешение споров</w:t>
      </w:r>
    </w:p>
    <w:p w14:paraId="5A000000">
      <w:pPr>
        <w:widowControl w:val="0"/>
        <w:spacing w:after="0" w:line="240" w:lineRule="auto"/>
        <w:ind w:firstLine="540"/>
        <w:jc w:val="both"/>
      </w:pPr>
      <w:r>
        <w:rPr>
          <w:rFonts w:ascii="Times New Roman" w:hAnsi="Times New Roman"/>
          <w:sz w:val="24"/>
        </w:rPr>
        <w:t>8.1.</w:t>
      </w:r>
      <w:r>
        <w:rPr>
          <w:rFonts w:ascii="Times New Roman" w:hAnsi="Times New Roman"/>
          <w:sz w:val="24"/>
        </w:rPr>
        <w:t> </w:t>
      </w:r>
      <w:r>
        <w:rPr>
          <w:rFonts w:ascii="Times New Roman" w:hAnsi="Times New Roman"/>
          <w:color w:val="000000"/>
          <w:sz w:val="24"/>
        </w:rPr>
        <w:t>Претензии Сторон, возникающие в связи с исполнением настоящего Договора, включая споры и разногласия по техническим и финансовым вопросам (условиям), рассматриваются Сторонами в течение 7 дней путем переговоров с оформлением соответствующих документов.</w:t>
      </w:r>
    </w:p>
    <w:p w14:paraId="5B000000">
      <w:pPr>
        <w:widowControl w:val="0"/>
        <w:spacing w:after="0" w:line="240" w:lineRule="auto"/>
        <w:ind w:firstLine="540"/>
        <w:jc w:val="both"/>
      </w:pPr>
      <w:r>
        <w:rPr>
          <w:rFonts w:ascii="Times New Roman" w:hAnsi="Times New Roman"/>
          <w:sz w:val="24"/>
        </w:rPr>
        <w:t>8.2.</w:t>
      </w:r>
      <w:r>
        <w:rPr>
          <w:rFonts w:ascii="Times New Roman" w:hAnsi="Times New Roman"/>
          <w:sz w:val="24"/>
        </w:rPr>
        <w:t> </w:t>
      </w:r>
      <w:r>
        <w:rPr>
          <w:rFonts w:ascii="Times New Roman" w:hAnsi="Times New Roman"/>
          <w:color w:val="000000"/>
          <w:sz w:val="24"/>
        </w:rPr>
        <w:t>Неурегулированные споры передаются на разрешение в Арбитражный суд  только после принятия мер по их досудебному урегулированию.</w:t>
      </w:r>
    </w:p>
    <w:p w14:paraId="5C000000">
      <w:pPr>
        <w:widowControl w:val="0"/>
        <w:spacing w:after="0" w:line="240" w:lineRule="auto"/>
        <w:ind w:firstLine="540"/>
        <w:jc w:val="both"/>
        <w:rPr>
          <w:rFonts w:ascii="Times New Roman" w:hAnsi="Times New Roman"/>
          <w:sz w:val="24"/>
        </w:rPr>
      </w:pPr>
    </w:p>
    <w:p w14:paraId="5D000000">
      <w:pPr>
        <w:pStyle w:val="Style_5"/>
        <w:widowControl w:val="0"/>
        <w:numPr>
          <w:ilvl w:val="0"/>
          <w:numId w:val="3"/>
        </w:numPr>
        <w:spacing w:after="0" w:line="240" w:lineRule="auto"/>
        <w:ind/>
      </w:pPr>
      <w:r>
        <w:rPr>
          <w:rFonts w:ascii="Times New Roman" w:hAnsi="Times New Roman"/>
          <w:b w:val="1"/>
          <w:sz w:val="24"/>
        </w:rPr>
        <w:t>Особые условия</w:t>
      </w:r>
    </w:p>
    <w:p w14:paraId="5E000000">
      <w:pPr>
        <w:widowControl w:val="0"/>
        <w:tabs>
          <w:tab w:leader="none" w:pos="1260" w:val="left"/>
        </w:tabs>
        <w:spacing w:after="0" w:line="240" w:lineRule="auto"/>
        <w:ind w:firstLine="567"/>
        <w:jc w:val="both"/>
      </w:pPr>
      <w:r>
        <w:rPr>
          <w:rFonts w:ascii="Times New Roman" w:hAnsi="Times New Roman"/>
          <w:color w:val="000000"/>
          <w:sz w:val="24"/>
        </w:rPr>
        <w:t>9.1.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5F000000">
      <w:pPr>
        <w:widowControl w:val="0"/>
        <w:tabs>
          <w:tab w:leader="none" w:pos="1260" w:val="left"/>
        </w:tabs>
        <w:spacing w:after="0" w:line="240" w:lineRule="auto"/>
        <w:ind w:firstLine="567"/>
        <w:jc w:val="both"/>
      </w:pPr>
      <w:r>
        <w:rPr>
          <w:rFonts w:ascii="Times New Roman" w:hAnsi="Times New Roman"/>
          <w:color w:val="000000"/>
          <w:sz w:val="24"/>
        </w:rPr>
        <w:t>9.2. В случае изменения у одной из Сторон адреса места нахождения, почтового адреса, банковских реквизитов, такая Сторона обязана в течение 3 (трех) рабочих дней с момента внесения вышеуказанных изменений письменно известить об этом другую Сторону. В случае изменения правового статуса одной из Сторон, она в течение трех рабочих дней обязана информировать другую Сторону об организации-правопреемнике.</w:t>
      </w:r>
    </w:p>
    <w:p w14:paraId="60000000">
      <w:pPr>
        <w:widowControl w:val="0"/>
        <w:tabs>
          <w:tab w:leader="none" w:pos="1260" w:val="left"/>
        </w:tabs>
        <w:spacing w:after="0" w:line="240" w:lineRule="auto"/>
        <w:ind w:firstLine="567"/>
        <w:jc w:val="both"/>
      </w:pPr>
      <w:r>
        <w:rPr>
          <w:rFonts w:ascii="Times New Roman" w:hAnsi="Times New Roman"/>
          <w:color w:val="000000"/>
          <w:sz w:val="24"/>
        </w:rPr>
        <w:t>9.3. Во всем, что не предусмотрено Договором, Стороны руководствуются законодательством Российской Федерации.</w:t>
      </w:r>
    </w:p>
    <w:p w14:paraId="61000000">
      <w:pPr>
        <w:widowControl w:val="0"/>
        <w:tabs>
          <w:tab w:leader="none" w:pos="1260" w:val="left"/>
        </w:tabs>
        <w:spacing w:after="0" w:line="240" w:lineRule="auto"/>
        <w:ind w:firstLine="567"/>
        <w:jc w:val="both"/>
      </w:pPr>
      <w:r>
        <w:rPr>
          <w:rFonts w:ascii="Times New Roman" w:hAnsi="Times New Roman"/>
          <w:color w:val="000000"/>
          <w:sz w:val="24"/>
        </w:rPr>
        <w:t xml:space="preserve">9.4. Стороны обязуются обеспечить конфиденциальность сведений, относящихся к предмету Договора, и ставших им известными в ходе его исполнения. </w:t>
      </w:r>
    </w:p>
    <w:p w14:paraId="62000000">
      <w:pPr>
        <w:widowControl w:val="0"/>
        <w:tabs>
          <w:tab w:leader="none" w:pos="1260" w:val="left"/>
        </w:tabs>
        <w:spacing w:after="0" w:line="240" w:lineRule="auto"/>
        <w:ind w:firstLine="567"/>
        <w:jc w:val="both"/>
      </w:pPr>
      <w:r>
        <w:rPr>
          <w:rFonts w:ascii="Times New Roman" w:hAnsi="Times New Roman"/>
          <w:color w:val="000000"/>
          <w:sz w:val="24"/>
        </w:rPr>
        <w:t>9.5.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14:paraId="63000000">
      <w:pPr>
        <w:widowControl w:val="0"/>
        <w:tabs>
          <w:tab w:leader="none" w:pos="1260" w:val="left"/>
        </w:tabs>
        <w:spacing w:after="0" w:line="240" w:lineRule="auto"/>
        <w:ind w:firstLine="567"/>
        <w:jc w:val="both"/>
      </w:pPr>
      <w:r>
        <w:rPr>
          <w:rFonts w:ascii="Times New Roman" w:hAnsi="Times New Roman"/>
          <w:color w:val="000000"/>
          <w:sz w:val="24"/>
        </w:rPr>
        <w:t>9.6. В случае перемены Заказчика права и обязанности Заказчика, предусмотренные Договором, переходят к новому Заказчику.</w:t>
      </w:r>
    </w:p>
    <w:p w14:paraId="64000000">
      <w:pPr>
        <w:widowControl w:val="0"/>
        <w:spacing w:after="0" w:line="240" w:lineRule="auto"/>
        <w:ind w:firstLine="567"/>
        <w:jc w:val="both"/>
      </w:pPr>
      <w:r>
        <w:rPr>
          <w:rFonts w:ascii="Times New Roman" w:hAnsi="Times New Roman"/>
          <w:sz w:val="24"/>
        </w:rPr>
        <w:t xml:space="preserve"> 9.7.   </w:t>
      </w:r>
      <w:r>
        <w:rPr>
          <w:rFonts w:ascii="Times New Roman" w:hAnsi="Times New Roman"/>
          <w:color w:val="000000"/>
          <w:sz w:val="24"/>
        </w:rPr>
        <w:t>В целях надлежащего исполнения Сторонами обязательств по Договору Стороны дают свое согласие на обработку персональных данных, в соответствие с требованиями Федерального закона от 27.07.2006 № 152-ФЗ «О персональных данных». Стороны пришли к согласию о том, что любые сведения о физическом лице (лице, которое является стороной в Договоре, работнике или представителе Стороны), содержащиеся в данном Договоре, переданы одной стороной другой стороне на основании согласия физического лица – субъекта персональных данных на обработку его персональных данных.</w:t>
      </w:r>
    </w:p>
    <w:p w14:paraId="65000000">
      <w:pPr>
        <w:widowControl w:val="0"/>
        <w:spacing w:after="0" w:line="240" w:lineRule="auto"/>
        <w:ind w:firstLine="709"/>
        <w:jc w:val="both"/>
      </w:pPr>
      <w:r>
        <w:rPr>
          <w:rFonts w:ascii="Times New Roman" w:hAnsi="Times New Roman"/>
          <w:color w:val="000000"/>
          <w:sz w:val="24"/>
        </w:rPr>
        <w:t>Сторона, получившая персональные данные, имеет право осуществлять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Обработка персональных данных после прекращения Договора запрещается, кроме случаев, определенных настоящим Договором.</w:t>
      </w:r>
    </w:p>
    <w:p w14:paraId="66000000">
      <w:pPr>
        <w:widowControl w:val="1"/>
        <w:spacing w:after="0" w:line="360" w:lineRule="auto"/>
        <w:ind w:firstLine="851" w:right="140"/>
        <w:jc w:val="center"/>
        <w:rPr>
          <w:rFonts w:ascii="Times New Roman" w:hAnsi="Times New Roman"/>
          <w:b w:val="1"/>
          <w:color w:val="000000"/>
          <w:sz w:val="24"/>
        </w:rPr>
      </w:pPr>
    </w:p>
    <w:p w14:paraId="67000000">
      <w:pPr>
        <w:widowControl w:val="1"/>
        <w:spacing w:after="0" w:line="360" w:lineRule="auto"/>
        <w:ind w:firstLine="851" w:right="140"/>
        <w:jc w:val="center"/>
      </w:pPr>
      <w:r>
        <w:rPr>
          <w:rFonts w:ascii="Times New Roman" w:hAnsi="Times New Roman"/>
          <w:b w:val="1"/>
          <w:color w:val="000000"/>
          <w:sz w:val="24"/>
        </w:rPr>
        <w:t>10. Перечень приложений</w:t>
      </w:r>
    </w:p>
    <w:p w14:paraId="68000000">
      <w:pPr>
        <w:widowControl w:val="0"/>
        <w:spacing w:after="0" w:line="240" w:lineRule="auto"/>
        <w:ind w:firstLine="709"/>
        <w:jc w:val="both"/>
      </w:pPr>
      <w:r>
        <w:rPr>
          <w:rFonts w:ascii="Times New Roman" w:hAnsi="Times New Roman"/>
          <w:color w:val="000000"/>
          <w:sz w:val="24"/>
        </w:rPr>
        <w:t>10.1. Неотъемлемой частью настоящего Договора</w:t>
      </w:r>
      <w:r>
        <w:rPr>
          <w:rFonts w:ascii="Times New Roman" w:hAnsi="Times New Roman"/>
          <w:sz w:val="24"/>
        </w:rPr>
        <w:t xml:space="preserve"> </w:t>
      </w:r>
      <w:r>
        <w:rPr>
          <w:rFonts w:ascii="Times New Roman" w:hAnsi="Times New Roman"/>
          <w:color w:val="000000"/>
          <w:sz w:val="24"/>
        </w:rPr>
        <w:t>являются следующие приложения:</w:t>
      </w:r>
    </w:p>
    <w:p w14:paraId="69000000">
      <w:pPr>
        <w:widowControl w:val="0"/>
        <w:tabs>
          <w:tab w:leader="none" w:pos="1260" w:val="left"/>
        </w:tabs>
        <w:spacing w:after="0" w:line="240" w:lineRule="auto"/>
        <w:ind w:right="140"/>
        <w:jc w:val="both"/>
        <w:rPr>
          <w:rFonts w:ascii="Times New Roman" w:hAnsi="Times New Roman"/>
          <w:color w:val="000000"/>
          <w:sz w:val="24"/>
        </w:rPr>
      </w:pPr>
      <w:r>
        <w:rPr>
          <w:rFonts w:ascii="Times New Roman" w:hAnsi="Times New Roman"/>
          <w:color w:val="000000"/>
          <w:sz w:val="24"/>
        </w:rPr>
        <w:t>Приложение № 1 – Техническое задание</w:t>
      </w:r>
    </w:p>
    <w:p w14:paraId="6A000000">
      <w:pPr>
        <w:widowControl w:val="0"/>
        <w:tabs>
          <w:tab w:leader="none" w:pos="1260" w:val="left"/>
        </w:tabs>
        <w:spacing w:after="0" w:line="240" w:lineRule="auto"/>
        <w:ind w:right="140"/>
        <w:jc w:val="both"/>
      </w:pPr>
    </w:p>
    <w:p w14:paraId="6B000000">
      <w:pPr>
        <w:pStyle w:val="Style_3"/>
        <w:widowControl w:val="1"/>
        <w:tabs>
          <w:tab w:leader="none" w:pos="2694" w:val="left"/>
          <w:tab w:leader="none" w:pos="3119" w:val="left"/>
        </w:tabs>
        <w:ind w:left="2629"/>
        <w:jc w:val="center"/>
      </w:pPr>
      <w:r>
        <w:rPr>
          <w:rFonts w:ascii="Times New Roman" w:hAnsi="Times New Roman"/>
          <w:b w:val="1"/>
          <w:sz w:val="24"/>
        </w:rPr>
        <w:t>11.</w:t>
      </w:r>
      <w:r>
        <w:rPr>
          <w:rFonts w:ascii="Times New Roman" w:hAnsi="Times New Roman"/>
          <w:b w:val="1"/>
          <w:sz w:val="24"/>
        </w:rPr>
        <w:t>Адреса и реквизиты сторон</w:t>
      </w:r>
    </w:p>
    <w:tbl>
      <w:tblPr>
        <w:tblStyle w:val="Style_8"/>
        <w:tblW w:type="auto" w:w="0"/>
        <w:tblInd w:type="dxa" w:w="108"/>
        <w:tblLayout w:type="fixed"/>
      </w:tblPr>
      <w:tblGrid>
        <w:gridCol w:w="4447"/>
        <w:gridCol w:w="4907"/>
      </w:tblGrid>
      <w:tr>
        <w:tc>
          <w:tcPr>
            <w:tcW w:type="dxa" w:w="4447"/>
            <w:shd w:fill="auto" w:val="clear"/>
          </w:tcPr>
          <w:p w14:paraId="6C000000">
            <w:pPr>
              <w:pStyle w:val="Style_9"/>
              <w:widowControl w:val="1"/>
              <w:ind/>
              <w:jc w:val="both"/>
            </w:pPr>
            <w:r>
              <w:rPr>
                <w:rFonts w:ascii="Times New Roman" w:hAnsi="Times New Roman"/>
                <w:b w:val="1"/>
                <w:sz w:val="24"/>
              </w:rPr>
              <w:t>Исполнитель:</w:t>
            </w:r>
          </w:p>
          <w:p w14:paraId="6D000000">
            <w:pPr>
              <w:pStyle w:val="Style_9"/>
              <w:widowControl w:val="1"/>
              <w:ind/>
              <w:jc w:val="both"/>
              <w:rPr>
                <w:rFonts w:ascii="Times New Roman" w:hAnsi="Times New Roman"/>
                <w:sz w:val="24"/>
              </w:rPr>
            </w:pPr>
          </w:p>
        </w:tc>
        <w:tc>
          <w:tcPr>
            <w:tcW w:type="dxa" w:w="4907"/>
            <w:shd w:fill="auto" w:val="clear"/>
          </w:tcPr>
          <w:p w14:paraId="6E000000">
            <w:pPr>
              <w:pStyle w:val="Style_9"/>
              <w:widowControl w:val="1"/>
              <w:ind/>
              <w:jc w:val="both"/>
            </w:pPr>
            <w:r>
              <w:rPr>
                <w:rFonts w:ascii="Times New Roman" w:hAnsi="Times New Roman"/>
                <w:b w:val="1"/>
                <w:sz w:val="24"/>
              </w:rPr>
              <w:t>Заказчик:</w:t>
            </w:r>
          </w:p>
          <w:p w14:paraId="6F000000">
            <w:pPr>
              <w:pStyle w:val="Style_9"/>
              <w:widowControl w:val="1"/>
              <w:ind/>
              <w:jc w:val="both"/>
              <w:rPr>
                <w:rFonts w:ascii="Times New Roman" w:hAnsi="Times New Roman"/>
                <w:b w:val="1"/>
                <w:sz w:val="24"/>
              </w:rPr>
            </w:pPr>
          </w:p>
          <w:p w14:paraId="70000000">
            <w:pPr>
              <w:pStyle w:val="Style_9"/>
              <w:widowControl w:val="1"/>
              <w:ind/>
              <w:jc w:val="both"/>
            </w:pPr>
            <w:r>
              <w:rPr>
                <w:rFonts w:ascii="Times New Roman" w:hAnsi="Times New Roman"/>
                <w:b w:val="1"/>
                <w:sz w:val="24"/>
              </w:rPr>
              <w:t xml:space="preserve">Федеральное казенное учреждение «Главное бюро медико-социальной экспертизы по Республике Крым» Министерства труда и социальной защиты Российской Федерации </w:t>
            </w:r>
          </w:p>
          <w:p w14:paraId="71000000">
            <w:pPr>
              <w:pStyle w:val="Style_9"/>
              <w:widowControl w:val="1"/>
              <w:ind/>
              <w:jc w:val="both"/>
              <w:rPr>
                <w:rFonts w:ascii="Times New Roman" w:hAnsi="Times New Roman"/>
                <w:sz w:val="24"/>
              </w:rPr>
            </w:pPr>
          </w:p>
          <w:p w14:paraId="72000000">
            <w:pPr>
              <w:pStyle w:val="Style_9"/>
              <w:widowControl w:val="1"/>
              <w:ind/>
              <w:jc w:val="both"/>
            </w:pPr>
            <w:r>
              <w:rPr>
                <w:rFonts w:ascii="Times New Roman" w:hAnsi="Times New Roman"/>
                <w:sz w:val="24"/>
              </w:rPr>
              <w:t xml:space="preserve">Юридический адрес: </w:t>
            </w:r>
          </w:p>
          <w:p w14:paraId="73000000">
            <w:pPr>
              <w:pStyle w:val="Style_9"/>
              <w:widowControl w:val="1"/>
              <w:ind/>
              <w:jc w:val="both"/>
            </w:pPr>
            <w:r>
              <w:rPr>
                <w:rFonts w:ascii="Times New Roman" w:hAnsi="Times New Roman"/>
                <w:sz w:val="24"/>
              </w:rPr>
              <w:t>295024</w:t>
            </w:r>
            <w:r>
              <w:rPr>
                <w:rFonts w:ascii="Times New Roman" w:hAnsi="Times New Roman"/>
                <w:sz w:val="24"/>
              </w:rPr>
              <w:t xml:space="preserve">, Республика Крым, </w:t>
            </w:r>
          </w:p>
          <w:p w14:paraId="74000000">
            <w:pPr>
              <w:pStyle w:val="Style_9"/>
              <w:widowControl w:val="1"/>
              <w:ind/>
              <w:jc w:val="both"/>
            </w:pPr>
            <w:r>
              <w:rPr>
                <w:rFonts w:ascii="Times New Roman" w:hAnsi="Times New Roman"/>
                <w:sz w:val="24"/>
              </w:rPr>
              <w:t>г. Симферополь, ул. 1 Конной Армии, д. 17</w:t>
            </w:r>
            <w:r>
              <w:rPr>
                <w:rFonts w:ascii="Times New Roman" w:hAnsi="Times New Roman"/>
                <w:sz w:val="24"/>
              </w:rPr>
              <w:t>Б</w:t>
            </w:r>
          </w:p>
          <w:p w14:paraId="75000000">
            <w:pPr>
              <w:pStyle w:val="Style_9"/>
              <w:widowControl w:val="1"/>
              <w:ind/>
              <w:jc w:val="both"/>
            </w:pPr>
            <w:r>
              <w:rPr>
                <w:rFonts w:ascii="Times New Roman" w:hAnsi="Times New Roman"/>
                <w:sz w:val="24"/>
              </w:rPr>
              <w:t>ИНН 9102009908, КПП 910201001</w:t>
            </w:r>
          </w:p>
          <w:p w14:paraId="76000000">
            <w:pPr>
              <w:pStyle w:val="Style_9"/>
              <w:widowControl w:val="1"/>
              <w:ind/>
              <w:jc w:val="both"/>
              <w:rPr>
                <w:rFonts w:ascii="Times New Roman" w:hAnsi="Times New Roman"/>
                <w:sz w:val="24"/>
              </w:rPr>
            </w:pPr>
            <w:r>
              <w:rPr>
                <w:rStyle w:val="Style_10_ch"/>
                <w:rFonts w:ascii="Times New Roman" w:hAnsi="Times New Roman"/>
                <w:sz w:val="24"/>
              </w:rPr>
              <w:t>ОГРН 1149102013928</w:t>
            </w:r>
          </w:p>
          <w:p w14:paraId="77000000">
            <w:pPr>
              <w:pStyle w:val="Style_9"/>
              <w:widowControl w:val="1"/>
              <w:ind/>
              <w:jc w:val="both"/>
              <w:rPr>
                <w:rFonts w:ascii="Times New Roman" w:hAnsi="Times New Roman"/>
                <w:sz w:val="24"/>
              </w:rPr>
            </w:pPr>
            <w:r>
              <w:rPr>
                <w:rStyle w:val="Style_10_ch"/>
                <w:rFonts w:ascii="Times New Roman" w:hAnsi="Times New Roman"/>
                <w:sz w:val="24"/>
              </w:rPr>
              <w:t>Банковские реквизиты:</w:t>
            </w:r>
          </w:p>
          <w:p w14:paraId="78000000">
            <w:pPr>
              <w:pStyle w:val="Style_10"/>
              <w:widowControl w:val="0"/>
              <w:spacing w:after="0" w:before="0" w:line="240" w:lineRule="auto"/>
              <w:ind w:firstLine="0"/>
              <w:rPr>
                <w:rFonts w:ascii="Times New Roman" w:hAnsi="Times New Roman"/>
                <w:sz w:val="24"/>
              </w:rPr>
            </w:pPr>
            <w:r>
              <w:rPr>
                <w:rStyle w:val="Style_10_ch"/>
                <w:rFonts w:ascii="Times New Roman" w:hAnsi="Times New Roman"/>
                <w:sz w:val="24"/>
              </w:rPr>
              <w:t>Банк: ОКЦ № 1 ВВГУ Банка России//УФК по Нижегородской области, г. Нижний Новгород.</w:t>
            </w:r>
          </w:p>
          <w:p w14:paraId="79000000">
            <w:pPr>
              <w:pStyle w:val="Style_10"/>
              <w:widowControl w:val="0"/>
              <w:tabs>
                <w:tab w:leader="none" w:pos="708" w:val="clear"/>
                <w:tab w:leader="none" w:pos="1260" w:val="left"/>
              </w:tabs>
              <w:spacing w:after="0" w:before="0" w:line="240" w:lineRule="auto"/>
              <w:ind w:firstLine="0"/>
              <w:jc w:val="both"/>
              <w:rPr>
                <w:rFonts w:ascii="Times New Roman" w:hAnsi="Times New Roman"/>
                <w:sz w:val="24"/>
              </w:rPr>
            </w:pPr>
            <w:r>
              <w:rPr>
                <w:rStyle w:val="Style_10_ch"/>
                <w:rFonts w:ascii="Times New Roman" w:hAnsi="Times New Roman"/>
                <w:sz w:val="24"/>
              </w:rPr>
              <w:t>БИК 012202102</w:t>
            </w:r>
          </w:p>
          <w:p w14:paraId="7A000000">
            <w:pPr>
              <w:pStyle w:val="Style_10"/>
              <w:widowControl w:val="0"/>
              <w:tabs>
                <w:tab w:leader="none" w:pos="708" w:val="clear"/>
                <w:tab w:leader="none" w:pos="1260" w:val="left"/>
              </w:tabs>
              <w:spacing w:after="0" w:before="0" w:line="240" w:lineRule="auto"/>
              <w:ind w:firstLine="0"/>
              <w:jc w:val="both"/>
              <w:rPr>
                <w:rFonts w:ascii="Times New Roman" w:hAnsi="Times New Roman"/>
                <w:sz w:val="24"/>
              </w:rPr>
            </w:pPr>
            <w:r>
              <w:rPr>
                <w:rStyle w:val="Style_9_ch"/>
                <w:rFonts w:ascii="Times New Roman" w:hAnsi="Times New Roman"/>
                <w:sz w:val="24"/>
              </w:rPr>
              <w:t>ЕКС 40102810745370000024</w:t>
            </w:r>
          </w:p>
          <w:p w14:paraId="7B000000">
            <w:pPr>
              <w:pStyle w:val="Style_10"/>
              <w:widowControl w:val="0"/>
              <w:tabs>
                <w:tab w:leader="none" w:pos="708" w:val="clear"/>
                <w:tab w:leader="none" w:pos="1260" w:val="left"/>
              </w:tabs>
              <w:spacing w:after="0" w:before="0" w:line="240" w:lineRule="auto"/>
              <w:ind w:firstLine="0"/>
              <w:jc w:val="both"/>
              <w:rPr>
                <w:rFonts w:ascii="Times New Roman" w:hAnsi="Times New Roman"/>
                <w:sz w:val="24"/>
              </w:rPr>
            </w:pPr>
            <w:r>
              <w:rPr>
                <w:rStyle w:val="Style_9_ch"/>
                <w:rFonts w:ascii="Times New Roman" w:hAnsi="Times New Roman"/>
                <w:sz w:val="24"/>
              </w:rPr>
              <w:t>Казначейский счет 03211643000000013242</w:t>
            </w:r>
          </w:p>
          <w:p w14:paraId="7C000000">
            <w:pPr>
              <w:pStyle w:val="Style_10"/>
              <w:widowControl w:val="0"/>
              <w:tabs>
                <w:tab w:leader="none" w:pos="708" w:val="clear"/>
                <w:tab w:leader="none" w:pos="1260" w:val="left"/>
              </w:tabs>
              <w:spacing w:after="0" w:before="0" w:line="240" w:lineRule="auto"/>
              <w:ind w:firstLine="0"/>
              <w:jc w:val="both"/>
              <w:rPr>
                <w:rFonts w:ascii="Times New Roman" w:hAnsi="Times New Roman"/>
                <w:sz w:val="24"/>
              </w:rPr>
            </w:pPr>
            <w:r>
              <w:rPr>
                <w:rStyle w:val="Style_9_ch"/>
                <w:rFonts w:ascii="Times New Roman" w:hAnsi="Times New Roman"/>
                <w:sz w:val="24"/>
              </w:rPr>
              <w:t>Еmail: msek2010@mail.ru</w:t>
            </w:r>
          </w:p>
          <w:p w14:paraId="7D000000">
            <w:pPr>
              <w:pStyle w:val="Style_10"/>
              <w:widowControl w:val="0"/>
              <w:tabs>
                <w:tab w:leader="none" w:pos="708" w:val="clear"/>
                <w:tab w:leader="none" w:pos="1260" w:val="left"/>
              </w:tabs>
              <w:spacing w:after="0" w:before="0" w:line="240" w:lineRule="auto"/>
              <w:ind w:firstLine="0"/>
              <w:jc w:val="both"/>
              <w:rPr>
                <w:rFonts w:ascii="Times New Roman" w:hAnsi="Times New Roman"/>
                <w:sz w:val="24"/>
              </w:rPr>
            </w:pPr>
            <w:r>
              <w:rPr>
                <w:rStyle w:val="Style_9_ch"/>
                <w:rFonts w:ascii="Times New Roman" w:hAnsi="Times New Roman"/>
                <w:sz w:val="24"/>
              </w:rPr>
              <w:t>тел. +7 (978) 1356047</w:t>
            </w:r>
          </w:p>
          <w:p w14:paraId="7E000000">
            <w:pPr>
              <w:pStyle w:val="Style_9"/>
              <w:widowControl w:val="1"/>
              <w:ind/>
              <w:jc w:val="both"/>
            </w:pPr>
            <w:r>
              <w:rPr>
                <w:rFonts w:ascii="Times New Roman" w:hAnsi="Times New Roman"/>
                <w:sz w:val="24"/>
              </w:rPr>
              <w:t xml:space="preserve">   </w:t>
            </w:r>
          </w:p>
          <w:p w14:paraId="7F000000">
            <w:pPr>
              <w:pStyle w:val="Style_9"/>
              <w:widowControl w:val="1"/>
              <w:ind/>
              <w:jc w:val="both"/>
            </w:pPr>
            <w:r>
              <w:rPr>
                <w:rFonts w:ascii="Times New Roman" w:hAnsi="Times New Roman"/>
                <w:b w:val="1"/>
                <w:sz w:val="24"/>
              </w:rPr>
              <w:t xml:space="preserve">Заместитель руководителя по общим вопросам деятельности учреждения </w:t>
            </w:r>
          </w:p>
          <w:p w14:paraId="80000000">
            <w:pPr>
              <w:pStyle w:val="Style_9"/>
              <w:widowControl w:val="1"/>
              <w:ind/>
              <w:jc w:val="both"/>
              <w:rPr>
                <w:rFonts w:ascii="Times New Roman" w:hAnsi="Times New Roman"/>
                <w:b w:val="1"/>
                <w:sz w:val="24"/>
              </w:rPr>
            </w:pPr>
          </w:p>
          <w:p w14:paraId="81000000">
            <w:pPr>
              <w:pStyle w:val="Style_9"/>
              <w:widowControl w:val="1"/>
              <w:ind/>
              <w:jc w:val="both"/>
              <w:rPr>
                <w:rFonts w:ascii="Times New Roman" w:hAnsi="Times New Roman"/>
                <w:b w:val="1"/>
                <w:sz w:val="24"/>
              </w:rPr>
            </w:pPr>
            <w:r>
              <w:rPr>
                <w:rFonts w:ascii="Times New Roman" w:hAnsi="Times New Roman"/>
                <w:b w:val="1"/>
                <w:sz w:val="24"/>
              </w:rPr>
              <w:t>_____________________И.П. Посторонко</w:t>
            </w:r>
          </w:p>
          <w:p w14:paraId="82000000">
            <w:pPr>
              <w:pStyle w:val="Style_9"/>
              <w:widowControl w:val="1"/>
              <w:ind/>
              <w:jc w:val="both"/>
            </w:pPr>
            <w:r>
              <w:rPr>
                <w:rFonts w:ascii="Times New Roman" w:hAnsi="Times New Roman"/>
                <w:b w:val="1"/>
                <w:sz w:val="24"/>
              </w:rPr>
              <w:t>М.П.</w:t>
            </w:r>
          </w:p>
        </w:tc>
      </w:tr>
    </w:tbl>
    <w:p w14:paraId="83000000">
      <w:pPr>
        <w:widowControl w:val="1"/>
        <w:spacing w:after="0"/>
        <w:ind/>
        <w:jc w:val="right"/>
        <w:rPr>
          <w:rFonts w:ascii="Times New Roman" w:hAnsi="Times New Roman"/>
          <w:sz w:val="24"/>
        </w:rPr>
      </w:pPr>
    </w:p>
    <w:p w14:paraId="84000000">
      <w:pPr>
        <w:widowControl w:val="1"/>
        <w:spacing w:after="0"/>
        <w:ind/>
        <w:jc w:val="right"/>
        <w:rPr>
          <w:rFonts w:ascii="Times New Roman" w:hAnsi="Times New Roman"/>
          <w:sz w:val="24"/>
        </w:rPr>
      </w:pPr>
    </w:p>
    <w:p w14:paraId="85000000">
      <w:pPr>
        <w:widowControl w:val="1"/>
        <w:spacing w:after="0"/>
        <w:ind/>
        <w:jc w:val="right"/>
        <w:rPr>
          <w:rFonts w:ascii="Times New Roman" w:hAnsi="Times New Roman"/>
          <w:sz w:val="24"/>
        </w:rPr>
      </w:pPr>
    </w:p>
    <w:p w14:paraId="86000000">
      <w:pPr>
        <w:widowControl w:val="1"/>
        <w:spacing w:after="0"/>
        <w:ind/>
        <w:jc w:val="right"/>
        <w:rPr>
          <w:rFonts w:ascii="Times New Roman" w:hAnsi="Times New Roman"/>
          <w:sz w:val="24"/>
        </w:rPr>
      </w:pPr>
    </w:p>
    <w:p w14:paraId="87000000">
      <w:pPr>
        <w:widowControl w:val="1"/>
        <w:spacing w:after="0"/>
        <w:ind/>
        <w:jc w:val="right"/>
        <w:rPr>
          <w:rFonts w:ascii="Times New Roman" w:hAnsi="Times New Roman"/>
          <w:sz w:val="24"/>
        </w:rPr>
      </w:pPr>
    </w:p>
    <w:p w14:paraId="88000000">
      <w:pPr>
        <w:widowControl w:val="1"/>
        <w:spacing w:after="0"/>
        <w:ind/>
        <w:jc w:val="right"/>
        <w:rPr>
          <w:rFonts w:ascii="Times New Roman" w:hAnsi="Times New Roman"/>
          <w:sz w:val="24"/>
        </w:rPr>
      </w:pPr>
    </w:p>
    <w:p w14:paraId="89000000">
      <w:pPr>
        <w:widowControl w:val="1"/>
        <w:spacing w:after="0"/>
        <w:ind/>
        <w:jc w:val="right"/>
      </w:pPr>
      <w:r>
        <w:rPr>
          <w:rFonts w:ascii="Times New Roman" w:hAnsi="Times New Roman"/>
          <w:sz w:val="24"/>
        </w:rPr>
        <w:t xml:space="preserve">Приложение № 1                                                                                                                                                                      </w:t>
      </w:r>
      <w:bookmarkStart w:id="8" w:name="_GoBack"/>
      <w:bookmarkEnd w:id="8"/>
      <w:r>
        <w:rPr>
          <w:rFonts w:ascii="Times New Roman" w:hAnsi="Times New Roman"/>
          <w:sz w:val="24"/>
        </w:rPr>
        <w:t xml:space="preserve">к договору № </w:t>
      </w:r>
    </w:p>
    <w:p w14:paraId="8A000000">
      <w:pPr>
        <w:widowControl w:val="1"/>
        <w:spacing w:after="0"/>
        <w:ind/>
        <w:jc w:val="right"/>
      </w:pPr>
      <w:r>
        <w:rPr>
          <w:rFonts w:ascii="Times New Roman" w:hAnsi="Times New Roman"/>
          <w:sz w:val="24"/>
        </w:rPr>
        <w:t xml:space="preserve">от </w:t>
      </w:r>
      <w:r>
        <w:rPr>
          <w:rFonts w:ascii="Times New Roman" w:hAnsi="Times New Roman"/>
          <w:color w:val="000000"/>
          <w:spacing w:val="-2"/>
          <w:sz w:val="24"/>
        </w:rPr>
        <w:t>« __» ________</w:t>
      </w:r>
      <w:r>
        <w:rPr>
          <w:rFonts w:ascii="Times New Roman" w:hAnsi="Times New Roman"/>
          <w:color w:val="000000"/>
          <w:spacing w:val="-2"/>
          <w:sz w:val="24"/>
        </w:rPr>
        <w:t xml:space="preserve"> 2026</w:t>
      </w:r>
      <w:r>
        <w:rPr>
          <w:rFonts w:ascii="Times New Roman" w:hAnsi="Times New Roman"/>
          <w:color w:val="000000"/>
          <w:spacing w:val="-2"/>
          <w:sz w:val="24"/>
        </w:rPr>
        <w:t xml:space="preserve"> г.</w:t>
      </w:r>
    </w:p>
    <w:p w14:paraId="8B000000">
      <w:pPr>
        <w:widowControl w:val="1"/>
        <w:tabs>
          <w:tab w:leader="none" w:pos="54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900" w:val="left"/>
          <w:tab w:leader="none" w:pos="10076" w:val="left"/>
          <w:tab w:leader="none" w:pos="10992" w:val="left"/>
          <w:tab w:leader="none" w:pos="11908" w:val="left"/>
          <w:tab w:leader="none" w:pos="12824" w:val="left"/>
          <w:tab w:leader="none" w:pos="13740" w:val="left"/>
          <w:tab w:leader="none" w:pos="14656" w:val="left"/>
        </w:tabs>
        <w:spacing w:line="240" w:lineRule="auto"/>
        <w:ind/>
        <w:contextualSpacing w:val="1"/>
        <w:jc w:val="both"/>
        <w:rPr>
          <w:rFonts w:ascii="Times New Roman" w:hAnsi="Times New Roman"/>
          <w:b w:val="1"/>
          <w:color w:val="000000"/>
          <w:sz w:val="24"/>
        </w:rPr>
      </w:pPr>
    </w:p>
    <w:p w14:paraId="8C000000">
      <w:pPr>
        <w:keepNext w:val="1"/>
        <w:widowControl w:val="1"/>
        <w:ind/>
        <w:jc w:val="center"/>
        <w:rPr>
          <w:rFonts w:ascii="Times New Roman" w:hAnsi="Times New Roman"/>
          <w:b w:val="1"/>
          <w:sz w:val="24"/>
        </w:rPr>
      </w:pPr>
      <w:r>
        <w:rPr>
          <w:rFonts w:ascii="Times New Roman" w:hAnsi="Times New Roman"/>
          <w:b w:val="1"/>
          <w:sz w:val="24"/>
        </w:rPr>
        <w:tab/>
      </w:r>
      <w:r>
        <w:rPr>
          <w:rFonts w:ascii="Times New Roman" w:hAnsi="Times New Roman"/>
          <w:b w:val="1"/>
          <w:sz w:val="24"/>
        </w:rPr>
        <w:t>ТЕХНИЧЕСКОЕ ЗАДАНИЕ</w:t>
      </w:r>
    </w:p>
    <w:p w14:paraId="8D000000">
      <w:pPr>
        <w:keepNext w:val="1"/>
        <w:widowControl w:val="1"/>
        <w:ind/>
        <w:jc w:val="center"/>
        <w:rPr>
          <w:sz w:val="24"/>
        </w:rPr>
      </w:pPr>
      <w:r>
        <w:rPr>
          <w:rFonts w:ascii="Times New Roman" w:hAnsi="Times New Roman"/>
          <w:b w:val="1"/>
          <w:sz w:val="24"/>
        </w:rPr>
        <w:t>о проведении технического осмотра</w:t>
      </w:r>
    </w:p>
    <w:p w14:paraId="8E000000">
      <w:pPr>
        <w:pStyle w:val="Style_4"/>
        <w:widowControl w:val="1"/>
        <w:ind/>
        <w:jc w:val="both"/>
      </w:pPr>
      <w:r>
        <w:rPr>
          <w:rFonts w:ascii="Times New Roman" w:hAnsi="Times New Roman"/>
          <w:b w:val="1"/>
          <w:sz w:val="24"/>
        </w:rPr>
        <w:t>Источник финансирования</w:t>
      </w:r>
      <w:r>
        <w:rPr>
          <w:rFonts w:ascii="Times New Roman" w:hAnsi="Times New Roman"/>
          <w:sz w:val="24"/>
        </w:rPr>
        <w:t>: Федеральный бюджет.</w:t>
      </w:r>
    </w:p>
    <w:p w14:paraId="8F000000">
      <w:pPr>
        <w:pStyle w:val="Style_4"/>
        <w:widowControl w:val="1"/>
        <w:ind/>
        <w:jc w:val="both"/>
      </w:pPr>
      <w:r>
        <w:rPr>
          <w:rFonts w:ascii="Times New Roman" w:hAnsi="Times New Roman"/>
          <w:b w:val="1"/>
          <w:sz w:val="24"/>
        </w:rPr>
        <w:t>Наименование оказываемых услуг</w:t>
      </w:r>
      <w:r>
        <w:rPr>
          <w:rFonts w:ascii="Times New Roman" w:hAnsi="Times New Roman"/>
          <w:sz w:val="24"/>
        </w:rPr>
        <w:t xml:space="preserve">: услуги по проведению технического осмотра автотранспорта </w:t>
      </w:r>
      <w:r>
        <w:rPr>
          <w:rFonts w:ascii="Times New Roman" w:hAnsi="Times New Roman"/>
          <w:sz w:val="24"/>
        </w:rPr>
        <w:t>с использованием</w:t>
      </w:r>
      <w:r>
        <w:rPr>
          <w:rFonts w:ascii="Times New Roman" w:hAnsi="Times New Roman"/>
          <w:sz w:val="24"/>
        </w:rPr>
        <w:t xml:space="preserve"> средств технического диагностирования, с последующей выдачей диагностических карт технического осмотра</w:t>
      </w:r>
    </w:p>
    <w:p w14:paraId="90000000">
      <w:pPr>
        <w:pStyle w:val="Style_4"/>
        <w:numPr>
          <w:ilvl w:val="0"/>
          <w:numId w:val="4"/>
        </w:numPr>
      </w:pPr>
      <w:r>
        <w:rPr>
          <w:rFonts w:ascii="Times New Roman" w:hAnsi="Times New Roman"/>
          <w:b w:val="1"/>
          <w:sz w:val="24"/>
        </w:rPr>
        <w:t>Перечень транспортных средств, подлежащих прохождению техническому осмотру</w:t>
      </w:r>
    </w:p>
    <w:p w14:paraId="91000000">
      <w:pPr>
        <w:pStyle w:val="Style_4"/>
        <w:rPr>
          <w:rFonts w:ascii="Times New Roman" w:hAnsi="Times New Roman"/>
          <w:b w:val="1"/>
          <w:sz w:val="24"/>
        </w:rPr>
      </w:pPr>
    </w:p>
    <w:tbl>
      <w:tblPr>
        <w:tblStyle w:val="Style_8"/>
        <w:tblW w:type="auto" w:w="0"/>
        <w:tblInd w:type="dxa" w:w="13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79"/>
        <w:gridCol w:w="3248"/>
        <w:gridCol w:w="1985"/>
        <w:gridCol w:w="1701"/>
        <w:gridCol w:w="1984"/>
      </w:tblGrid>
      <w:tr>
        <w:trPr>
          <w:trHeight w:hRule="atLeast" w:val="486"/>
          <w:tblHeader/>
        </w:trPr>
        <w:tc>
          <w:tcPr>
            <w:tcW w:type="dxa" w:w="579"/>
            <w:vMerge w:val="restart"/>
            <w:tcBorders>
              <w:top w:color="000000" w:sz="4" w:val="single"/>
              <w:left w:color="000000" w:sz="4" w:val="single"/>
              <w:bottom w:color="000000" w:sz="4" w:val="single"/>
              <w:right w:color="000000" w:sz="4" w:val="single"/>
            </w:tcBorders>
            <w:textDirection w:val="btLr"/>
            <w:vAlign w:val="center"/>
          </w:tcPr>
          <w:p w14:paraId="92000000">
            <w:pPr>
              <w:widowControl w:val="0"/>
              <w:spacing w:after="0" w:line="240" w:lineRule="atLeast"/>
              <w:ind/>
              <w:jc w:val="center"/>
              <w:rPr>
                <w:rFonts w:ascii="Times New Roman" w:hAnsi="Times New Roman"/>
                <w:sz w:val="24"/>
              </w:rPr>
            </w:pPr>
            <w:r>
              <w:rPr>
                <w:rFonts w:ascii="Times New Roman" w:hAnsi="Times New Roman"/>
                <w:sz w:val="24"/>
              </w:rPr>
              <w:t>№ п/п</w:t>
            </w:r>
          </w:p>
        </w:tc>
        <w:tc>
          <w:tcPr>
            <w:tcW w:type="dxa" w:w="3248"/>
            <w:vMerge w:val="restart"/>
            <w:tcBorders>
              <w:top w:color="000000" w:sz="4" w:val="single"/>
              <w:left w:color="000000" w:sz="4" w:val="single"/>
              <w:bottom w:color="000000" w:sz="4" w:val="single"/>
              <w:right w:color="000000" w:sz="4" w:val="single"/>
            </w:tcBorders>
            <w:textDirection w:val="btLr"/>
            <w:vAlign w:val="center"/>
          </w:tcPr>
          <w:p w14:paraId="93000000">
            <w:pPr>
              <w:widowControl w:val="0"/>
              <w:spacing w:after="0" w:line="240" w:lineRule="atLeast"/>
              <w:ind/>
              <w:jc w:val="center"/>
              <w:rPr>
                <w:rFonts w:ascii="Times New Roman" w:hAnsi="Times New Roman"/>
                <w:sz w:val="24"/>
              </w:rPr>
            </w:pPr>
            <w:r>
              <w:rPr>
                <w:rFonts w:ascii="Times New Roman" w:hAnsi="Times New Roman"/>
                <w:sz w:val="24"/>
              </w:rPr>
              <w:t>Марка; модель Т.С.;</w:t>
            </w:r>
          </w:p>
          <w:p w14:paraId="94000000">
            <w:pPr>
              <w:widowControl w:val="0"/>
              <w:spacing w:after="0" w:line="240" w:lineRule="atLeast"/>
              <w:ind/>
              <w:jc w:val="center"/>
              <w:rPr>
                <w:rFonts w:ascii="Times New Roman" w:hAnsi="Times New Roman"/>
                <w:sz w:val="24"/>
              </w:rPr>
            </w:pPr>
            <w:r>
              <w:rPr>
                <w:rFonts w:ascii="Times New Roman" w:hAnsi="Times New Roman"/>
                <w:sz w:val="24"/>
              </w:rPr>
              <w:t>гос. рег. знак;</w:t>
            </w:r>
          </w:p>
          <w:p w14:paraId="95000000">
            <w:pPr>
              <w:widowControl w:val="0"/>
              <w:spacing w:after="0" w:line="240" w:lineRule="atLeast"/>
              <w:ind/>
              <w:jc w:val="center"/>
              <w:rPr>
                <w:rFonts w:ascii="Times New Roman" w:hAnsi="Times New Roman"/>
                <w:sz w:val="24"/>
              </w:rPr>
            </w:pPr>
            <w:r>
              <w:rPr>
                <w:rFonts w:ascii="Times New Roman" w:hAnsi="Times New Roman"/>
                <w:sz w:val="24"/>
              </w:rPr>
              <w:t>категория Т.С.;</w:t>
            </w:r>
          </w:p>
          <w:p w14:paraId="96000000">
            <w:pPr>
              <w:widowControl w:val="0"/>
              <w:spacing w:after="0" w:line="240" w:lineRule="atLeast"/>
              <w:ind/>
              <w:jc w:val="center"/>
              <w:rPr>
                <w:rFonts w:ascii="Times New Roman" w:hAnsi="Times New Roman"/>
                <w:sz w:val="24"/>
              </w:rPr>
            </w:pPr>
            <w:r>
              <w:rPr>
                <w:rFonts w:ascii="Times New Roman" w:hAnsi="Times New Roman"/>
                <w:sz w:val="24"/>
              </w:rPr>
              <w:t xml:space="preserve">    год выпуска Т.С.;</w:t>
            </w:r>
          </w:p>
          <w:p w14:paraId="97000000">
            <w:pPr>
              <w:widowControl w:val="0"/>
              <w:spacing w:after="0" w:line="240" w:lineRule="atLeast"/>
              <w:ind/>
              <w:jc w:val="center"/>
              <w:rPr>
                <w:rFonts w:ascii="Times New Roman" w:hAnsi="Times New Roman"/>
                <w:sz w:val="24"/>
              </w:rPr>
            </w:pPr>
            <w:r>
              <w:rPr>
                <w:rFonts w:ascii="Times New Roman" w:hAnsi="Times New Roman"/>
                <w:sz w:val="24"/>
              </w:rPr>
              <w:t>мощность двигателя л.с.;</w:t>
            </w:r>
          </w:p>
          <w:p w14:paraId="98000000">
            <w:pPr>
              <w:widowControl w:val="0"/>
              <w:spacing w:after="0" w:line="240" w:lineRule="atLeast"/>
              <w:ind/>
              <w:jc w:val="center"/>
              <w:rPr>
                <w:rFonts w:ascii="Times New Roman" w:hAnsi="Times New Roman"/>
                <w:sz w:val="24"/>
              </w:rPr>
            </w:pPr>
            <w:r>
              <w:rPr>
                <w:rFonts w:ascii="Times New Roman" w:hAnsi="Times New Roman"/>
                <w:sz w:val="24"/>
              </w:rPr>
              <w:t>кол-во пассажирских мест Т.С.(для кат. D);</w:t>
            </w:r>
          </w:p>
          <w:p w14:paraId="99000000">
            <w:pPr>
              <w:widowControl w:val="0"/>
              <w:spacing w:after="0" w:line="240" w:lineRule="atLeast"/>
              <w:ind/>
              <w:jc w:val="center"/>
              <w:rPr>
                <w:rFonts w:ascii="Times New Roman" w:hAnsi="Times New Roman"/>
                <w:sz w:val="24"/>
              </w:rPr>
            </w:pPr>
            <w:r>
              <w:rPr>
                <w:rFonts w:ascii="Times New Roman" w:hAnsi="Times New Roman"/>
                <w:sz w:val="24"/>
              </w:rPr>
              <w:t>Макс. разрешенная масса (для кат. C)</w:t>
            </w:r>
          </w:p>
        </w:tc>
        <w:tc>
          <w:tcPr>
            <w:tcW w:type="dxa" w:w="1985"/>
            <w:vMerge w:val="restart"/>
            <w:tcBorders>
              <w:top w:color="000000" w:sz="4" w:val="single"/>
              <w:left w:color="000000" w:sz="4" w:val="single"/>
              <w:bottom w:color="000000" w:sz="4" w:val="single"/>
              <w:right w:color="000000" w:sz="4" w:val="single"/>
            </w:tcBorders>
            <w:vAlign w:val="center"/>
          </w:tcPr>
          <w:p w14:paraId="9A000000">
            <w:pPr>
              <w:widowControl w:val="0"/>
              <w:spacing w:after="0" w:line="240" w:lineRule="atLeast"/>
              <w:ind/>
              <w:jc w:val="center"/>
              <w:rPr>
                <w:rFonts w:ascii="Times New Roman" w:hAnsi="Times New Roman"/>
                <w:sz w:val="24"/>
              </w:rPr>
            </w:pPr>
            <w:r>
              <w:rPr>
                <w:rFonts w:ascii="Times New Roman" w:hAnsi="Times New Roman"/>
                <w:color w:val="000000"/>
                <w:spacing w:val="-1"/>
                <w:sz w:val="24"/>
              </w:rPr>
              <w:t xml:space="preserve">Идентификационный номер </w:t>
            </w:r>
            <w:r>
              <w:rPr>
                <w:rFonts w:ascii="Times New Roman" w:hAnsi="Times New Roman"/>
                <w:color w:val="000000"/>
                <w:spacing w:val="-1"/>
                <w:sz w:val="24"/>
              </w:rPr>
              <w:t>VIN</w:t>
            </w:r>
          </w:p>
        </w:tc>
        <w:tc>
          <w:tcPr>
            <w:tcW w:type="dxa" w:w="1701"/>
            <w:vMerge w:val="restart"/>
            <w:tcBorders>
              <w:top w:color="000000" w:sz="4" w:val="single"/>
              <w:left w:color="000000" w:sz="4" w:val="single"/>
              <w:bottom w:color="000000" w:sz="4" w:val="single"/>
              <w:right w:color="000000" w:sz="4" w:val="single"/>
            </w:tcBorders>
            <w:vAlign w:val="center"/>
          </w:tcPr>
          <w:p w14:paraId="9B000000">
            <w:pPr>
              <w:widowControl w:val="0"/>
              <w:spacing w:after="0" w:line="240" w:lineRule="atLeast"/>
              <w:ind/>
              <w:jc w:val="center"/>
              <w:rPr>
                <w:rFonts w:ascii="Times New Roman" w:hAnsi="Times New Roman"/>
                <w:sz w:val="24"/>
              </w:rPr>
            </w:pPr>
            <w:r>
              <w:rPr>
                <w:rFonts w:ascii="Times New Roman" w:hAnsi="Times New Roman"/>
                <w:color w:val="000000"/>
                <w:spacing w:val="-1"/>
                <w:sz w:val="24"/>
              </w:rPr>
              <w:t>Серия и номер Свидетельства о регистрации ТС</w:t>
            </w:r>
          </w:p>
        </w:tc>
        <w:tc>
          <w:tcPr>
            <w:tcW w:type="dxa" w:w="1984"/>
            <w:vMerge w:val="restart"/>
            <w:tcBorders>
              <w:top w:color="000000" w:sz="4" w:val="single"/>
              <w:left w:color="000000" w:sz="4" w:val="single"/>
              <w:bottom w:color="000000" w:sz="4" w:val="single"/>
              <w:right w:color="000000" w:sz="4" w:val="single"/>
            </w:tcBorders>
            <w:vAlign w:val="center"/>
          </w:tcPr>
          <w:p w14:paraId="9C000000">
            <w:pPr>
              <w:widowControl w:val="0"/>
              <w:spacing w:after="0" w:line="240" w:lineRule="atLeast"/>
              <w:ind/>
              <w:jc w:val="center"/>
              <w:rPr>
                <w:rFonts w:ascii="Times New Roman" w:hAnsi="Times New Roman"/>
                <w:sz w:val="24"/>
              </w:rPr>
            </w:pPr>
            <w:r>
              <w:rPr>
                <w:rFonts w:ascii="Times New Roman" w:hAnsi="Times New Roman"/>
                <w:sz w:val="24"/>
              </w:rPr>
              <w:t>Место проведения ТО</w:t>
            </w:r>
          </w:p>
        </w:tc>
      </w:tr>
      <w:tr>
        <w:trPr>
          <w:trHeight w:hRule="atLeast" w:val="2284"/>
          <w:tblHeader/>
        </w:trPr>
        <w:tc>
          <w:tcPr>
            <w:tcW w:type="dxa" w:w="579"/>
            <w:gridSpan w:val="1"/>
            <w:vMerge w:val="continue"/>
            <w:tcBorders>
              <w:top w:color="000000" w:sz="4" w:val="single"/>
              <w:left w:color="000000" w:sz="4" w:val="single"/>
              <w:bottom w:color="000000" w:sz="4" w:val="single"/>
              <w:right w:color="000000" w:sz="4" w:val="single"/>
            </w:tcBorders>
            <w:textDirection w:val="btLr"/>
            <w:vAlign w:val="center"/>
          </w:tcPr>
          <w:p/>
        </w:tc>
        <w:tc>
          <w:tcPr>
            <w:tcW w:type="dxa" w:w="3248"/>
            <w:gridSpan w:val="1"/>
            <w:vMerge w:val="continue"/>
            <w:tcBorders>
              <w:top w:color="000000" w:sz="4" w:val="single"/>
              <w:left w:color="000000" w:sz="4" w:val="single"/>
              <w:bottom w:color="000000" w:sz="4" w:val="single"/>
              <w:right w:color="000000" w:sz="4" w:val="single"/>
            </w:tcBorders>
            <w:textDirection w:val="btLr"/>
            <w:vAlign w:val="center"/>
          </w:tcPr>
          <w:p/>
        </w:tc>
        <w:tc>
          <w:tcPr>
            <w:tcW w:type="dxa" w:w="1985"/>
            <w:gridSpan w:val="1"/>
            <w:vMerge w:val="continue"/>
            <w:tcBorders>
              <w:top w:color="000000" w:sz="4" w:val="single"/>
              <w:left w:color="000000" w:sz="4" w:val="single"/>
              <w:bottom w:color="000000" w:sz="4" w:val="single"/>
              <w:right w:color="000000" w:sz="4" w:val="single"/>
            </w:tcBorders>
            <w:vAlign w:val="center"/>
          </w:tcPr>
          <w:p/>
        </w:tc>
        <w:tc>
          <w:tcPr>
            <w:tcW w:type="dxa" w:w="1701"/>
            <w:gridSpan w:val="1"/>
            <w:vMerge w:val="continue"/>
            <w:tcBorders>
              <w:top w:color="000000" w:sz="4" w:val="single"/>
              <w:left w:color="000000" w:sz="4" w:val="single"/>
              <w:bottom w:color="000000" w:sz="4" w:val="single"/>
              <w:right w:color="000000" w:sz="4" w:val="single"/>
            </w:tcBorders>
            <w:vAlign w:val="center"/>
          </w:tcPr>
          <w:p/>
        </w:tc>
        <w:tc>
          <w:tcPr>
            <w:tcW w:type="dxa" w:w="1984"/>
            <w:gridSpan w:val="1"/>
            <w:vMerge w:val="continue"/>
            <w:tcBorders>
              <w:top w:color="000000" w:sz="4" w:val="single"/>
              <w:left w:color="000000" w:sz="4" w:val="single"/>
              <w:bottom w:color="000000" w:sz="4" w:val="single"/>
              <w:right w:color="000000" w:sz="4" w:val="single"/>
            </w:tcBorders>
            <w:vAlign w:val="center"/>
          </w:tcPr>
          <w:p/>
        </w:tc>
      </w:tr>
      <w:tr>
        <w:trPr>
          <w:trHeight w:hRule="atLeast" w:val="262"/>
        </w:trPr>
        <w:tc>
          <w:tcPr>
            <w:tcW w:type="dxa" w:w="579"/>
            <w:tcBorders>
              <w:top w:color="000000" w:sz="4" w:val="single"/>
              <w:left w:color="000000" w:sz="4" w:val="single"/>
              <w:bottom w:color="000000" w:sz="4" w:val="single"/>
              <w:right w:color="000000" w:sz="4" w:val="single"/>
            </w:tcBorders>
            <w:vAlign w:val="center"/>
          </w:tcPr>
          <w:p w14:paraId="9D000000">
            <w:pPr>
              <w:widowControl w:val="0"/>
              <w:spacing w:after="0" w:line="240" w:lineRule="auto"/>
              <w:ind/>
              <w:jc w:val="center"/>
              <w:rPr>
                <w:rFonts w:ascii="Times New Roman" w:hAnsi="Times New Roman"/>
                <w:sz w:val="24"/>
              </w:rPr>
            </w:pPr>
          </w:p>
        </w:tc>
        <w:tc>
          <w:tcPr>
            <w:tcW w:type="dxa" w:w="3248"/>
            <w:tcBorders>
              <w:top w:color="000000" w:sz="4" w:val="single"/>
              <w:left w:color="000000" w:sz="4" w:val="single"/>
              <w:bottom w:color="000000" w:sz="4" w:val="single"/>
              <w:right w:color="000000" w:sz="4" w:val="single"/>
            </w:tcBorders>
            <w:vAlign w:val="center"/>
          </w:tcPr>
          <w:p w14:paraId="9E00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985"/>
            <w:tcBorders>
              <w:top w:color="000000" w:sz="4" w:val="single"/>
              <w:left w:color="000000" w:sz="4" w:val="single"/>
              <w:bottom w:color="000000" w:sz="4" w:val="single"/>
              <w:right w:color="000000" w:sz="4" w:val="single"/>
            </w:tcBorders>
          </w:tcPr>
          <w:p w14:paraId="9F000000">
            <w:pPr>
              <w:widowControl w:val="0"/>
              <w:spacing w:after="0" w:line="240" w:lineRule="auto"/>
              <w:ind w:right="-83"/>
              <w:jc w:val="center"/>
              <w:rPr>
                <w:rFonts w:ascii="Times New Roman" w:hAnsi="Times New Roman"/>
                <w:sz w:val="24"/>
              </w:rPr>
            </w:pPr>
            <w:r>
              <w:rPr>
                <w:rFonts w:ascii="Times New Roman" w:hAnsi="Times New Roman"/>
                <w:sz w:val="24"/>
              </w:rPr>
              <w:t>9</w:t>
            </w:r>
          </w:p>
        </w:tc>
        <w:tc>
          <w:tcPr>
            <w:tcW w:type="dxa" w:w="1701"/>
            <w:tcBorders>
              <w:top w:color="000000" w:sz="4" w:val="single"/>
              <w:left w:color="000000" w:sz="4" w:val="single"/>
              <w:bottom w:color="000000" w:sz="4" w:val="single"/>
              <w:right w:color="000000" w:sz="4" w:val="single"/>
            </w:tcBorders>
          </w:tcPr>
          <w:p w14:paraId="A0000000">
            <w:pPr>
              <w:widowControl w:val="0"/>
              <w:spacing w:after="0" w:line="240" w:lineRule="auto"/>
              <w:ind w:right="-83"/>
              <w:jc w:val="center"/>
              <w:rPr>
                <w:rFonts w:ascii="Times New Roman" w:hAnsi="Times New Roman"/>
                <w:sz w:val="24"/>
              </w:rPr>
            </w:pPr>
            <w:r>
              <w:rPr>
                <w:rFonts w:ascii="Times New Roman" w:hAnsi="Times New Roman"/>
                <w:sz w:val="24"/>
              </w:rPr>
              <w:t>10</w:t>
            </w:r>
          </w:p>
        </w:tc>
        <w:tc>
          <w:tcPr>
            <w:tcW w:type="dxa" w:w="1984"/>
            <w:tcBorders>
              <w:top w:color="000000" w:sz="4" w:val="single"/>
              <w:left w:color="000000" w:sz="4" w:val="single"/>
              <w:bottom w:color="000000" w:sz="4" w:val="single"/>
              <w:right w:color="000000" w:sz="4" w:val="single"/>
            </w:tcBorders>
          </w:tcPr>
          <w:p w14:paraId="A1000000">
            <w:pPr>
              <w:widowControl w:val="0"/>
              <w:spacing w:after="0" w:line="240" w:lineRule="auto"/>
              <w:ind w:right="-83"/>
              <w:jc w:val="center"/>
              <w:rPr>
                <w:rFonts w:ascii="Times New Roman" w:hAnsi="Times New Roman"/>
                <w:sz w:val="24"/>
              </w:rPr>
            </w:pPr>
            <w:r>
              <w:rPr>
                <w:rFonts w:ascii="Times New Roman" w:hAnsi="Times New Roman"/>
                <w:sz w:val="24"/>
              </w:rPr>
              <w:t>11</w:t>
            </w:r>
          </w:p>
        </w:tc>
      </w:tr>
      <w:tr>
        <w:trPr>
          <w:trHeight w:hRule="atLeast" w:val="361"/>
        </w:trPr>
        <w:tc>
          <w:tcPr>
            <w:tcW w:type="dxa" w:w="579"/>
            <w:tcBorders>
              <w:top w:color="000000" w:sz="4" w:val="single"/>
              <w:left w:color="000000" w:sz="4" w:val="single"/>
              <w:bottom w:color="000000" w:sz="4" w:val="single"/>
              <w:right w:color="000000" w:sz="4" w:val="single"/>
            </w:tcBorders>
            <w:vAlign w:val="center"/>
          </w:tcPr>
          <w:p w14:paraId="A200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3248"/>
            <w:tcBorders>
              <w:top w:color="000000" w:sz="4" w:val="single"/>
              <w:left w:color="000000" w:sz="4" w:val="single"/>
              <w:bottom w:color="000000" w:sz="4" w:val="single"/>
              <w:right w:color="000000" w:sz="4" w:val="single"/>
            </w:tcBorders>
            <w:vAlign w:val="center"/>
          </w:tcPr>
          <w:p w14:paraId="A3000000">
            <w:pPr>
              <w:widowControl w:val="0"/>
              <w:spacing w:after="0" w:line="240" w:lineRule="auto"/>
              <w:ind/>
              <w:rPr>
                <w:rFonts w:ascii="Times New Roman" w:hAnsi="Times New Roman"/>
                <w:color w:val="000000"/>
                <w:sz w:val="24"/>
              </w:rPr>
            </w:pPr>
            <w:r>
              <w:rPr>
                <w:rFonts w:ascii="Times New Roman" w:hAnsi="Times New Roman"/>
                <w:color w:val="000000"/>
                <w:sz w:val="24"/>
              </w:rPr>
              <w:t>Lada</w:t>
            </w:r>
            <w:r>
              <w:rPr>
                <w:rFonts w:ascii="Times New Roman" w:hAnsi="Times New Roman"/>
                <w:color w:val="000000"/>
                <w:sz w:val="24"/>
              </w:rPr>
              <w:t xml:space="preserve"> </w:t>
            </w:r>
            <w:r>
              <w:rPr>
                <w:rFonts w:ascii="Times New Roman" w:hAnsi="Times New Roman"/>
                <w:color w:val="000000"/>
                <w:sz w:val="24"/>
              </w:rPr>
              <w:t>Largus</w:t>
            </w:r>
            <w:r>
              <w:rPr>
                <w:rFonts w:ascii="Times New Roman" w:hAnsi="Times New Roman"/>
                <w:color w:val="000000"/>
                <w:sz w:val="24"/>
              </w:rPr>
              <w:t xml:space="preserve">, </w:t>
            </w:r>
            <w:r>
              <w:rPr>
                <w:rFonts w:ascii="Times New Roman" w:hAnsi="Times New Roman"/>
                <w:color w:val="000000"/>
                <w:sz w:val="24"/>
              </w:rPr>
              <w:t>К</w:t>
            </w:r>
            <w:r>
              <w:rPr>
                <w:rFonts w:ascii="Times New Roman" w:hAnsi="Times New Roman"/>
                <w:color w:val="000000"/>
                <w:sz w:val="24"/>
              </w:rPr>
              <w:t>561</w:t>
            </w:r>
            <w:r>
              <w:rPr>
                <w:rFonts w:ascii="Times New Roman" w:hAnsi="Times New Roman"/>
                <w:color w:val="000000"/>
                <w:sz w:val="24"/>
              </w:rPr>
              <w:t>ЕХ</w:t>
            </w:r>
            <w:r>
              <w:rPr>
                <w:rFonts w:ascii="Times New Roman" w:hAnsi="Times New Roman"/>
                <w:color w:val="000000"/>
                <w:sz w:val="24"/>
              </w:rPr>
              <w:t xml:space="preserve">82, </w:t>
            </w:r>
            <w:r>
              <w:rPr>
                <w:rFonts w:ascii="Times New Roman" w:hAnsi="Times New Roman"/>
                <w:color w:val="000000"/>
                <w:sz w:val="24"/>
              </w:rPr>
              <w:t>В</w:t>
            </w:r>
            <w:r>
              <w:rPr>
                <w:rFonts w:ascii="Times New Roman" w:hAnsi="Times New Roman"/>
                <w:color w:val="000000"/>
                <w:sz w:val="24"/>
              </w:rPr>
              <w:t xml:space="preserve">, 2014 </w:t>
            </w:r>
            <w:r>
              <w:rPr>
                <w:rFonts w:ascii="Times New Roman" w:hAnsi="Times New Roman"/>
                <w:color w:val="000000"/>
                <w:sz w:val="24"/>
              </w:rPr>
              <w:t>г</w:t>
            </w:r>
            <w:r>
              <w:rPr>
                <w:rFonts w:ascii="Times New Roman" w:hAnsi="Times New Roman"/>
                <w:color w:val="000000"/>
                <w:sz w:val="24"/>
              </w:rPr>
              <w:t xml:space="preserve">., 104.7 </w:t>
            </w:r>
            <w:r>
              <w:rPr>
                <w:rFonts w:ascii="Times New Roman" w:hAnsi="Times New Roman"/>
                <w:color w:val="000000"/>
                <w:sz w:val="24"/>
              </w:rPr>
              <w:t>л</w:t>
            </w:r>
            <w:r>
              <w:rPr>
                <w:rFonts w:ascii="Times New Roman" w:hAnsi="Times New Roman"/>
                <w:color w:val="000000"/>
                <w:sz w:val="24"/>
              </w:rPr>
              <w:t>.</w:t>
            </w:r>
            <w:r>
              <w:rPr>
                <w:rFonts w:ascii="Times New Roman" w:hAnsi="Times New Roman"/>
                <w:color w:val="000000"/>
                <w:sz w:val="24"/>
              </w:rPr>
              <w:t>с</w:t>
            </w:r>
            <w:r>
              <w:rPr>
                <w:rFonts w:ascii="Times New Roman" w:hAnsi="Times New Roman"/>
                <w:color w:val="000000"/>
                <w:sz w:val="24"/>
              </w:rPr>
              <w:t>.</w:t>
            </w:r>
          </w:p>
        </w:tc>
        <w:tc>
          <w:tcPr>
            <w:tcW w:type="dxa" w:w="1985"/>
            <w:tcBorders>
              <w:top w:color="000000" w:sz="4" w:val="single"/>
              <w:left w:color="000000" w:sz="4" w:val="single"/>
              <w:bottom w:color="000000" w:sz="4" w:val="single"/>
              <w:right w:color="000000" w:sz="4" w:val="single"/>
            </w:tcBorders>
            <w:vAlign w:val="center"/>
          </w:tcPr>
          <w:p w14:paraId="A4000000">
            <w:pPr>
              <w:widowControl w:val="0"/>
              <w:spacing w:after="0" w:line="240" w:lineRule="auto"/>
              <w:ind/>
              <w:jc w:val="center"/>
              <w:rPr>
                <w:rFonts w:ascii="Times New Roman" w:hAnsi="Times New Roman"/>
                <w:color w:val="000000"/>
                <w:sz w:val="24"/>
              </w:rPr>
            </w:pPr>
            <w:r>
              <w:rPr>
                <w:rFonts w:ascii="Times New Roman" w:hAnsi="Times New Roman"/>
                <w:color w:val="000000"/>
                <w:sz w:val="24"/>
              </w:rPr>
              <w:t>XTARS0Y5LE0841620</w:t>
            </w:r>
          </w:p>
        </w:tc>
        <w:tc>
          <w:tcPr>
            <w:tcW w:type="dxa" w:w="1701"/>
            <w:tcBorders>
              <w:top w:color="000000" w:sz="4" w:val="single"/>
              <w:left w:color="000000" w:sz="4" w:val="single"/>
              <w:bottom w:color="000000" w:sz="4" w:val="single"/>
              <w:right w:color="000000" w:sz="4" w:val="single"/>
            </w:tcBorders>
            <w:vAlign w:val="center"/>
          </w:tcPr>
          <w:p w14:paraId="A5000000">
            <w:pPr>
              <w:widowControl w:val="0"/>
              <w:spacing w:after="0" w:line="240" w:lineRule="auto"/>
              <w:ind w:right="-83"/>
              <w:jc w:val="center"/>
              <w:rPr>
                <w:rFonts w:ascii="Times New Roman" w:hAnsi="Times New Roman"/>
                <w:sz w:val="24"/>
              </w:rPr>
            </w:pPr>
            <w:r>
              <w:rPr>
                <w:rFonts w:ascii="Times New Roman" w:hAnsi="Times New Roman"/>
                <w:sz w:val="24"/>
              </w:rPr>
              <w:t>63</w:t>
            </w:r>
            <w:r>
              <w:rPr>
                <w:rFonts w:ascii="Times New Roman" w:hAnsi="Times New Roman"/>
                <w:sz w:val="24"/>
              </w:rPr>
              <w:t>НУ</w:t>
            </w:r>
            <w:r>
              <w:rPr>
                <w:rFonts w:ascii="Times New Roman" w:hAnsi="Times New Roman"/>
                <w:sz w:val="24"/>
              </w:rPr>
              <w:t xml:space="preserve"> №362108</w:t>
            </w:r>
          </w:p>
        </w:tc>
        <w:tc>
          <w:tcPr>
            <w:tcW w:type="dxa" w:w="1984"/>
            <w:tcBorders>
              <w:top w:color="000000" w:sz="4" w:val="single"/>
              <w:left w:color="000000" w:sz="4" w:val="single"/>
              <w:bottom w:color="000000" w:sz="4" w:val="single"/>
              <w:right w:color="000000" w:sz="4" w:val="single"/>
            </w:tcBorders>
          </w:tcPr>
          <w:p/>
        </w:tc>
      </w:tr>
      <w:tr>
        <w:trPr>
          <w:trHeight w:hRule="atLeast" w:val="361"/>
        </w:trPr>
        <w:tc>
          <w:tcPr>
            <w:tcW w:type="dxa" w:w="579"/>
            <w:tcBorders>
              <w:top w:color="000000" w:sz="4" w:val="single"/>
              <w:left w:color="000000" w:sz="4" w:val="single"/>
              <w:bottom w:color="000000" w:sz="4" w:val="single"/>
              <w:right w:color="000000" w:sz="4" w:val="single"/>
            </w:tcBorders>
            <w:vAlign w:val="center"/>
          </w:tcPr>
          <w:p w14:paraId="A600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3248"/>
            <w:tcBorders>
              <w:top w:color="000000" w:sz="4" w:val="single"/>
              <w:left w:color="000000" w:sz="4" w:val="single"/>
              <w:bottom w:color="000000" w:sz="4" w:val="single"/>
              <w:right w:color="000000" w:sz="4" w:val="single"/>
            </w:tcBorders>
            <w:vAlign w:val="center"/>
          </w:tcPr>
          <w:p w14:paraId="A7000000">
            <w:pPr>
              <w:widowControl w:val="0"/>
              <w:spacing w:after="0" w:line="240" w:lineRule="auto"/>
              <w:ind/>
              <w:rPr>
                <w:rFonts w:ascii="Times New Roman" w:hAnsi="Times New Roman"/>
                <w:color w:val="000000"/>
                <w:sz w:val="24"/>
              </w:rPr>
            </w:pPr>
            <w:r>
              <w:rPr>
                <w:rFonts w:ascii="Times New Roman" w:hAnsi="Times New Roman"/>
                <w:color w:val="000000"/>
                <w:sz w:val="24"/>
              </w:rPr>
              <w:t>Lada</w:t>
            </w:r>
            <w:r>
              <w:rPr>
                <w:rFonts w:ascii="Times New Roman" w:hAnsi="Times New Roman"/>
                <w:color w:val="000000"/>
                <w:sz w:val="24"/>
              </w:rPr>
              <w:t xml:space="preserve"> </w:t>
            </w:r>
            <w:r>
              <w:rPr>
                <w:rFonts w:ascii="Times New Roman" w:hAnsi="Times New Roman"/>
                <w:color w:val="000000"/>
                <w:sz w:val="24"/>
              </w:rPr>
              <w:t>Largus</w:t>
            </w:r>
            <w:r>
              <w:rPr>
                <w:rFonts w:ascii="Times New Roman" w:hAnsi="Times New Roman"/>
                <w:color w:val="000000"/>
                <w:sz w:val="24"/>
              </w:rPr>
              <w:t xml:space="preserve">, </w:t>
            </w:r>
            <w:r>
              <w:rPr>
                <w:rFonts w:ascii="Times New Roman" w:hAnsi="Times New Roman"/>
                <w:color w:val="000000"/>
                <w:sz w:val="24"/>
              </w:rPr>
              <w:t>К</w:t>
            </w:r>
            <w:r>
              <w:rPr>
                <w:rFonts w:ascii="Times New Roman" w:hAnsi="Times New Roman"/>
                <w:color w:val="000000"/>
                <w:sz w:val="24"/>
              </w:rPr>
              <w:t>555</w:t>
            </w:r>
            <w:r>
              <w:rPr>
                <w:rFonts w:ascii="Times New Roman" w:hAnsi="Times New Roman"/>
                <w:color w:val="000000"/>
                <w:sz w:val="24"/>
              </w:rPr>
              <w:t>ЕХ</w:t>
            </w:r>
            <w:r>
              <w:rPr>
                <w:rFonts w:ascii="Times New Roman" w:hAnsi="Times New Roman"/>
                <w:color w:val="000000"/>
                <w:sz w:val="24"/>
              </w:rPr>
              <w:t xml:space="preserve">82, </w:t>
            </w:r>
            <w:r>
              <w:rPr>
                <w:rFonts w:ascii="Times New Roman" w:hAnsi="Times New Roman"/>
                <w:color w:val="000000"/>
                <w:sz w:val="24"/>
              </w:rPr>
              <w:t>В</w:t>
            </w:r>
            <w:r>
              <w:rPr>
                <w:rFonts w:ascii="Times New Roman" w:hAnsi="Times New Roman"/>
                <w:color w:val="000000"/>
                <w:sz w:val="24"/>
              </w:rPr>
              <w:t xml:space="preserve">, 2014 </w:t>
            </w:r>
            <w:r>
              <w:rPr>
                <w:rFonts w:ascii="Times New Roman" w:hAnsi="Times New Roman"/>
                <w:color w:val="000000"/>
                <w:sz w:val="24"/>
              </w:rPr>
              <w:t>г., 104.7 л.с.</w:t>
            </w:r>
          </w:p>
        </w:tc>
        <w:tc>
          <w:tcPr>
            <w:tcW w:type="dxa" w:w="1985"/>
            <w:tcBorders>
              <w:top w:color="000000" w:sz="4" w:val="single"/>
              <w:left w:color="000000" w:sz="4" w:val="single"/>
              <w:bottom w:color="000000" w:sz="4" w:val="single"/>
              <w:right w:color="000000" w:sz="4" w:val="single"/>
            </w:tcBorders>
            <w:vAlign w:val="center"/>
          </w:tcPr>
          <w:p w14:paraId="A8000000">
            <w:pPr>
              <w:widowControl w:val="0"/>
              <w:spacing w:after="0" w:line="240" w:lineRule="auto"/>
              <w:ind/>
              <w:jc w:val="center"/>
              <w:rPr>
                <w:rFonts w:ascii="Times New Roman" w:hAnsi="Times New Roman"/>
                <w:color w:val="000000"/>
                <w:sz w:val="24"/>
              </w:rPr>
            </w:pPr>
            <w:r>
              <w:rPr>
                <w:rFonts w:ascii="Times New Roman" w:hAnsi="Times New Roman"/>
                <w:sz w:val="24"/>
              </w:rPr>
              <w:t>XTARS0Y5LE0847483</w:t>
            </w:r>
          </w:p>
        </w:tc>
        <w:tc>
          <w:tcPr>
            <w:tcW w:type="dxa" w:w="1701"/>
            <w:tcBorders>
              <w:top w:color="000000" w:sz="4" w:val="single"/>
              <w:left w:color="000000" w:sz="4" w:val="single"/>
              <w:bottom w:color="000000" w:sz="4" w:val="single"/>
              <w:right w:color="000000" w:sz="4" w:val="single"/>
            </w:tcBorders>
            <w:vAlign w:val="center"/>
          </w:tcPr>
          <w:p w14:paraId="A9000000">
            <w:pPr>
              <w:widowControl w:val="0"/>
              <w:spacing w:after="0" w:line="240" w:lineRule="auto"/>
              <w:ind w:right="-83"/>
              <w:jc w:val="center"/>
              <w:rPr>
                <w:rFonts w:ascii="Times New Roman" w:hAnsi="Times New Roman"/>
                <w:sz w:val="24"/>
              </w:rPr>
            </w:pPr>
            <w:r>
              <w:rPr>
                <w:rFonts w:ascii="Times New Roman" w:hAnsi="Times New Roman"/>
                <w:sz w:val="24"/>
              </w:rPr>
              <w:t>63НУ №384477</w:t>
            </w:r>
          </w:p>
        </w:tc>
        <w:tc>
          <w:tcPr>
            <w:tcW w:type="dxa" w:w="1984"/>
            <w:tcBorders>
              <w:top w:color="000000" w:sz="4" w:val="single"/>
              <w:left w:color="000000" w:sz="4" w:val="single"/>
              <w:bottom w:color="000000" w:sz="4" w:val="single"/>
              <w:right w:color="000000" w:sz="4" w:val="single"/>
            </w:tcBorders>
          </w:tcPr>
          <w:p/>
        </w:tc>
      </w:tr>
      <w:tr>
        <w:trPr>
          <w:trHeight w:hRule="atLeast" w:val="361"/>
        </w:trPr>
        <w:tc>
          <w:tcPr>
            <w:tcW w:type="dxa" w:w="579"/>
            <w:tcBorders>
              <w:top w:color="000000" w:sz="4" w:val="single"/>
              <w:left w:color="000000" w:sz="4" w:val="single"/>
              <w:bottom w:color="000000" w:sz="4" w:val="single"/>
              <w:right w:color="000000" w:sz="4" w:val="single"/>
            </w:tcBorders>
            <w:vAlign w:val="center"/>
          </w:tcPr>
          <w:p w14:paraId="AA00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3248"/>
            <w:tcBorders>
              <w:top w:color="000000" w:sz="4" w:val="single"/>
              <w:left w:color="000000" w:sz="4" w:val="single"/>
              <w:bottom w:color="000000" w:sz="4" w:val="single"/>
              <w:right w:color="000000" w:sz="4" w:val="single"/>
            </w:tcBorders>
            <w:vAlign w:val="center"/>
          </w:tcPr>
          <w:p w14:paraId="AB000000">
            <w:pPr>
              <w:widowControl w:val="0"/>
              <w:spacing w:after="0" w:line="240" w:lineRule="auto"/>
              <w:ind/>
              <w:rPr>
                <w:rFonts w:ascii="Times New Roman" w:hAnsi="Times New Roman"/>
                <w:color w:val="000000"/>
                <w:sz w:val="24"/>
              </w:rPr>
            </w:pPr>
            <w:r>
              <w:rPr>
                <w:rFonts w:ascii="Times New Roman" w:hAnsi="Times New Roman"/>
                <w:color w:val="000000"/>
                <w:sz w:val="24"/>
              </w:rPr>
              <w:t>Lada</w:t>
            </w:r>
            <w:r>
              <w:rPr>
                <w:rFonts w:ascii="Times New Roman" w:hAnsi="Times New Roman"/>
                <w:color w:val="000000"/>
                <w:sz w:val="24"/>
              </w:rPr>
              <w:t xml:space="preserve"> </w:t>
            </w:r>
            <w:r>
              <w:rPr>
                <w:rFonts w:ascii="Times New Roman" w:hAnsi="Times New Roman"/>
                <w:color w:val="000000"/>
                <w:sz w:val="24"/>
              </w:rPr>
              <w:t>Largus</w:t>
            </w:r>
            <w:r>
              <w:rPr>
                <w:rFonts w:ascii="Times New Roman" w:hAnsi="Times New Roman"/>
                <w:color w:val="000000"/>
                <w:sz w:val="24"/>
              </w:rPr>
              <w:t>, К564ЕХ82, В, 2014 г., 104.7 л.с.</w:t>
            </w:r>
          </w:p>
        </w:tc>
        <w:tc>
          <w:tcPr>
            <w:tcW w:type="dxa" w:w="1985"/>
            <w:tcBorders>
              <w:top w:color="000000" w:sz="4" w:val="single"/>
              <w:left w:color="000000" w:sz="4" w:val="single"/>
              <w:bottom w:color="000000" w:sz="4" w:val="single"/>
              <w:right w:color="000000" w:sz="4" w:val="single"/>
            </w:tcBorders>
            <w:vAlign w:val="center"/>
          </w:tcPr>
          <w:p w14:paraId="AC000000">
            <w:pPr>
              <w:widowControl w:val="0"/>
              <w:spacing w:after="0" w:line="240" w:lineRule="auto"/>
              <w:ind/>
              <w:jc w:val="center"/>
              <w:rPr>
                <w:rFonts w:ascii="Times New Roman" w:hAnsi="Times New Roman"/>
                <w:color w:val="000000"/>
                <w:sz w:val="24"/>
              </w:rPr>
            </w:pPr>
            <w:r>
              <w:rPr>
                <w:rFonts w:ascii="Times New Roman" w:hAnsi="Times New Roman"/>
                <w:sz w:val="24"/>
              </w:rPr>
              <w:t>XTARS0Y5LF0853953</w:t>
            </w:r>
          </w:p>
        </w:tc>
        <w:tc>
          <w:tcPr>
            <w:tcW w:type="dxa" w:w="1701"/>
            <w:tcBorders>
              <w:top w:color="000000" w:sz="4" w:val="single"/>
              <w:left w:color="000000" w:sz="4" w:val="single"/>
              <w:bottom w:color="000000" w:sz="4" w:val="single"/>
              <w:right w:color="000000" w:sz="4" w:val="single"/>
            </w:tcBorders>
            <w:vAlign w:val="center"/>
          </w:tcPr>
          <w:p w14:paraId="AD000000">
            <w:pPr>
              <w:widowControl w:val="0"/>
              <w:spacing w:after="0" w:line="240" w:lineRule="auto"/>
              <w:ind w:right="-83"/>
              <w:jc w:val="center"/>
              <w:rPr>
                <w:rFonts w:ascii="Times New Roman" w:hAnsi="Times New Roman"/>
                <w:sz w:val="24"/>
              </w:rPr>
            </w:pPr>
            <w:r>
              <w:rPr>
                <w:rFonts w:ascii="Times New Roman" w:hAnsi="Times New Roman"/>
                <w:sz w:val="24"/>
              </w:rPr>
              <w:t>63НУ №396654</w:t>
            </w:r>
          </w:p>
        </w:tc>
        <w:tc>
          <w:tcPr>
            <w:tcW w:type="dxa" w:w="1984"/>
            <w:tcBorders>
              <w:top w:color="000000" w:sz="4" w:val="single"/>
              <w:left w:color="000000" w:sz="4" w:val="single"/>
              <w:bottom w:color="000000" w:sz="4" w:val="single"/>
              <w:right w:color="000000" w:sz="4" w:val="single"/>
            </w:tcBorders>
          </w:tcPr>
          <w:p/>
        </w:tc>
      </w:tr>
      <w:tr>
        <w:trPr>
          <w:trHeight w:hRule="atLeast" w:val="361"/>
        </w:trPr>
        <w:tc>
          <w:tcPr>
            <w:tcW w:type="dxa" w:w="579"/>
            <w:tcBorders>
              <w:top w:color="000000" w:sz="4" w:val="single"/>
              <w:left w:color="000000" w:sz="4" w:val="single"/>
              <w:bottom w:color="000000" w:sz="4" w:val="single"/>
              <w:right w:color="000000" w:sz="4" w:val="single"/>
            </w:tcBorders>
            <w:vAlign w:val="center"/>
          </w:tcPr>
          <w:p w14:paraId="AE000000">
            <w:pPr>
              <w:widowControl w:val="0"/>
              <w:spacing w:after="0" w:line="240" w:lineRule="auto"/>
              <w:ind/>
              <w:jc w:val="center"/>
              <w:rPr>
                <w:rFonts w:ascii="Times New Roman" w:hAnsi="Times New Roman"/>
                <w:sz w:val="24"/>
              </w:rPr>
            </w:pPr>
            <w:r>
              <w:rPr>
                <w:rFonts w:ascii="Times New Roman" w:hAnsi="Times New Roman"/>
                <w:sz w:val="24"/>
              </w:rPr>
              <w:t>4</w:t>
            </w:r>
          </w:p>
        </w:tc>
        <w:tc>
          <w:tcPr>
            <w:tcW w:type="dxa" w:w="3248"/>
            <w:tcBorders>
              <w:top w:color="000000" w:sz="4" w:val="single"/>
              <w:left w:color="000000" w:sz="4" w:val="single"/>
              <w:bottom w:color="000000" w:sz="4" w:val="single"/>
              <w:right w:color="000000" w:sz="4" w:val="single"/>
            </w:tcBorders>
            <w:vAlign w:val="center"/>
          </w:tcPr>
          <w:p w14:paraId="AF000000">
            <w:pPr>
              <w:widowControl w:val="0"/>
              <w:spacing w:after="0" w:line="240" w:lineRule="auto"/>
              <w:ind/>
              <w:rPr>
                <w:rFonts w:ascii="Times New Roman" w:hAnsi="Times New Roman"/>
                <w:color w:val="000000"/>
                <w:sz w:val="24"/>
              </w:rPr>
            </w:pPr>
            <w:r>
              <w:rPr>
                <w:rFonts w:ascii="Times New Roman" w:hAnsi="Times New Roman"/>
                <w:color w:val="000000"/>
                <w:sz w:val="24"/>
              </w:rPr>
              <w:t>Lada</w:t>
            </w:r>
            <w:r>
              <w:rPr>
                <w:rFonts w:ascii="Times New Roman" w:hAnsi="Times New Roman"/>
                <w:color w:val="000000"/>
                <w:sz w:val="24"/>
              </w:rPr>
              <w:t xml:space="preserve"> </w:t>
            </w:r>
            <w:r>
              <w:rPr>
                <w:rFonts w:ascii="Times New Roman" w:hAnsi="Times New Roman"/>
                <w:color w:val="000000"/>
                <w:sz w:val="24"/>
              </w:rPr>
              <w:t>Largus</w:t>
            </w:r>
            <w:r>
              <w:rPr>
                <w:rFonts w:ascii="Times New Roman" w:hAnsi="Times New Roman"/>
                <w:color w:val="000000"/>
                <w:sz w:val="24"/>
              </w:rPr>
              <w:t>, К563ЕХ82, В, 2014 г., 104.7 л.с.</w:t>
            </w:r>
          </w:p>
        </w:tc>
        <w:tc>
          <w:tcPr>
            <w:tcW w:type="dxa" w:w="1985"/>
            <w:tcBorders>
              <w:top w:color="000000" w:sz="4" w:val="single"/>
              <w:left w:color="000000" w:sz="4" w:val="single"/>
              <w:bottom w:color="000000" w:sz="4" w:val="single"/>
              <w:right w:color="000000" w:sz="4" w:val="single"/>
            </w:tcBorders>
            <w:vAlign w:val="center"/>
          </w:tcPr>
          <w:p w14:paraId="B0000000">
            <w:pPr>
              <w:widowControl w:val="0"/>
              <w:spacing w:after="0" w:line="240" w:lineRule="auto"/>
              <w:ind/>
              <w:jc w:val="center"/>
              <w:rPr>
                <w:rFonts w:ascii="Times New Roman" w:hAnsi="Times New Roman"/>
                <w:color w:val="000000"/>
                <w:sz w:val="24"/>
              </w:rPr>
            </w:pPr>
            <w:r>
              <w:rPr>
                <w:rFonts w:ascii="Times New Roman" w:hAnsi="Times New Roman"/>
                <w:sz w:val="24"/>
              </w:rPr>
              <w:t>XTARS0Y5LE0849035</w:t>
            </w:r>
          </w:p>
        </w:tc>
        <w:tc>
          <w:tcPr>
            <w:tcW w:type="dxa" w:w="1701"/>
            <w:tcBorders>
              <w:top w:color="000000" w:sz="4" w:val="single"/>
              <w:left w:color="000000" w:sz="4" w:val="single"/>
              <w:bottom w:color="000000" w:sz="4" w:val="single"/>
              <w:right w:color="000000" w:sz="4" w:val="single"/>
            </w:tcBorders>
            <w:vAlign w:val="center"/>
          </w:tcPr>
          <w:p w14:paraId="B1000000">
            <w:pPr>
              <w:widowControl w:val="0"/>
              <w:spacing w:after="0" w:line="240" w:lineRule="auto"/>
              <w:ind w:right="-83"/>
              <w:jc w:val="center"/>
              <w:rPr>
                <w:rFonts w:ascii="Times New Roman" w:hAnsi="Times New Roman"/>
                <w:sz w:val="24"/>
              </w:rPr>
            </w:pPr>
            <w:r>
              <w:rPr>
                <w:rFonts w:ascii="Times New Roman" w:hAnsi="Times New Roman"/>
                <w:sz w:val="24"/>
              </w:rPr>
              <w:t>63НУ №384483</w:t>
            </w:r>
          </w:p>
        </w:tc>
        <w:tc>
          <w:tcPr>
            <w:tcW w:type="dxa" w:w="1984"/>
            <w:tcBorders>
              <w:top w:color="000000" w:sz="4" w:val="single"/>
              <w:left w:color="000000" w:sz="4" w:val="single"/>
              <w:bottom w:color="000000" w:sz="4" w:val="single"/>
              <w:right w:color="000000" w:sz="4" w:val="single"/>
            </w:tcBorders>
          </w:tcPr>
          <w:p/>
        </w:tc>
      </w:tr>
      <w:tr>
        <w:trPr>
          <w:trHeight w:hRule="atLeast" w:val="361"/>
        </w:trPr>
        <w:tc>
          <w:tcPr>
            <w:tcW w:type="dxa" w:w="579"/>
            <w:tcBorders>
              <w:top w:color="000000" w:sz="4" w:val="single"/>
              <w:left w:color="000000" w:sz="4" w:val="single"/>
              <w:bottom w:color="000000" w:sz="4" w:val="single"/>
              <w:right w:color="000000" w:sz="4" w:val="single"/>
            </w:tcBorders>
            <w:vAlign w:val="center"/>
          </w:tcPr>
          <w:p w14:paraId="B2000000">
            <w:pPr>
              <w:widowControl w:val="0"/>
              <w:spacing w:after="0" w:line="240" w:lineRule="auto"/>
              <w:ind/>
              <w:jc w:val="center"/>
              <w:rPr>
                <w:rFonts w:ascii="Times New Roman" w:hAnsi="Times New Roman"/>
                <w:sz w:val="24"/>
              </w:rPr>
            </w:pPr>
            <w:r>
              <w:rPr>
                <w:rFonts w:ascii="Times New Roman" w:hAnsi="Times New Roman"/>
                <w:sz w:val="24"/>
              </w:rPr>
              <w:t>5</w:t>
            </w:r>
          </w:p>
        </w:tc>
        <w:tc>
          <w:tcPr>
            <w:tcW w:type="dxa" w:w="3248"/>
            <w:tcBorders>
              <w:top w:color="000000" w:sz="4" w:val="single"/>
              <w:left w:color="000000" w:sz="4" w:val="single"/>
              <w:bottom w:color="000000" w:sz="4" w:val="single"/>
              <w:right w:color="000000" w:sz="4" w:val="single"/>
            </w:tcBorders>
            <w:vAlign w:val="center"/>
          </w:tcPr>
          <w:p w14:paraId="B3000000">
            <w:pPr>
              <w:widowControl w:val="0"/>
              <w:spacing w:after="0" w:line="240" w:lineRule="auto"/>
              <w:ind/>
              <w:rPr>
                <w:rFonts w:ascii="Times New Roman" w:hAnsi="Times New Roman"/>
                <w:color w:val="000000"/>
                <w:sz w:val="24"/>
              </w:rPr>
            </w:pPr>
            <w:r>
              <w:rPr>
                <w:rFonts w:ascii="Times New Roman" w:hAnsi="Times New Roman"/>
                <w:color w:val="000000"/>
                <w:sz w:val="24"/>
              </w:rPr>
              <w:t xml:space="preserve">Volkswagen Caravelle, </w:t>
            </w:r>
            <w:r>
              <w:rPr>
                <w:rFonts w:ascii="Times New Roman" w:hAnsi="Times New Roman"/>
                <w:color w:val="000000"/>
                <w:sz w:val="24"/>
              </w:rPr>
              <w:t>К</w:t>
            </w:r>
            <w:r>
              <w:rPr>
                <w:rFonts w:ascii="Times New Roman" w:hAnsi="Times New Roman"/>
                <w:color w:val="000000"/>
                <w:sz w:val="24"/>
              </w:rPr>
              <w:t>556</w:t>
            </w:r>
            <w:r>
              <w:rPr>
                <w:rFonts w:ascii="Times New Roman" w:hAnsi="Times New Roman"/>
                <w:color w:val="000000"/>
                <w:sz w:val="24"/>
              </w:rPr>
              <w:t>ЕХ</w:t>
            </w:r>
            <w:r>
              <w:rPr>
                <w:rFonts w:ascii="Times New Roman" w:hAnsi="Times New Roman"/>
                <w:color w:val="000000"/>
                <w:sz w:val="24"/>
              </w:rPr>
              <w:t xml:space="preserve">82, </w:t>
            </w:r>
            <w:r>
              <w:rPr>
                <w:rFonts w:ascii="Times New Roman" w:hAnsi="Times New Roman"/>
                <w:color w:val="000000"/>
                <w:sz w:val="24"/>
              </w:rPr>
              <w:t>В</w:t>
            </w:r>
            <w:r>
              <w:rPr>
                <w:rFonts w:ascii="Times New Roman" w:hAnsi="Times New Roman"/>
                <w:color w:val="000000"/>
                <w:sz w:val="24"/>
              </w:rPr>
              <w:t xml:space="preserve">, 2014 </w:t>
            </w:r>
            <w:r>
              <w:rPr>
                <w:rFonts w:ascii="Times New Roman" w:hAnsi="Times New Roman"/>
                <w:color w:val="000000"/>
                <w:sz w:val="24"/>
              </w:rPr>
              <w:t>г</w:t>
            </w:r>
            <w:r>
              <w:rPr>
                <w:rFonts w:ascii="Times New Roman" w:hAnsi="Times New Roman"/>
                <w:color w:val="000000"/>
                <w:sz w:val="24"/>
              </w:rPr>
              <w:t xml:space="preserve">., 102 </w:t>
            </w:r>
            <w:r>
              <w:rPr>
                <w:rFonts w:ascii="Times New Roman" w:hAnsi="Times New Roman"/>
                <w:color w:val="000000"/>
                <w:sz w:val="24"/>
              </w:rPr>
              <w:t>л</w:t>
            </w:r>
            <w:r>
              <w:rPr>
                <w:rFonts w:ascii="Times New Roman" w:hAnsi="Times New Roman"/>
                <w:color w:val="000000"/>
                <w:sz w:val="24"/>
              </w:rPr>
              <w:t>.</w:t>
            </w:r>
            <w:r>
              <w:rPr>
                <w:rFonts w:ascii="Times New Roman" w:hAnsi="Times New Roman"/>
                <w:color w:val="000000"/>
                <w:sz w:val="24"/>
              </w:rPr>
              <w:t>с</w:t>
            </w:r>
          </w:p>
        </w:tc>
        <w:tc>
          <w:tcPr>
            <w:tcW w:type="dxa" w:w="1985"/>
            <w:tcBorders>
              <w:top w:color="000000" w:sz="4" w:val="single"/>
              <w:left w:color="000000" w:sz="4" w:val="single"/>
              <w:bottom w:color="000000" w:sz="4" w:val="single"/>
              <w:right w:color="000000" w:sz="4" w:val="single"/>
            </w:tcBorders>
            <w:vAlign w:val="center"/>
          </w:tcPr>
          <w:p w14:paraId="B4000000">
            <w:pPr>
              <w:widowControl w:val="0"/>
              <w:spacing w:after="0" w:line="240" w:lineRule="auto"/>
              <w:ind/>
              <w:jc w:val="center"/>
              <w:rPr>
                <w:rFonts w:ascii="Times New Roman" w:hAnsi="Times New Roman"/>
                <w:color w:val="000000"/>
                <w:sz w:val="24"/>
              </w:rPr>
            </w:pPr>
            <w:r>
              <w:rPr>
                <w:rFonts w:ascii="Times New Roman" w:hAnsi="Times New Roman"/>
                <w:sz w:val="24"/>
              </w:rPr>
              <w:t>XW8ZZZ7HZFG001016</w:t>
            </w:r>
          </w:p>
        </w:tc>
        <w:tc>
          <w:tcPr>
            <w:tcW w:type="dxa" w:w="1701"/>
            <w:tcBorders>
              <w:top w:color="000000" w:sz="4" w:val="single"/>
              <w:left w:color="000000" w:sz="4" w:val="single"/>
              <w:bottom w:color="000000" w:sz="4" w:val="single"/>
              <w:right w:color="000000" w:sz="4" w:val="single"/>
            </w:tcBorders>
            <w:vAlign w:val="center"/>
          </w:tcPr>
          <w:p w14:paraId="B5000000">
            <w:pPr>
              <w:widowControl w:val="0"/>
              <w:spacing w:after="0" w:line="240" w:lineRule="auto"/>
              <w:ind w:right="-83"/>
              <w:jc w:val="center"/>
              <w:rPr>
                <w:rFonts w:ascii="Times New Roman" w:hAnsi="Times New Roman"/>
                <w:sz w:val="24"/>
              </w:rPr>
            </w:pPr>
            <w:r>
              <w:rPr>
                <w:rFonts w:ascii="Times New Roman" w:hAnsi="Times New Roman"/>
                <w:sz w:val="24"/>
              </w:rPr>
              <w:t>40НХ №770754</w:t>
            </w:r>
          </w:p>
        </w:tc>
        <w:tc>
          <w:tcPr>
            <w:tcW w:type="dxa" w:w="1984"/>
            <w:tcBorders>
              <w:top w:color="000000" w:sz="4" w:val="single"/>
              <w:left w:color="000000" w:sz="4" w:val="single"/>
              <w:bottom w:color="000000" w:sz="4" w:val="single"/>
              <w:right w:color="000000" w:sz="4" w:val="single"/>
            </w:tcBorders>
          </w:tcPr>
          <w:p/>
        </w:tc>
      </w:tr>
      <w:tr>
        <w:trPr>
          <w:trHeight w:hRule="atLeast" w:val="361"/>
        </w:trPr>
        <w:tc>
          <w:tcPr>
            <w:tcW w:type="dxa" w:w="579"/>
            <w:tcBorders>
              <w:top w:color="000000" w:sz="4" w:val="single"/>
              <w:left w:color="000000" w:sz="4" w:val="single"/>
              <w:bottom w:color="000000" w:sz="4" w:val="single"/>
              <w:right w:color="000000" w:sz="4" w:val="single"/>
            </w:tcBorders>
            <w:vAlign w:val="center"/>
          </w:tcPr>
          <w:p w14:paraId="B6000000">
            <w:pPr>
              <w:widowControl w:val="0"/>
              <w:spacing w:after="0" w:line="240" w:lineRule="auto"/>
              <w:ind/>
              <w:jc w:val="center"/>
              <w:rPr>
                <w:rFonts w:ascii="Times New Roman" w:hAnsi="Times New Roman"/>
                <w:sz w:val="24"/>
              </w:rPr>
            </w:pPr>
            <w:r>
              <w:rPr>
                <w:rFonts w:ascii="Times New Roman" w:hAnsi="Times New Roman"/>
                <w:sz w:val="24"/>
              </w:rPr>
              <w:t>6</w:t>
            </w:r>
          </w:p>
        </w:tc>
        <w:tc>
          <w:tcPr>
            <w:tcW w:type="dxa" w:w="3248"/>
            <w:tcBorders>
              <w:top w:color="000000" w:sz="4" w:val="single"/>
              <w:left w:color="000000" w:sz="4" w:val="single"/>
              <w:bottom w:color="000000" w:sz="4" w:val="single"/>
              <w:right w:color="000000" w:sz="4" w:val="single"/>
            </w:tcBorders>
            <w:vAlign w:val="center"/>
          </w:tcPr>
          <w:p w14:paraId="B7000000">
            <w:pPr>
              <w:widowControl w:val="0"/>
              <w:spacing w:after="0" w:line="240" w:lineRule="auto"/>
              <w:ind/>
              <w:rPr>
                <w:rFonts w:ascii="Times New Roman" w:hAnsi="Times New Roman"/>
                <w:color w:val="000000"/>
                <w:sz w:val="24"/>
              </w:rPr>
            </w:pPr>
            <w:r>
              <w:rPr>
                <w:rFonts w:ascii="Times New Roman" w:hAnsi="Times New Roman"/>
                <w:color w:val="000000"/>
                <w:sz w:val="24"/>
              </w:rPr>
              <w:t>Nissan</w:t>
            </w:r>
            <w:r>
              <w:rPr>
                <w:rFonts w:ascii="Times New Roman" w:hAnsi="Times New Roman"/>
                <w:color w:val="000000"/>
                <w:sz w:val="24"/>
              </w:rPr>
              <w:t xml:space="preserve"> </w:t>
            </w:r>
            <w:r>
              <w:rPr>
                <w:rFonts w:ascii="Times New Roman" w:hAnsi="Times New Roman"/>
                <w:color w:val="000000"/>
                <w:sz w:val="24"/>
              </w:rPr>
              <w:t>Teana</w:t>
            </w:r>
            <w:r>
              <w:rPr>
                <w:rFonts w:ascii="Times New Roman" w:hAnsi="Times New Roman"/>
                <w:color w:val="000000"/>
                <w:sz w:val="24"/>
              </w:rPr>
              <w:t>, К565ЕХ82, В, 2014 г., 173 л.с.</w:t>
            </w:r>
          </w:p>
        </w:tc>
        <w:tc>
          <w:tcPr>
            <w:tcW w:type="dxa" w:w="1985"/>
            <w:tcBorders>
              <w:top w:color="000000" w:sz="4" w:val="single"/>
              <w:left w:color="000000" w:sz="4" w:val="single"/>
              <w:bottom w:color="000000" w:sz="4" w:val="single"/>
              <w:right w:color="000000" w:sz="4" w:val="single"/>
            </w:tcBorders>
            <w:vAlign w:val="center"/>
          </w:tcPr>
          <w:p w14:paraId="B8000000">
            <w:pPr>
              <w:widowControl w:val="0"/>
              <w:spacing w:after="0" w:line="240" w:lineRule="auto"/>
              <w:ind/>
              <w:jc w:val="center"/>
              <w:rPr>
                <w:rFonts w:ascii="Times New Roman" w:hAnsi="Times New Roman"/>
                <w:sz w:val="24"/>
              </w:rPr>
            </w:pPr>
            <w:r>
              <w:rPr>
                <w:rFonts w:ascii="Times New Roman" w:hAnsi="Times New Roman"/>
                <w:sz w:val="24"/>
              </w:rPr>
              <w:t>Z8NBCAL33ES007144</w:t>
            </w:r>
          </w:p>
        </w:tc>
        <w:tc>
          <w:tcPr>
            <w:tcW w:type="dxa" w:w="1701"/>
            <w:tcBorders>
              <w:top w:color="000000" w:sz="4" w:val="single"/>
              <w:left w:color="000000" w:sz="4" w:val="single"/>
              <w:bottom w:color="000000" w:sz="4" w:val="single"/>
              <w:right w:color="000000" w:sz="4" w:val="single"/>
            </w:tcBorders>
            <w:vAlign w:val="center"/>
          </w:tcPr>
          <w:p w14:paraId="B9000000">
            <w:pPr>
              <w:widowControl w:val="0"/>
              <w:spacing w:after="0" w:line="240" w:lineRule="auto"/>
              <w:ind w:right="-83"/>
              <w:jc w:val="center"/>
              <w:rPr>
                <w:rFonts w:ascii="Times New Roman" w:hAnsi="Times New Roman"/>
                <w:sz w:val="24"/>
              </w:rPr>
            </w:pPr>
            <w:r>
              <w:rPr>
                <w:rFonts w:ascii="Times New Roman" w:hAnsi="Times New Roman"/>
                <w:sz w:val="24"/>
              </w:rPr>
              <w:t>78ОВ №139657</w:t>
            </w:r>
          </w:p>
        </w:tc>
        <w:tc>
          <w:tcPr>
            <w:tcW w:type="dxa" w:w="1984"/>
            <w:tcBorders>
              <w:top w:color="000000" w:sz="4" w:val="single"/>
              <w:left w:color="000000" w:sz="4" w:val="single"/>
              <w:bottom w:color="000000" w:sz="4" w:val="single"/>
              <w:right w:color="000000" w:sz="4" w:val="single"/>
            </w:tcBorders>
          </w:tcPr>
          <w:p/>
        </w:tc>
      </w:tr>
    </w:tbl>
    <w:p w14:paraId="BA000000">
      <w:pPr>
        <w:pStyle w:val="Style_4"/>
        <w:rPr>
          <w:rFonts w:ascii="Times New Roman" w:hAnsi="Times New Roman"/>
          <w:b w:val="1"/>
          <w:sz w:val="24"/>
        </w:rPr>
      </w:pPr>
    </w:p>
    <w:p w14:paraId="BB000000">
      <w:pPr>
        <w:pStyle w:val="Style_4"/>
      </w:pPr>
    </w:p>
    <w:p w14:paraId="BC000000">
      <w:pPr>
        <w:pStyle w:val="Style_4"/>
        <w:widowControl w:val="1"/>
        <w:ind w:left="360"/>
        <w:rPr>
          <w:rFonts w:ascii="Times New Roman" w:hAnsi="Times New Roman"/>
        </w:rPr>
      </w:pPr>
      <w:r>
        <w:rPr>
          <w:rFonts w:ascii="Times New Roman" w:hAnsi="Times New Roman"/>
          <w:b w:val="1"/>
        </w:rPr>
        <w:t>2.</w:t>
      </w:r>
      <w:r>
        <w:rPr>
          <w:rFonts w:ascii="Times New Roman" w:hAnsi="Times New Roman"/>
          <w:b w:val="1"/>
        </w:rPr>
        <w:t>Стоимость оказаных услуг</w:t>
      </w:r>
    </w:p>
    <w:tbl>
      <w:tblPr>
        <w:tblStyle w:val="Style_8"/>
        <w:tblW w:type="auto" w:w="0"/>
        <w:tblInd w:type="dxa" w:w="113"/>
        <w:tblLayout w:type="fixed"/>
      </w:tblPr>
      <w:tblGrid>
        <w:gridCol w:w="1119"/>
        <w:gridCol w:w="3129"/>
        <w:gridCol w:w="1559"/>
        <w:gridCol w:w="2552"/>
        <w:gridCol w:w="1388"/>
      </w:tblGrid>
      <w:tr>
        <w:trPr>
          <w:trHeight w:hRule="atLeast" w:val="677"/>
        </w:trPr>
        <w:tc>
          <w:tcPr>
            <w:tcW w:type="dxa" w:w="1119"/>
            <w:tcBorders>
              <w:top w:color="000000" w:sz="4" w:val="single"/>
              <w:left w:color="000000" w:sz="4" w:val="single"/>
              <w:bottom w:color="000000" w:sz="4" w:val="single"/>
              <w:right w:color="000000" w:sz="4" w:val="single"/>
            </w:tcBorders>
            <w:shd w:fill="auto" w:val="clear"/>
            <w:vAlign w:val="center"/>
          </w:tcPr>
          <w:p w14:paraId="BD000000">
            <w:pPr>
              <w:pStyle w:val="Style_4"/>
              <w:widowControl w:val="0"/>
              <w:ind/>
              <w:jc w:val="center"/>
              <w:rPr>
                <w:rFonts w:ascii="Times New Roman" w:hAnsi="Times New Roman"/>
                <w:sz w:val="24"/>
              </w:rPr>
            </w:pPr>
            <w:r>
              <w:rPr>
                <w:rFonts w:ascii="Times New Roman" w:hAnsi="Times New Roman"/>
                <w:sz w:val="24"/>
              </w:rPr>
              <w:t>№ п/п</w:t>
            </w:r>
          </w:p>
        </w:tc>
        <w:tc>
          <w:tcPr>
            <w:tcW w:type="dxa" w:w="3129"/>
            <w:tcBorders>
              <w:top w:color="000000" w:sz="4" w:val="single"/>
              <w:left w:color="000000" w:sz="4" w:val="single"/>
              <w:bottom w:color="000000" w:sz="4" w:val="single"/>
              <w:right w:color="000000" w:sz="4" w:val="single"/>
            </w:tcBorders>
            <w:shd w:fill="auto" w:val="clear"/>
            <w:vAlign w:val="center"/>
          </w:tcPr>
          <w:p w14:paraId="BE000000">
            <w:pPr>
              <w:widowControl w:val="0"/>
              <w:spacing w:after="0" w:line="240" w:lineRule="auto"/>
              <w:ind/>
              <w:jc w:val="center"/>
              <w:rPr>
                <w:rFonts w:ascii="Times New Roman" w:hAnsi="Times New Roman"/>
                <w:sz w:val="24"/>
              </w:rPr>
            </w:pPr>
            <w:r>
              <w:rPr>
                <w:rFonts w:ascii="Times New Roman" w:hAnsi="Times New Roman"/>
                <w:sz w:val="24"/>
              </w:rPr>
              <w:t>Марка Т/С</w:t>
            </w:r>
          </w:p>
        </w:tc>
        <w:tc>
          <w:tcPr>
            <w:tcW w:type="dxa" w:w="1559"/>
            <w:tcBorders>
              <w:top w:color="000000" w:sz="4" w:val="single"/>
              <w:left w:color="000000" w:sz="4" w:val="single"/>
              <w:bottom w:color="000000" w:sz="4" w:val="single"/>
              <w:right w:color="000000" w:sz="4" w:val="single"/>
            </w:tcBorders>
            <w:shd w:fill="auto" w:val="clear"/>
            <w:vAlign w:val="center"/>
          </w:tcPr>
          <w:p w14:paraId="BF000000">
            <w:pPr>
              <w:widowControl w:val="0"/>
              <w:spacing w:after="0" w:line="240" w:lineRule="auto"/>
              <w:ind/>
              <w:jc w:val="center"/>
              <w:rPr>
                <w:rFonts w:ascii="Times New Roman" w:hAnsi="Times New Roman"/>
                <w:sz w:val="24"/>
              </w:rPr>
            </w:pPr>
            <w:r>
              <w:rPr>
                <w:rFonts w:ascii="Times New Roman" w:hAnsi="Times New Roman"/>
                <w:sz w:val="24"/>
              </w:rPr>
              <w:t>Цена за единицу (руб.)</w:t>
            </w:r>
          </w:p>
        </w:tc>
        <w:tc>
          <w:tcPr>
            <w:tcW w:type="dxa" w:w="2552"/>
            <w:tcBorders>
              <w:top w:color="000000" w:sz="4" w:val="single"/>
              <w:left w:color="000000" w:sz="4" w:val="single"/>
              <w:bottom w:color="000000" w:sz="4" w:val="single"/>
              <w:right w:color="000000" w:sz="4" w:val="single"/>
            </w:tcBorders>
            <w:shd w:fill="auto" w:val="clear"/>
            <w:vAlign w:val="center"/>
          </w:tcPr>
          <w:p w14:paraId="C0000000">
            <w:pPr>
              <w:widowControl w:val="0"/>
              <w:spacing w:after="0" w:line="240" w:lineRule="auto"/>
              <w:ind/>
              <w:jc w:val="center"/>
              <w:rPr>
                <w:rFonts w:ascii="Times New Roman" w:hAnsi="Times New Roman"/>
                <w:sz w:val="24"/>
              </w:rPr>
            </w:pPr>
            <w:r>
              <w:rPr>
                <w:rFonts w:ascii="Times New Roman" w:hAnsi="Times New Roman"/>
                <w:sz w:val="24"/>
              </w:rPr>
              <w:t>Периодичность</w:t>
            </w:r>
          </w:p>
          <w:p w14:paraId="C1000000">
            <w:pPr>
              <w:widowControl w:val="0"/>
              <w:spacing w:after="0" w:line="240" w:lineRule="auto"/>
              <w:ind/>
              <w:jc w:val="center"/>
              <w:rPr>
                <w:rFonts w:ascii="Times New Roman" w:hAnsi="Times New Roman"/>
                <w:sz w:val="24"/>
              </w:rPr>
            </w:pPr>
            <w:r>
              <w:rPr>
                <w:rFonts w:ascii="Times New Roman" w:hAnsi="Times New Roman"/>
                <w:sz w:val="24"/>
              </w:rPr>
              <w:t>прохождения в год</w:t>
            </w:r>
          </w:p>
        </w:tc>
        <w:tc>
          <w:tcPr>
            <w:tcW w:type="dxa" w:w="1388"/>
            <w:tcBorders>
              <w:top w:color="000000" w:sz="4" w:val="single"/>
              <w:left w:color="000000" w:sz="4" w:val="single"/>
              <w:bottom w:color="000000" w:sz="4" w:val="single"/>
              <w:right w:color="000000" w:sz="4" w:val="single"/>
            </w:tcBorders>
            <w:shd w:fill="auto" w:val="clear"/>
            <w:vAlign w:val="center"/>
          </w:tcPr>
          <w:p w14:paraId="C2000000">
            <w:pPr>
              <w:widowControl w:val="0"/>
              <w:spacing w:after="0" w:line="240" w:lineRule="auto"/>
              <w:ind/>
              <w:jc w:val="center"/>
              <w:rPr>
                <w:rFonts w:ascii="Times New Roman" w:hAnsi="Times New Roman"/>
                <w:sz w:val="24"/>
              </w:rPr>
            </w:pPr>
            <w:r>
              <w:rPr>
                <w:rFonts w:ascii="Times New Roman" w:hAnsi="Times New Roman"/>
                <w:sz w:val="24"/>
              </w:rPr>
              <w:t>Сумма (руб.)</w:t>
            </w:r>
          </w:p>
        </w:tc>
      </w:tr>
      <w:tr>
        <w:trPr>
          <w:trHeight w:hRule="atLeast" w:val="320"/>
        </w:trPr>
        <w:tc>
          <w:tcPr>
            <w:tcW w:type="dxa" w:w="1119"/>
            <w:tcBorders>
              <w:top w:color="000000" w:sz="4" w:val="single"/>
              <w:left w:color="000000" w:sz="4" w:val="single"/>
              <w:bottom w:color="000000" w:sz="4" w:val="single"/>
              <w:right w:color="000000" w:sz="4" w:val="single"/>
            </w:tcBorders>
            <w:shd w:fill="auto" w:val="clear"/>
            <w:vAlign w:val="center"/>
          </w:tcPr>
          <w:p w14:paraId="C3000000">
            <w:pPr>
              <w:pStyle w:val="Style_4"/>
              <w:widowControl w:val="0"/>
              <w:ind/>
              <w:jc w:val="center"/>
              <w:rPr>
                <w:rFonts w:ascii="Times New Roman" w:hAnsi="Times New Roman"/>
                <w:sz w:val="24"/>
              </w:rPr>
            </w:pPr>
            <w:r>
              <w:rPr>
                <w:rFonts w:ascii="Times New Roman" w:hAnsi="Times New Roman"/>
                <w:sz w:val="24"/>
              </w:rPr>
              <w:t>1</w:t>
            </w:r>
          </w:p>
        </w:tc>
        <w:tc>
          <w:tcPr>
            <w:tcW w:type="dxa" w:w="3129"/>
            <w:tcBorders>
              <w:top w:color="000000" w:sz="4" w:val="single"/>
              <w:left w:color="000000" w:sz="4" w:val="single"/>
              <w:bottom w:color="000000" w:sz="4" w:val="single"/>
              <w:right w:color="000000" w:sz="4" w:val="single"/>
            </w:tcBorders>
            <w:shd w:fill="auto" w:val="clear"/>
          </w:tcPr>
          <w:p w14:paraId="C4000000">
            <w:pPr>
              <w:rPr>
                <w:rFonts w:ascii="Times New Roman" w:hAnsi="Times New Roman"/>
                <w:sz w:val="24"/>
              </w:rPr>
            </w:pPr>
            <w:r>
              <w:rPr>
                <w:rFonts w:ascii="Times New Roman" w:hAnsi="Times New Roman"/>
                <w:sz w:val="24"/>
              </w:rPr>
              <w:t>Lada Largus, К561ЕХ82, В, 2014 г., 104.7 л.с.</w:t>
            </w:r>
          </w:p>
        </w:tc>
        <w:tc>
          <w:tcPr>
            <w:tcW w:type="dxa" w:w="1559"/>
            <w:tcBorders>
              <w:top w:color="000000" w:sz="4" w:val="single"/>
              <w:left w:color="000000" w:sz="4" w:val="single"/>
              <w:bottom w:color="000000" w:sz="4" w:val="single"/>
              <w:right w:color="000000" w:sz="4" w:val="single"/>
            </w:tcBorders>
            <w:shd w:fill="auto" w:val="clear"/>
          </w:tcPr>
          <w:p w14:paraId="C5000000">
            <w:pPr>
              <w:pStyle w:val="Style_10"/>
            </w:pPr>
          </w:p>
        </w:tc>
        <w:tc>
          <w:tcPr>
            <w:tcW w:type="dxa" w:w="2552"/>
            <w:tcBorders>
              <w:top w:color="000000" w:sz="4" w:val="single"/>
              <w:left w:color="000000" w:sz="4" w:val="single"/>
              <w:bottom w:color="000000" w:sz="4" w:val="single"/>
              <w:right w:color="000000" w:sz="4" w:val="single"/>
            </w:tcBorders>
            <w:shd w:fill="auto" w:val="clear"/>
            <w:vAlign w:val="center"/>
          </w:tcPr>
          <w:p w14:paraId="C600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388"/>
            <w:tcBorders>
              <w:top w:color="000000" w:sz="4" w:val="single"/>
              <w:left w:color="000000" w:sz="4" w:val="single"/>
              <w:bottom w:color="000000" w:sz="4" w:val="single"/>
              <w:right w:color="000000" w:sz="4" w:val="single"/>
            </w:tcBorders>
            <w:shd w:fill="auto" w:val="clear"/>
          </w:tcPr>
          <w:p w14:paraId="C7000000"/>
        </w:tc>
      </w:tr>
      <w:tr>
        <w:trPr>
          <w:trHeight w:hRule="atLeast" w:val="320"/>
        </w:trPr>
        <w:tc>
          <w:tcPr>
            <w:tcW w:type="dxa" w:w="1119"/>
            <w:tcBorders>
              <w:top w:color="000000" w:sz="4" w:val="single"/>
              <w:left w:color="000000" w:sz="4" w:val="single"/>
              <w:bottom w:color="000000" w:sz="4" w:val="single"/>
              <w:right w:color="000000" w:sz="4" w:val="single"/>
            </w:tcBorders>
            <w:shd w:fill="auto" w:val="clear"/>
            <w:vAlign w:val="center"/>
          </w:tcPr>
          <w:p w14:paraId="C8000000">
            <w:pPr>
              <w:pStyle w:val="Style_4"/>
              <w:widowControl w:val="0"/>
              <w:ind/>
              <w:jc w:val="center"/>
              <w:rPr>
                <w:rFonts w:ascii="Times New Roman" w:hAnsi="Times New Roman"/>
                <w:sz w:val="24"/>
              </w:rPr>
            </w:pPr>
            <w:r>
              <w:rPr>
                <w:rFonts w:ascii="Times New Roman" w:hAnsi="Times New Roman"/>
                <w:sz w:val="24"/>
              </w:rPr>
              <w:t>2</w:t>
            </w:r>
          </w:p>
        </w:tc>
        <w:tc>
          <w:tcPr>
            <w:tcW w:type="dxa" w:w="3129"/>
            <w:tcBorders>
              <w:top w:color="000000" w:sz="4" w:val="single"/>
              <w:left w:color="000000" w:sz="4" w:val="single"/>
              <w:bottom w:color="000000" w:sz="4" w:val="single"/>
              <w:right w:color="000000" w:sz="4" w:val="single"/>
            </w:tcBorders>
            <w:shd w:fill="auto" w:val="clear"/>
          </w:tcPr>
          <w:p w14:paraId="C9000000">
            <w:pPr>
              <w:rPr>
                <w:rFonts w:ascii="Times New Roman" w:hAnsi="Times New Roman"/>
                <w:sz w:val="24"/>
              </w:rPr>
            </w:pPr>
            <w:r>
              <w:rPr>
                <w:rFonts w:ascii="Times New Roman" w:hAnsi="Times New Roman"/>
                <w:sz w:val="24"/>
              </w:rPr>
              <w:t>Lada Largus, К555ЕХ82, В, 2014 г., 104.7 л.с.</w:t>
            </w:r>
          </w:p>
        </w:tc>
        <w:tc>
          <w:tcPr>
            <w:tcW w:type="dxa" w:w="1559"/>
            <w:tcBorders>
              <w:top w:color="000000" w:sz="4" w:val="single"/>
              <w:left w:color="000000" w:sz="4" w:val="single"/>
              <w:bottom w:color="000000" w:sz="4" w:val="single"/>
              <w:right w:color="000000" w:sz="4" w:val="single"/>
            </w:tcBorders>
            <w:shd w:fill="auto" w:val="clear"/>
          </w:tcPr>
          <w:p w14:paraId="CA000000">
            <w:pPr>
              <w:pStyle w:val="Style_10"/>
            </w:pPr>
          </w:p>
        </w:tc>
        <w:tc>
          <w:tcPr>
            <w:tcW w:type="dxa" w:w="2552"/>
            <w:tcBorders>
              <w:top w:color="000000" w:sz="4" w:val="single"/>
              <w:left w:color="000000" w:sz="4" w:val="single"/>
              <w:bottom w:color="000000" w:sz="4" w:val="single"/>
              <w:right w:color="000000" w:sz="4" w:val="single"/>
            </w:tcBorders>
            <w:shd w:fill="auto" w:val="clear"/>
            <w:vAlign w:val="center"/>
          </w:tcPr>
          <w:p w14:paraId="CB00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388"/>
            <w:tcBorders>
              <w:top w:color="000000" w:sz="4" w:val="single"/>
              <w:left w:color="000000" w:sz="4" w:val="single"/>
              <w:bottom w:color="000000" w:sz="4" w:val="single"/>
              <w:right w:color="000000" w:sz="4" w:val="single"/>
            </w:tcBorders>
            <w:shd w:fill="auto" w:val="clear"/>
          </w:tcPr>
          <w:p w14:paraId="CC000000"/>
        </w:tc>
      </w:tr>
      <w:tr>
        <w:trPr>
          <w:trHeight w:hRule="atLeast" w:val="320"/>
        </w:trPr>
        <w:tc>
          <w:tcPr>
            <w:tcW w:type="dxa" w:w="1119"/>
            <w:tcBorders>
              <w:top w:color="000000" w:sz="4" w:val="single"/>
              <w:left w:color="000000" w:sz="4" w:val="single"/>
              <w:bottom w:color="000000" w:sz="4" w:val="single"/>
              <w:right w:color="000000" w:sz="4" w:val="single"/>
            </w:tcBorders>
            <w:shd w:fill="auto" w:val="clear"/>
            <w:vAlign w:val="center"/>
          </w:tcPr>
          <w:p w14:paraId="CD000000">
            <w:pPr>
              <w:pStyle w:val="Style_4"/>
              <w:widowControl w:val="0"/>
              <w:ind/>
              <w:jc w:val="center"/>
              <w:rPr>
                <w:rFonts w:ascii="Times New Roman" w:hAnsi="Times New Roman"/>
                <w:sz w:val="24"/>
              </w:rPr>
            </w:pPr>
            <w:r>
              <w:rPr>
                <w:rFonts w:ascii="Times New Roman" w:hAnsi="Times New Roman"/>
                <w:sz w:val="24"/>
              </w:rPr>
              <w:t>3</w:t>
            </w:r>
          </w:p>
        </w:tc>
        <w:tc>
          <w:tcPr>
            <w:tcW w:type="dxa" w:w="3129"/>
            <w:tcBorders>
              <w:top w:color="000000" w:sz="4" w:val="single"/>
              <w:left w:color="000000" w:sz="4" w:val="single"/>
              <w:bottom w:color="000000" w:sz="4" w:val="single"/>
              <w:right w:color="000000" w:sz="4" w:val="single"/>
            </w:tcBorders>
            <w:shd w:fill="auto" w:val="clear"/>
          </w:tcPr>
          <w:p w14:paraId="CE000000">
            <w:pPr>
              <w:rPr>
                <w:rFonts w:ascii="Times New Roman" w:hAnsi="Times New Roman"/>
                <w:sz w:val="24"/>
              </w:rPr>
            </w:pPr>
            <w:r>
              <w:rPr>
                <w:rFonts w:ascii="Times New Roman" w:hAnsi="Times New Roman"/>
                <w:sz w:val="24"/>
              </w:rPr>
              <w:t>Lada Largus, К564ЕХ82, В, 2014 г., 104.7 л.с.</w:t>
            </w:r>
          </w:p>
        </w:tc>
        <w:tc>
          <w:tcPr>
            <w:tcW w:type="dxa" w:w="1559"/>
            <w:tcBorders>
              <w:top w:color="000000" w:sz="4" w:val="single"/>
              <w:left w:color="000000" w:sz="4" w:val="single"/>
              <w:bottom w:color="000000" w:sz="4" w:val="single"/>
              <w:right w:color="000000" w:sz="4" w:val="single"/>
            </w:tcBorders>
            <w:shd w:fill="auto" w:val="clear"/>
          </w:tcPr>
          <w:p w14:paraId="CF000000">
            <w:pPr>
              <w:pStyle w:val="Style_10"/>
            </w:pPr>
          </w:p>
        </w:tc>
        <w:tc>
          <w:tcPr>
            <w:tcW w:type="dxa" w:w="2552"/>
            <w:tcBorders>
              <w:top w:color="000000" w:sz="4" w:val="single"/>
              <w:left w:color="000000" w:sz="4" w:val="single"/>
              <w:bottom w:color="000000" w:sz="4" w:val="single"/>
              <w:right w:color="000000" w:sz="4" w:val="single"/>
            </w:tcBorders>
            <w:shd w:fill="auto" w:val="clear"/>
            <w:vAlign w:val="center"/>
          </w:tcPr>
          <w:p w14:paraId="D000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388"/>
            <w:tcBorders>
              <w:top w:color="000000" w:sz="4" w:val="single"/>
              <w:left w:color="000000" w:sz="4" w:val="single"/>
              <w:bottom w:color="000000" w:sz="4" w:val="single"/>
              <w:right w:color="000000" w:sz="4" w:val="single"/>
            </w:tcBorders>
            <w:shd w:fill="auto" w:val="clear"/>
          </w:tcPr>
          <w:p w14:paraId="D1000000"/>
        </w:tc>
      </w:tr>
      <w:tr>
        <w:trPr>
          <w:trHeight w:hRule="atLeast" w:val="320"/>
        </w:trPr>
        <w:tc>
          <w:tcPr>
            <w:tcW w:type="dxa" w:w="1119"/>
            <w:tcBorders>
              <w:top w:color="000000" w:sz="4" w:val="single"/>
              <w:left w:color="000000" w:sz="4" w:val="single"/>
              <w:bottom w:color="000000" w:sz="4" w:val="single"/>
              <w:right w:color="000000" w:sz="4" w:val="single"/>
            </w:tcBorders>
            <w:shd w:fill="auto" w:val="clear"/>
            <w:vAlign w:val="center"/>
          </w:tcPr>
          <w:p w14:paraId="D2000000">
            <w:pPr>
              <w:pStyle w:val="Style_4"/>
              <w:widowControl w:val="0"/>
              <w:ind/>
              <w:jc w:val="center"/>
              <w:rPr>
                <w:rFonts w:ascii="Times New Roman" w:hAnsi="Times New Roman"/>
                <w:sz w:val="24"/>
              </w:rPr>
            </w:pPr>
            <w:r>
              <w:rPr>
                <w:rFonts w:ascii="Times New Roman" w:hAnsi="Times New Roman"/>
                <w:sz w:val="24"/>
              </w:rPr>
              <w:t>4</w:t>
            </w:r>
          </w:p>
        </w:tc>
        <w:tc>
          <w:tcPr>
            <w:tcW w:type="dxa" w:w="3129"/>
            <w:tcBorders>
              <w:top w:color="000000" w:sz="4" w:val="single"/>
              <w:left w:color="000000" w:sz="4" w:val="single"/>
              <w:bottom w:color="000000" w:sz="4" w:val="single"/>
              <w:right w:color="000000" w:sz="4" w:val="single"/>
            </w:tcBorders>
            <w:shd w:fill="auto" w:val="clear"/>
          </w:tcPr>
          <w:p w14:paraId="D3000000">
            <w:pPr>
              <w:rPr>
                <w:rFonts w:ascii="Times New Roman" w:hAnsi="Times New Roman"/>
                <w:sz w:val="24"/>
              </w:rPr>
            </w:pPr>
            <w:r>
              <w:rPr>
                <w:rFonts w:ascii="Times New Roman" w:hAnsi="Times New Roman"/>
                <w:sz w:val="24"/>
              </w:rPr>
              <w:t>Lada Largus, К563ЕХ82, В, 2014 г., 104.7 л.с.</w:t>
            </w:r>
          </w:p>
        </w:tc>
        <w:tc>
          <w:tcPr>
            <w:tcW w:type="dxa" w:w="1559"/>
            <w:tcBorders>
              <w:top w:color="000000" w:sz="4" w:val="single"/>
              <w:left w:color="000000" w:sz="4" w:val="single"/>
              <w:bottom w:color="000000" w:sz="4" w:val="single"/>
              <w:right w:color="000000" w:sz="4" w:val="single"/>
            </w:tcBorders>
            <w:shd w:fill="auto" w:val="clear"/>
          </w:tcPr>
          <w:p w14:paraId="D4000000">
            <w:pPr>
              <w:pStyle w:val="Style_10"/>
            </w:pPr>
          </w:p>
        </w:tc>
        <w:tc>
          <w:tcPr>
            <w:tcW w:type="dxa" w:w="2552"/>
            <w:tcBorders>
              <w:top w:color="000000" w:sz="4" w:val="single"/>
              <w:left w:color="000000" w:sz="4" w:val="single"/>
              <w:bottom w:color="000000" w:sz="4" w:val="single"/>
              <w:right w:color="000000" w:sz="4" w:val="single"/>
            </w:tcBorders>
            <w:shd w:fill="auto" w:val="clear"/>
            <w:vAlign w:val="center"/>
          </w:tcPr>
          <w:p w14:paraId="D500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388"/>
            <w:tcBorders>
              <w:top w:color="000000" w:sz="4" w:val="single"/>
              <w:left w:color="000000" w:sz="4" w:val="single"/>
              <w:bottom w:color="000000" w:sz="4" w:val="single"/>
              <w:right w:color="000000" w:sz="4" w:val="single"/>
            </w:tcBorders>
            <w:shd w:fill="auto" w:val="clear"/>
          </w:tcPr>
          <w:p w14:paraId="D6000000"/>
        </w:tc>
      </w:tr>
      <w:tr>
        <w:trPr>
          <w:trHeight w:hRule="atLeast" w:val="320"/>
        </w:trPr>
        <w:tc>
          <w:tcPr>
            <w:tcW w:type="dxa" w:w="1119"/>
            <w:tcBorders>
              <w:top w:color="000000" w:sz="4" w:val="single"/>
              <w:left w:color="000000" w:sz="4" w:val="single"/>
              <w:bottom w:color="000000" w:sz="4" w:val="single"/>
              <w:right w:color="000000" w:sz="4" w:val="single"/>
            </w:tcBorders>
            <w:shd w:fill="auto" w:val="clear"/>
            <w:vAlign w:val="center"/>
          </w:tcPr>
          <w:p w14:paraId="D7000000">
            <w:pPr>
              <w:pStyle w:val="Style_4"/>
              <w:widowControl w:val="0"/>
              <w:ind/>
              <w:jc w:val="center"/>
              <w:rPr>
                <w:rFonts w:ascii="Times New Roman" w:hAnsi="Times New Roman"/>
                <w:sz w:val="24"/>
              </w:rPr>
            </w:pPr>
            <w:r>
              <w:rPr>
                <w:rFonts w:ascii="Times New Roman" w:hAnsi="Times New Roman"/>
                <w:sz w:val="24"/>
              </w:rPr>
              <w:t>5</w:t>
            </w:r>
          </w:p>
        </w:tc>
        <w:tc>
          <w:tcPr>
            <w:tcW w:type="dxa" w:w="3129"/>
            <w:tcBorders>
              <w:top w:color="000000" w:sz="4" w:val="single"/>
              <w:left w:color="000000" w:sz="4" w:val="single"/>
              <w:bottom w:color="000000" w:sz="4" w:val="single"/>
              <w:right w:color="000000" w:sz="4" w:val="single"/>
            </w:tcBorders>
            <w:shd w:fill="auto" w:val="clear"/>
          </w:tcPr>
          <w:p w14:paraId="D8000000">
            <w:pPr>
              <w:rPr>
                <w:rFonts w:ascii="Times New Roman" w:hAnsi="Times New Roman"/>
                <w:sz w:val="24"/>
              </w:rPr>
            </w:pPr>
            <w:r>
              <w:rPr>
                <w:rFonts w:ascii="Times New Roman" w:hAnsi="Times New Roman"/>
                <w:sz w:val="24"/>
              </w:rPr>
              <w:t xml:space="preserve">Volkswagen Caravelle, </w:t>
            </w:r>
            <w:r>
              <w:rPr>
                <w:rFonts w:ascii="Times New Roman" w:hAnsi="Times New Roman"/>
                <w:sz w:val="24"/>
              </w:rPr>
              <w:t>К</w:t>
            </w:r>
            <w:r>
              <w:rPr>
                <w:rFonts w:ascii="Times New Roman" w:hAnsi="Times New Roman"/>
                <w:sz w:val="24"/>
              </w:rPr>
              <w:t>556</w:t>
            </w:r>
            <w:r>
              <w:rPr>
                <w:rFonts w:ascii="Times New Roman" w:hAnsi="Times New Roman"/>
                <w:sz w:val="24"/>
              </w:rPr>
              <w:t>ЕХ</w:t>
            </w:r>
            <w:r>
              <w:rPr>
                <w:rFonts w:ascii="Times New Roman" w:hAnsi="Times New Roman"/>
                <w:sz w:val="24"/>
              </w:rPr>
              <w:t xml:space="preserve">82, </w:t>
            </w:r>
            <w:r>
              <w:rPr>
                <w:rFonts w:ascii="Times New Roman" w:hAnsi="Times New Roman"/>
                <w:sz w:val="24"/>
              </w:rPr>
              <w:t>В</w:t>
            </w:r>
            <w:r>
              <w:rPr>
                <w:rFonts w:ascii="Times New Roman" w:hAnsi="Times New Roman"/>
                <w:sz w:val="24"/>
              </w:rPr>
              <w:t xml:space="preserve">, 2014 </w:t>
            </w:r>
            <w:r>
              <w:rPr>
                <w:rFonts w:ascii="Times New Roman" w:hAnsi="Times New Roman"/>
                <w:sz w:val="24"/>
              </w:rPr>
              <w:t>г</w:t>
            </w:r>
            <w:r>
              <w:rPr>
                <w:rFonts w:ascii="Times New Roman" w:hAnsi="Times New Roman"/>
                <w:sz w:val="24"/>
              </w:rPr>
              <w:t xml:space="preserve">., 102 </w:t>
            </w:r>
            <w:r>
              <w:rPr>
                <w:rFonts w:ascii="Times New Roman" w:hAnsi="Times New Roman"/>
                <w:sz w:val="24"/>
              </w:rPr>
              <w:t>л</w:t>
            </w:r>
            <w:r>
              <w:rPr>
                <w:rFonts w:ascii="Times New Roman" w:hAnsi="Times New Roman"/>
                <w:sz w:val="24"/>
              </w:rPr>
              <w:t>.</w:t>
            </w:r>
            <w:r>
              <w:rPr>
                <w:rFonts w:ascii="Times New Roman" w:hAnsi="Times New Roman"/>
                <w:sz w:val="24"/>
              </w:rPr>
              <w:t>с</w:t>
            </w:r>
          </w:p>
        </w:tc>
        <w:tc>
          <w:tcPr>
            <w:tcW w:type="dxa" w:w="1559"/>
            <w:tcBorders>
              <w:top w:color="000000" w:sz="4" w:val="single"/>
              <w:left w:color="000000" w:sz="4" w:val="single"/>
              <w:bottom w:color="000000" w:sz="4" w:val="single"/>
              <w:right w:color="000000" w:sz="4" w:val="single"/>
            </w:tcBorders>
            <w:shd w:fill="auto" w:val="clear"/>
          </w:tcPr>
          <w:p w14:paraId="D9000000">
            <w:pPr>
              <w:pStyle w:val="Style_10"/>
            </w:pPr>
          </w:p>
        </w:tc>
        <w:tc>
          <w:tcPr>
            <w:tcW w:type="dxa" w:w="2552"/>
            <w:tcBorders>
              <w:top w:color="000000" w:sz="4" w:val="single"/>
              <w:left w:color="000000" w:sz="4" w:val="single"/>
              <w:bottom w:color="000000" w:sz="4" w:val="single"/>
              <w:right w:color="000000" w:sz="4" w:val="single"/>
            </w:tcBorders>
            <w:shd w:fill="auto" w:val="clear"/>
            <w:vAlign w:val="center"/>
          </w:tcPr>
          <w:p w14:paraId="DA00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388"/>
            <w:tcBorders>
              <w:top w:color="000000" w:sz="4" w:val="single"/>
              <w:left w:color="000000" w:sz="4" w:val="single"/>
              <w:bottom w:color="000000" w:sz="4" w:val="single"/>
              <w:right w:color="000000" w:sz="4" w:val="single"/>
            </w:tcBorders>
            <w:shd w:fill="auto" w:val="clear"/>
          </w:tcPr>
          <w:p w14:paraId="DB000000"/>
        </w:tc>
      </w:tr>
      <w:tr>
        <w:trPr>
          <w:trHeight w:hRule="atLeast" w:val="320"/>
        </w:trPr>
        <w:tc>
          <w:tcPr>
            <w:tcW w:type="dxa" w:w="1119"/>
            <w:tcBorders>
              <w:top w:color="000000" w:sz="4" w:val="single"/>
              <w:left w:color="000000" w:sz="4" w:val="single"/>
              <w:bottom w:color="000000" w:sz="4" w:val="single"/>
              <w:right w:color="000000" w:sz="4" w:val="single"/>
            </w:tcBorders>
            <w:shd w:fill="auto" w:val="clear"/>
            <w:vAlign w:val="center"/>
          </w:tcPr>
          <w:p w14:paraId="DC000000">
            <w:pPr>
              <w:pStyle w:val="Style_4"/>
              <w:widowControl w:val="0"/>
              <w:ind/>
              <w:jc w:val="center"/>
              <w:rPr>
                <w:rFonts w:ascii="Times New Roman" w:hAnsi="Times New Roman"/>
                <w:sz w:val="24"/>
              </w:rPr>
            </w:pPr>
            <w:r>
              <w:rPr>
                <w:rFonts w:ascii="Times New Roman" w:hAnsi="Times New Roman"/>
                <w:sz w:val="24"/>
              </w:rPr>
              <w:t>6</w:t>
            </w:r>
          </w:p>
        </w:tc>
        <w:tc>
          <w:tcPr>
            <w:tcW w:type="dxa" w:w="3129"/>
            <w:tcBorders>
              <w:top w:color="000000" w:sz="4" w:val="single"/>
              <w:left w:color="000000" w:sz="4" w:val="single"/>
              <w:bottom w:color="000000" w:sz="4" w:val="single"/>
              <w:right w:color="000000" w:sz="4" w:val="single"/>
            </w:tcBorders>
            <w:shd w:fill="auto" w:val="clear"/>
          </w:tcPr>
          <w:p w14:paraId="DD000000">
            <w:pPr>
              <w:rPr>
                <w:rFonts w:ascii="Times New Roman" w:hAnsi="Times New Roman"/>
                <w:sz w:val="24"/>
              </w:rPr>
            </w:pPr>
            <w:r>
              <w:rPr>
                <w:rFonts w:ascii="Times New Roman" w:hAnsi="Times New Roman"/>
                <w:sz w:val="24"/>
              </w:rPr>
              <w:t>Nissan Teana, К565ЕХ82, В, 2014 г., 173 л.с.</w:t>
            </w:r>
          </w:p>
        </w:tc>
        <w:tc>
          <w:tcPr>
            <w:tcW w:type="dxa" w:w="1559"/>
            <w:tcBorders>
              <w:top w:color="000000" w:sz="4" w:val="single"/>
              <w:left w:color="000000" w:sz="4" w:val="single"/>
              <w:bottom w:color="000000" w:sz="4" w:val="single"/>
              <w:right w:color="000000" w:sz="4" w:val="single"/>
            </w:tcBorders>
            <w:shd w:fill="auto" w:val="clear"/>
          </w:tcPr>
          <w:p w14:paraId="DE000000">
            <w:pPr>
              <w:pStyle w:val="Style_10"/>
            </w:pPr>
          </w:p>
        </w:tc>
        <w:tc>
          <w:tcPr>
            <w:tcW w:type="dxa" w:w="2552"/>
            <w:tcBorders>
              <w:top w:color="000000" w:sz="4" w:val="single"/>
              <w:left w:color="000000" w:sz="4" w:val="single"/>
              <w:bottom w:color="000000" w:sz="4" w:val="single"/>
              <w:right w:color="000000" w:sz="4" w:val="single"/>
            </w:tcBorders>
            <w:shd w:fill="auto" w:val="clear"/>
            <w:vAlign w:val="center"/>
          </w:tcPr>
          <w:p w14:paraId="DF00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388"/>
            <w:tcBorders>
              <w:top w:color="000000" w:sz="4" w:val="single"/>
              <w:left w:color="000000" w:sz="4" w:val="single"/>
              <w:bottom w:color="000000" w:sz="4" w:val="single"/>
              <w:right w:color="000000" w:sz="4" w:val="single"/>
            </w:tcBorders>
            <w:shd w:fill="auto" w:val="clear"/>
            <w:vAlign w:val="center"/>
          </w:tcPr>
          <w:p w14:paraId="E0000000">
            <w:pPr>
              <w:widowControl w:val="0"/>
              <w:spacing w:after="0" w:line="240" w:lineRule="auto"/>
              <w:ind/>
              <w:rPr>
                <w:rFonts w:ascii="Times New Roman" w:hAnsi="Times New Roman"/>
                <w:sz w:val="24"/>
              </w:rPr>
            </w:pPr>
          </w:p>
        </w:tc>
      </w:tr>
      <w:tr>
        <w:trPr>
          <w:trHeight w:hRule="atLeast" w:val="320"/>
        </w:trPr>
        <w:tc>
          <w:tcPr>
            <w:tcW w:type="dxa" w:w="8359"/>
            <w:gridSpan w:val="4"/>
            <w:tcBorders>
              <w:top w:color="000000" w:sz="4" w:val="single"/>
              <w:left w:color="000000" w:sz="4" w:val="single"/>
              <w:bottom w:color="000000" w:sz="4" w:val="single"/>
              <w:right w:color="000000" w:sz="4" w:val="single"/>
            </w:tcBorders>
            <w:shd w:fill="auto" w:val="clear"/>
            <w:vAlign w:val="center"/>
          </w:tcPr>
          <w:p w14:paraId="E1000000">
            <w:pPr>
              <w:widowControl w:val="0"/>
              <w:spacing w:after="0" w:line="240" w:lineRule="auto"/>
              <w:ind/>
              <w:jc w:val="right"/>
              <w:rPr>
                <w:rFonts w:ascii="Times New Roman" w:hAnsi="Times New Roman"/>
                <w:sz w:val="24"/>
              </w:rPr>
            </w:pPr>
            <w:r>
              <w:rPr>
                <w:rFonts w:ascii="Times New Roman" w:hAnsi="Times New Roman"/>
                <w:sz w:val="24"/>
              </w:rPr>
              <w:t>ИТОГО</w:t>
            </w:r>
          </w:p>
        </w:tc>
        <w:tc>
          <w:tcPr>
            <w:tcW w:type="dxa" w:w="1388"/>
            <w:tcBorders>
              <w:top w:color="000000" w:sz="4" w:val="single"/>
              <w:left w:color="000000" w:sz="4" w:val="single"/>
              <w:bottom w:color="000000" w:sz="4" w:val="single"/>
              <w:right w:color="000000" w:sz="4" w:val="single"/>
            </w:tcBorders>
            <w:shd w:fill="auto" w:val="clear"/>
            <w:vAlign w:val="center"/>
          </w:tcPr>
          <w:p w14:paraId="E2000000">
            <w:pPr>
              <w:widowControl w:val="0"/>
              <w:spacing w:after="0" w:line="240" w:lineRule="auto"/>
              <w:ind/>
              <w:jc w:val="center"/>
              <w:rPr>
                <w:rFonts w:ascii="Times New Roman" w:hAnsi="Times New Roman"/>
                <w:sz w:val="24"/>
              </w:rPr>
            </w:pPr>
          </w:p>
        </w:tc>
      </w:tr>
    </w:tbl>
    <w:p w14:paraId="E3000000">
      <w:pPr>
        <w:pStyle w:val="Style_4"/>
        <w:widowControl w:val="1"/>
        <w:ind w:left="360"/>
        <w:jc w:val="both"/>
      </w:pPr>
      <w:r>
        <w:rPr>
          <w:rFonts w:ascii="Times New Roman" w:hAnsi="Times New Roman"/>
          <w:b w:val="1"/>
          <w:sz w:val="24"/>
        </w:rPr>
        <w:t xml:space="preserve">     3. </w:t>
      </w:r>
      <w:r>
        <w:rPr>
          <w:rFonts w:ascii="Times New Roman" w:hAnsi="Times New Roman"/>
          <w:b w:val="1"/>
          <w:sz w:val="24"/>
        </w:rPr>
        <w:t>Условия оказания услуги.</w:t>
      </w:r>
    </w:p>
    <w:p w14:paraId="E4000000">
      <w:pPr>
        <w:pStyle w:val="Style_3"/>
        <w:widowControl w:val="1"/>
        <w:ind/>
        <w:jc w:val="both"/>
      </w:pPr>
      <w:r>
        <w:rPr>
          <w:rFonts w:ascii="Times New Roman" w:hAnsi="Times New Roman"/>
          <w:sz w:val="24"/>
        </w:rPr>
        <w:t>Технический осмотр транспортных средств выполн</w:t>
      </w:r>
      <w:r>
        <w:rPr>
          <w:rFonts w:ascii="Times New Roman" w:hAnsi="Times New Roman"/>
          <w:sz w:val="24"/>
        </w:rPr>
        <w:t>яется на территории Исполнителя</w:t>
      </w:r>
      <w:r>
        <w:rPr>
          <w:rFonts w:ascii="Times New Roman" w:hAnsi="Times New Roman"/>
          <w:sz w:val="24"/>
        </w:rPr>
        <w:t>,</w:t>
      </w:r>
      <w:r>
        <w:rPr>
          <w:rFonts w:ascii="Times New Roman" w:hAnsi="Times New Roman"/>
          <w:sz w:val="24"/>
        </w:rPr>
        <w:t xml:space="preserve"> </w:t>
      </w:r>
      <w:r>
        <w:rPr>
          <w:rFonts w:ascii="Times New Roman" w:hAnsi="Times New Roman"/>
          <w:sz w:val="24"/>
        </w:rPr>
        <w:t xml:space="preserve">Услуги должны быть оказаны не позднее </w:t>
      </w:r>
      <w:r>
        <w:rPr>
          <w:rFonts w:ascii="Times New Roman" w:hAnsi="Times New Roman"/>
          <w:b w:val="1"/>
          <w:sz w:val="24"/>
        </w:rPr>
        <w:t>31.</w:t>
      </w:r>
      <w:r>
        <w:rPr>
          <w:rFonts w:ascii="Times New Roman" w:hAnsi="Times New Roman"/>
          <w:b w:val="1"/>
          <w:sz w:val="24"/>
        </w:rPr>
        <w:t>10</w:t>
      </w:r>
      <w:r>
        <w:rPr>
          <w:rFonts w:ascii="Times New Roman" w:hAnsi="Times New Roman"/>
          <w:b w:val="1"/>
          <w:sz w:val="24"/>
        </w:rPr>
        <w:t>.2026</w:t>
      </w:r>
      <w:r>
        <w:rPr>
          <w:rFonts w:ascii="Times New Roman" w:hAnsi="Times New Roman"/>
          <w:sz w:val="24"/>
        </w:rPr>
        <w:t xml:space="preserve"> года.</w:t>
      </w:r>
      <w:r>
        <w:rPr>
          <w:rFonts w:ascii="Times New Roman" w:hAnsi="Times New Roman"/>
          <w:color w:val="000000"/>
          <w:sz w:val="24"/>
        </w:rPr>
        <w:t xml:space="preserve"> </w:t>
      </w:r>
    </w:p>
    <w:p w14:paraId="E5000000">
      <w:pPr>
        <w:pStyle w:val="Style_4"/>
        <w:widowControl w:val="1"/>
        <w:ind w:firstLine="708"/>
        <w:jc w:val="both"/>
      </w:pPr>
      <w:r>
        <w:rPr>
          <w:rFonts w:ascii="Times New Roman" w:hAnsi="Times New Roman"/>
          <w:b w:val="1"/>
          <w:sz w:val="24"/>
        </w:rPr>
        <w:t>4. Общие требования к оказанию услуги, ее качеству, в том числе технологии оказания услуги, методам и методики оказания услуги.</w:t>
      </w:r>
    </w:p>
    <w:p w14:paraId="E6000000">
      <w:pPr>
        <w:pStyle w:val="Style_4"/>
        <w:widowControl w:val="1"/>
        <w:ind w:firstLine="708"/>
        <w:jc w:val="both"/>
      </w:pPr>
      <w:r>
        <w:rPr>
          <w:rFonts w:ascii="Times New Roman" w:hAnsi="Times New Roman"/>
          <w:sz w:val="24"/>
        </w:rPr>
        <w:t>Исполнитель оказывает следующие услуги по техническому осмотру транспортн</w:t>
      </w:r>
      <w:r>
        <w:rPr>
          <w:rFonts w:ascii="Times New Roman" w:hAnsi="Times New Roman"/>
          <w:sz w:val="24"/>
        </w:rPr>
        <w:t xml:space="preserve">ого </w:t>
      </w:r>
      <w:r>
        <w:rPr>
          <w:rFonts w:ascii="Times New Roman" w:hAnsi="Times New Roman"/>
          <w:sz w:val="24"/>
        </w:rPr>
        <w:t>средств</w:t>
      </w:r>
      <w:r>
        <w:rPr>
          <w:rFonts w:ascii="Times New Roman" w:hAnsi="Times New Roman"/>
          <w:sz w:val="24"/>
        </w:rPr>
        <w:t>а</w:t>
      </w:r>
      <w:r>
        <w:rPr>
          <w:rFonts w:ascii="Times New Roman" w:hAnsi="Times New Roman"/>
          <w:sz w:val="24"/>
        </w:rPr>
        <w:t>:</w:t>
      </w:r>
    </w:p>
    <w:p w14:paraId="E7000000">
      <w:pPr>
        <w:pStyle w:val="Style_4"/>
        <w:widowControl w:val="1"/>
        <w:ind w:firstLine="708"/>
        <w:jc w:val="both"/>
      </w:pPr>
      <w:r>
        <w:rPr>
          <w:rFonts w:ascii="Times New Roman" w:hAnsi="Times New Roman"/>
          <w:sz w:val="24"/>
        </w:rPr>
        <w:t>4.1 принимает Транспортн</w:t>
      </w:r>
      <w:r>
        <w:rPr>
          <w:rFonts w:ascii="Times New Roman" w:hAnsi="Times New Roman"/>
          <w:sz w:val="24"/>
        </w:rPr>
        <w:t>ое</w:t>
      </w:r>
      <w:r>
        <w:rPr>
          <w:rFonts w:ascii="Times New Roman" w:hAnsi="Times New Roman"/>
          <w:sz w:val="24"/>
        </w:rPr>
        <w:t xml:space="preserve"> средств</w:t>
      </w:r>
      <w:r>
        <w:rPr>
          <w:rFonts w:ascii="Times New Roman" w:hAnsi="Times New Roman"/>
          <w:sz w:val="24"/>
        </w:rPr>
        <w:t>о</w:t>
      </w:r>
      <w:r>
        <w:rPr>
          <w:rFonts w:ascii="Times New Roman" w:hAnsi="Times New Roman"/>
          <w:sz w:val="24"/>
        </w:rPr>
        <w:t xml:space="preserve"> по акту приемки Транспортного средства и проверяет свидетельства о регистрации Транспортн</w:t>
      </w:r>
      <w:r>
        <w:rPr>
          <w:rFonts w:ascii="Times New Roman" w:hAnsi="Times New Roman"/>
          <w:sz w:val="24"/>
        </w:rPr>
        <w:t>ого</w:t>
      </w:r>
      <w:r>
        <w:rPr>
          <w:rFonts w:ascii="Times New Roman" w:hAnsi="Times New Roman"/>
          <w:sz w:val="24"/>
        </w:rPr>
        <w:t xml:space="preserve"> средств</w:t>
      </w:r>
      <w:r>
        <w:rPr>
          <w:rFonts w:ascii="Times New Roman" w:hAnsi="Times New Roman"/>
          <w:sz w:val="24"/>
        </w:rPr>
        <w:t>а</w:t>
      </w:r>
      <w:r>
        <w:rPr>
          <w:rFonts w:ascii="Times New Roman" w:hAnsi="Times New Roman"/>
          <w:sz w:val="24"/>
        </w:rPr>
        <w:t xml:space="preserve"> или паспорта Транспортн</w:t>
      </w:r>
      <w:r>
        <w:rPr>
          <w:rFonts w:ascii="Times New Roman" w:hAnsi="Times New Roman"/>
          <w:sz w:val="24"/>
        </w:rPr>
        <w:t>ого</w:t>
      </w:r>
      <w:r>
        <w:rPr>
          <w:rFonts w:ascii="Times New Roman" w:hAnsi="Times New Roman"/>
          <w:sz w:val="24"/>
        </w:rPr>
        <w:t xml:space="preserve"> средств</w:t>
      </w:r>
      <w:r>
        <w:rPr>
          <w:rFonts w:ascii="Times New Roman" w:hAnsi="Times New Roman"/>
          <w:sz w:val="24"/>
        </w:rPr>
        <w:t>а</w:t>
      </w:r>
      <w:r>
        <w:rPr>
          <w:rFonts w:ascii="Times New Roman" w:hAnsi="Times New Roman"/>
          <w:sz w:val="24"/>
        </w:rPr>
        <w:t>.</w:t>
      </w:r>
    </w:p>
    <w:p w14:paraId="E8000000">
      <w:pPr>
        <w:pStyle w:val="Style_4"/>
        <w:widowControl w:val="1"/>
        <w:ind w:firstLine="708"/>
        <w:jc w:val="both"/>
      </w:pPr>
      <w:r>
        <w:rPr>
          <w:rFonts w:ascii="Times New Roman" w:hAnsi="Times New Roman"/>
          <w:sz w:val="24"/>
        </w:rPr>
        <w:t>4.2. проводит технический осмотр транспортн</w:t>
      </w:r>
      <w:r>
        <w:rPr>
          <w:rFonts w:ascii="Times New Roman" w:hAnsi="Times New Roman"/>
          <w:sz w:val="24"/>
        </w:rPr>
        <w:t>ого</w:t>
      </w:r>
      <w:r>
        <w:rPr>
          <w:rFonts w:ascii="Times New Roman" w:hAnsi="Times New Roman"/>
          <w:sz w:val="24"/>
        </w:rPr>
        <w:t xml:space="preserve"> средств</w:t>
      </w:r>
      <w:r>
        <w:rPr>
          <w:rFonts w:ascii="Times New Roman" w:hAnsi="Times New Roman"/>
          <w:sz w:val="24"/>
        </w:rPr>
        <w:t>а</w:t>
      </w:r>
      <w:r>
        <w:rPr>
          <w:rFonts w:ascii="Times New Roman" w:hAnsi="Times New Roman"/>
          <w:sz w:val="24"/>
        </w:rPr>
        <w:t xml:space="preserve"> в срок указанный в п. 1.4.</w:t>
      </w:r>
    </w:p>
    <w:p w14:paraId="E9000000">
      <w:pPr>
        <w:pStyle w:val="Style_4"/>
        <w:widowControl w:val="1"/>
        <w:ind w:firstLine="708"/>
        <w:jc w:val="both"/>
      </w:pPr>
      <w:r>
        <w:rPr>
          <w:rFonts w:ascii="Times New Roman" w:hAnsi="Times New Roman"/>
          <w:sz w:val="24"/>
        </w:rPr>
        <w:t>4.3. по окончании проведения технического осмотра предоставляет Заказчику Транспортные средства и следующие документы:</w:t>
      </w:r>
    </w:p>
    <w:p w14:paraId="EA000000">
      <w:pPr>
        <w:pStyle w:val="Style_3"/>
        <w:widowControl w:val="1"/>
        <w:ind/>
        <w:jc w:val="both"/>
      </w:pPr>
      <w:r>
        <w:rPr>
          <w:rFonts w:ascii="Times New Roman" w:hAnsi="Times New Roman"/>
          <w:sz w:val="24"/>
        </w:rPr>
        <w:t xml:space="preserve">            -   </w:t>
      </w:r>
      <w:r>
        <w:rPr>
          <w:rFonts w:ascii="Times New Roman" w:hAnsi="Times New Roman"/>
          <w:sz w:val="24"/>
        </w:rPr>
        <w:t>диагностическую       карту на бумажном носителе, содержащую  сведения     о соответствии/несоответствии Транспортного средства обязательным требованиям безопасности  транспортных средств.  В случае несоответствия Транспортного средства  обязательным  требованиям   безопасности   транспортных   средств диагностическая карта  должна содержать сведения о выявленных   технических неисправностях  Транспортного средства.</w:t>
      </w:r>
    </w:p>
    <w:p w14:paraId="EB000000">
      <w:pPr>
        <w:pStyle w:val="Style_4"/>
        <w:widowControl w:val="1"/>
        <w:ind/>
        <w:jc w:val="both"/>
      </w:pPr>
      <w:r>
        <w:rPr>
          <w:rFonts w:ascii="Times New Roman" w:hAnsi="Times New Roman"/>
          <w:b w:val="1"/>
          <w:sz w:val="24"/>
        </w:rPr>
        <w:t xml:space="preserve">              </w:t>
      </w:r>
      <w:r>
        <w:rPr>
          <w:rFonts w:ascii="Times New Roman" w:hAnsi="Times New Roman"/>
          <w:b w:val="1"/>
          <w:sz w:val="24"/>
        </w:rPr>
        <w:t>5. Требования к качеству оказываемых услуг</w:t>
      </w:r>
    </w:p>
    <w:p w14:paraId="EC000000">
      <w:pPr>
        <w:pStyle w:val="Style_4"/>
        <w:widowControl w:val="1"/>
        <w:ind w:firstLine="708"/>
        <w:jc w:val="both"/>
      </w:pPr>
      <w:r>
        <w:rPr>
          <w:rFonts w:ascii="Times New Roman" w:hAnsi="Times New Roman"/>
          <w:sz w:val="24"/>
        </w:rPr>
        <w:t>Качество услуг должно соответствовать требованиям, установленным Федеральным законом от 01</w:t>
      </w:r>
      <w:r>
        <w:rPr>
          <w:rFonts w:ascii="Times New Roman" w:hAnsi="Times New Roman"/>
          <w:sz w:val="24"/>
        </w:rPr>
        <w:t xml:space="preserve">.07.2011 </w:t>
      </w:r>
      <w:r>
        <w:rPr>
          <w:rFonts w:ascii="Times New Roman" w:hAnsi="Times New Roman"/>
          <w:sz w:val="24"/>
        </w:rPr>
        <w:t xml:space="preserve"> № 170</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w:t>
      </w:r>
      <w:r>
        <w:rPr>
          <w:rFonts w:ascii="Times New Roman" w:hAnsi="Times New Roman"/>
          <w:sz w:val="24"/>
        </w:rPr>
        <w:t xml:space="preserve">ФЗ «О техническом осмотре транспортных средств и о внесении изменений в отдельные законодательные акты Российской Федерации» (с изменениями и дополнениями),   </w:t>
      </w:r>
      <w:r>
        <w:rPr>
          <w:rFonts w:ascii="Times New Roman" w:hAnsi="Times New Roman"/>
          <w:color w:val="000000"/>
          <w:sz w:val="24"/>
        </w:rPr>
        <w:t xml:space="preserve">Постановлением </w:t>
      </w:r>
      <w:r>
        <w:rPr>
          <w:rFonts w:ascii="Times New Roman" w:hAnsi="Times New Roman"/>
          <w:color w:val="000000"/>
          <w:sz w:val="24"/>
        </w:rPr>
        <w:t xml:space="preserve">Правительства РФ от 15.09.2020 </w:t>
      </w:r>
      <w:r>
        <w:rPr>
          <w:rFonts w:ascii="Times New Roman" w:hAnsi="Times New Roman"/>
          <w:color w:val="000000"/>
          <w:sz w:val="24"/>
        </w:rPr>
        <w:t>№</w:t>
      </w:r>
      <w:r>
        <w:rPr>
          <w:rFonts w:ascii="Times New Roman" w:hAnsi="Times New Roman"/>
          <w:color w:val="000000"/>
          <w:sz w:val="24"/>
        </w:rPr>
        <w:t xml:space="preserve"> 1434 (ред. </w:t>
      </w:r>
      <w:r>
        <w:rPr>
          <w:rFonts w:ascii="Times New Roman" w:hAnsi="Times New Roman"/>
          <w:color w:val="000000"/>
          <w:sz w:val="24"/>
        </w:rPr>
        <w:t>от 09.12.2023</w:t>
      </w:r>
      <w:r>
        <w:rPr>
          <w:rFonts w:ascii="Times New Roman" w:hAnsi="Times New Roman"/>
          <w:color w:val="000000"/>
          <w:sz w:val="24"/>
        </w:rPr>
        <w:t xml:space="preserve">) </w:t>
      </w:r>
      <w:r>
        <w:rPr>
          <w:rFonts w:ascii="Times New Roman" w:hAnsi="Times New Roman"/>
          <w:color w:val="000000"/>
          <w:sz w:val="24"/>
        </w:rPr>
        <w:t>«</w:t>
      </w:r>
      <w:r>
        <w:rPr>
          <w:rFonts w:ascii="Times New Roman" w:hAnsi="Times New Roman"/>
          <w:color w:val="000000"/>
          <w:sz w:val="24"/>
        </w:rPr>
        <w:t>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r>
        <w:rPr>
          <w:rFonts w:ascii="Times New Roman" w:hAnsi="Times New Roman"/>
          <w:color w:val="000000"/>
          <w:sz w:val="24"/>
        </w:rPr>
        <w:t>»</w:t>
      </w:r>
      <w:r>
        <w:rPr>
          <w:rFonts w:ascii="Times New Roman" w:hAnsi="Times New Roman"/>
          <w:color w:val="000000"/>
          <w:sz w:val="24"/>
        </w:rPr>
        <w:t>.</w:t>
      </w:r>
    </w:p>
    <w:p w14:paraId="ED000000">
      <w:pPr>
        <w:pStyle w:val="Style_4"/>
        <w:widowControl w:val="1"/>
        <w:ind w:firstLine="708"/>
        <w:jc w:val="both"/>
        <w:rPr>
          <w:rFonts w:ascii="Times New Roman" w:hAnsi="Times New Roman"/>
          <w:b w:val="1"/>
          <w:sz w:val="24"/>
        </w:rPr>
      </w:pPr>
    </w:p>
    <w:p w14:paraId="EE000000">
      <w:pPr>
        <w:pStyle w:val="Style_4"/>
        <w:widowControl w:val="1"/>
        <w:ind w:firstLine="708"/>
        <w:jc w:val="both"/>
      </w:pPr>
      <w:r>
        <w:rPr>
          <w:rFonts w:ascii="Times New Roman" w:hAnsi="Times New Roman"/>
          <w:b w:val="1"/>
          <w:sz w:val="24"/>
        </w:rPr>
        <w:t xml:space="preserve">     </w:t>
      </w:r>
      <w:r>
        <w:rPr>
          <w:rFonts w:ascii="Times New Roman" w:hAnsi="Times New Roman"/>
          <w:b w:val="1"/>
          <w:sz w:val="24"/>
        </w:rPr>
        <w:t>6. Требования к безопасности оказания услуги и безопасности результатов услуги.</w:t>
      </w:r>
    </w:p>
    <w:p w14:paraId="EF000000">
      <w:pPr>
        <w:pStyle w:val="Style_4"/>
        <w:widowControl w:val="1"/>
        <w:ind w:firstLine="708"/>
        <w:jc w:val="both"/>
      </w:pPr>
      <w:r>
        <w:rPr>
          <w:rFonts w:ascii="Times New Roman" w:hAnsi="Times New Roman"/>
          <w:sz w:val="24"/>
        </w:rPr>
        <w:t xml:space="preserve">Услуги по проведению технического осмотра должны оказываться в соответствии с Федеральным законом от 1 июля 2011 года № 170-ФЗ «О техническом осмотре транспортных средств и о внесении изменений в отдельные законодательные акты Российской Федерации» и  </w:t>
      </w:r>
      <w:r>
        <w:rPr>
          <w:rFonts w:ascii="Times New Roman" w:hAnsi="Times New Roman"/>
          <w:color w:val="000000"/>
          <w:sz w:val="24"/>
        </w:rPr>
        <w:t xml:space="preserve">Постановлением </w:t>
      </w:r>
      <w:r>
        <w:rPr>
          <w:rFonts w:ascii="Times New Roman" w:hAnsi="Times New Roman"/>
          <w:color w:val="000000"/>
          <w:sz w:val="24"/>
        </w:rPr>
        <w:t xml:space="preserve">Правительства РФ от 15.09.2020 </w:t>
      </w:r>
      <w:r>
        <w:rPr>
          <w:rFonts w:ascii="Times New Roman" w:hAnsi="Times New Roman"/>
          <w:color w:val="000000"/>
          <w:sz w:val="24"/>
        </w:rPr>
        <w:t>№</w:t>
      </w:r>
      <w:r>
        <w:rPr>
          <w:rFonts w:ascii="Times New Roman" w:hAnsi="Times New Roman"/>
          <w:color w:val="000000"/>
          <w:sz w:val="24"/>
        </w:rPr>
        <w:t xml:space="preserve"> 1434 (</w:t>
      </w:r>
      <w:r>
        <w:rPr>
          <w:rFonts w:ascii="Times New Roman" w:hAnsi="Times New Roman"/>
          <w:color w:val="000000"/>
          <w:sz w:val="24"/>
        </w:rPr>
        <w:t>ред. от 09.12.2023</w:t>
      </w:r>
      <w:r>
        <w:rPr>
          <w:rFonts w:ascii="Times New Roman" w:hAnsi="Times New Roman"/>
          <w:color w:val="000000"/>
          <w:sz w:val="24"/>
        </w:rPr>
        <w:t>) «</w:t>
      </w:r>
      <w:r>
        <w:rPr>
          <w:rFonts w:ascii="Times New Roman" w:hAnsi="Times New Roman"/>
          <w:color w:val="000000"/>
          <w:sz w:val="24"/>
        </w:rPr>
        <w:t>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r>
        <w:rPr>
          <w:rFonts w:ascii="Times New Roman" w:hAnsi="Times New Roman"/>
          <w:color w:val="000000"/>
          <w:sz w:val="24"/>
        </w:rPr>
        <w:t>»</w:t>
      </w:r>
    </w:p>
    <w:p w14:paraId="F0000000">
      <w:pPr>
        <w:pStyle w:val="Style_4"/>
        <w:widowControl w:val="1"/>
        <w:ind w:firstLine="708"/>
        <w:jc w:val="both"/>
      </w:pPr>
      <w:r>
        <w:rPr>
          <w:rFonts w:ascii="Times New Roman" w:hAnsi="Times New Roman"/>
          <w:sz w:val="24"/>
        </w:rPr>
        <w:t>Услуги должны оказываться с соблюдением требований безопасности и охраны окружающей среды, установленных действующим законодательством Российской Федерации.</w:t>
      </w:r>
    </w:p>
    <w:p w14:paraId="F1000000">
      <w:pPr>
        <w:pStyle w:val="Style_4"/>
        <w:widowControl w:val="1"/>
        <w:ind w:firstLine="708"/>
        <w:jc w:val="both"/>
      </w:pPr>
      <w:r>
        <w:rPr>
          <w:rFonts w:ascii="Times New Roman" w:hAnsi="Times New Roman"/>
          <w:sz w:val="24"/>
        </w:rPr>
        <w:t>Исполнитель должен нести ответственность за сохранность транспортн</w:t>
      </w:r>
      <w:r>
        <w:rPr>
          <w:rFonts w:ascii="Times New Roman" w:hAnsi="Times New Roman"/>
          <w:sz w:val="24"/>
        </w:rPr>
        <w:t>ого</w:t>
      </w:r>
      <w:r>
        <w:rPr>
          <w:rFonts w:ascii="Times New Roman" w:hAnsi="Times New Roman"/>
          <w:sz w:val="24"/>
        </w:rPr>
        <w:t xml:space="preserve"> средств</w:t>
      </w:r>
      <w:r>
        <w:rPr>
          <w:rFonts w:ascii="Times New Roman" w:hAnsi="Times New Roman"/>
          <w:sz w:val="24"/>
        </w:rPr>
        <w:t>а</w:t>
      </w:r>
      <w:r>
        <w:rPr>
          <w:rFonts w:ascii="Times New Roman" w:hAnsi="Times New Roman"/>
          <w:sz w:val="24"/>
        </w:rPr>
        <w:t xml:space="preserve">  Заказчика, находящихся у Исполнителя в период оказания услуг.</w:t>
      </w:r>
    </w:p>
    <w:p w14:paraId="F2000000">
      <w:pPr>
        <w:pStyle w:val="Style_4"/>
        <w:widowControl w:val="1"/>
        <w:ind w:firstLine="708"/>
        <w:jc w:val="both"/>
        <w:rPr>
          <w:rFonts w:ascii="Times New Roman" w:hAnsi="Times New Roman"/>
          <w:b w:val="1"/>
          <w:sz w:val="24"/>
        </w:rPr>
      </w:pPr>
    </w:p>
    <w:p w14:paraId="F3000000">
      <w:pPr>
        <w:pStyle w:val="Style_4"/>
        <w:widowControl w:val="1"/>
        <w:ind w:firstLine="708"/>
        <w:jc w:val="both"/>
      </w:pPr>
      <w:r>
        <w:rPr>
          <w:rFonts w:ascii="Times New Roman" w:hAnsi="Times New Roman"/>
          <w:b w:val="1"/>
          <w:sz w:val="24"/>
        </w:rPr>
        <w:t xml:space="preserve">       </w:t>
      </w:r>
      <w:r>
        <w:rPr>
          <w:rFonts w:ascii="Times New Roman" w:hAnsi="Times New Roman"/>
          <w:b w:val="1"/>
          <w:sz w:val="24"/>
        </w:rPr>
        <w:t xml:space="preserve">7. Порядок сдачи-приемки оказанных услуг </w:t>
      </w:r>
    </w:p>
    <w:p w14:paraId="F4000000">
      <w:pPr>
        <w:pStyle w:val="Style_4"/>
        <w:widowControl w:val="1"/>
        <w:ind w:firstLine="708"/>
        <w:jc w:val="both"/>
        <w:rPr>
          <w:rFonts w:ascii="Times New Roman" w:hAnsi="Times New Roman"/>
          <w:sz w:val="24"/>
        </w:rPr>
      </w:pPr>
      <w:r>
        <w:rPr>
          <w:rFonts w:ascii="Times New Roman" w:hAnsi="Times New Roman"/>
          <w:sz w:val="24"/>
        </w:rPr>
        <w:t>По результатам технического осмотра Исполнитель обязан выдать на автомобиль Диагностическ</w:t>
      </w:r>
      <w:r>
        <w:rPr>
          <w:rFonts w:ascii="Times New Roman" w:hAnsi="Times New Roman"/>
          <w:sz w:val="24"/>
        </w:rPr>
        <w:t>ую</w:t>
      </w:r>
      <w:r>
        <w:rPr>
          <w:rFonts w:ascii="Times New Roman" w:hAnsi="Times New Roman"/>
          <w:sz w:val="24"/>
        </w:rPr>
        <w:t xml:space="preserve"> карт</w:t>
      </w:r>
      <w:r>
        <w:rPr>
          <w:rFonts w:ascii="Times New Roman" w:hAnsi="Times New Roman"/>
          <w:sz w:val="24"/>
        </w:rPr>
        <w:t>у</w:t>
      </w:r>
      <w:r>
        <w:rPr>
          <w:rFonts w:ascii="Times New Roman" w:hAnsi="Times New Roman"/>
          <w:sz w:val="24"/>
        </w:rPr>
        <w:t>, содержащие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 и Акт оказанных услуг.</w:t>
      </w:r>
    </w:p>
    <w:p w14:paraId="F5000000">
      <w:pPr>
        <w:pStyle w:val="Style_4"/>
        <w:widowControl w:val="1"/>
        <w:ind w:firstLine="708"/>
        <w:jc w:val="both"/>
      </w:pPr>
    </w:p>
    <w:p w14:paraId="F6000000">
      <w:pPr>
        <w:pStyle w:val="Style_4"/>
        <w:widowControl w:val="1"/>
        <w:ind w:firstLine="708"/>
        <w:jc w:val="both"/>
      </w:pPr>
    </w:p>
    <w:p w14:paraId="F7000000">
      <w:pPr>
        <w:pStyle w:val="Style_4"/>
        <w:widowControl w:val="1"/>
        <w:ind w:firstLine="708"/>
        <w:jc w:val="both"/>
      </w:pPr>
    </w:p>
    <w:tbl>
      <w:tblPr>
        <w:tblStyle w:val="Style_8"/>
        <w:tblW w:type="auto" w:w="0"/>
        <w:tblInd w:type="dxa" w:w="108"/>
        <w:tblLayout w:type="fixed"/>
      </w:tblPr>
      <w:tblGrid>
        <w:gridCol w:w="4447"/>
        <w:gridCol w:w="4907"/>
      </w:tblGrid>
      <w:tr>
        <w:tc>
          <w:tcPr>
            <w:tcW w:type="dxa" w:w="4447"/>
            <w:shd w:fill="auto" w:val="clear"/>
          </w:tcPr>
          <w:p w14:paraId="F8000000">
            <w:pPr>
              <w:pStyle w:val="Style_9"/>
              <w:widowControl w:val="1"/>
              <w:ind/>
              <w:jc w:val="both"/>
            </w:pPr>
            <w:r>
              <w:rPr>
                <w:rFonts w:ascii="Times New Roman" w:hAnsi="Times New Roman"/>
                <w:b w:val="1"/>
                <w:sz w:val="24"/>
              </w:rPr>
              <w:t>Исполнитель:</w:t>
            </w:r>
          </w:p>
          <w:p w14:paraId="F9000000">
            <w:pPr>
              <w:pStyle w:val="Style_9"/>
              <w:widowControl w:val="1"/>
              <w:ind/>
              <w:jc w:val="both"/>
              <w:rPr>
                <w:rFonts w:ascii="Times New Roman" w:hAnsi="Times New Roman"/>
                <w:sz w:val="24"/>
              </w:rPr>
            </w:pPr>
          </w:p>
        </w:tc>
        <w:tc>
          <w:tcPr>
            <w:tcW w:type="dxa" w:w="4907"/>
            <w:shd w:fill="auto" w:val="clear"/>
          </w:tcPr>
          <w:p w14:paraId="FA000000">
            <w:pPr>
              <w:pStyle w:val="Style_9"/>
              <w:widowControl w:val="1"/>
              <w:ind/>
              <w:jc w:val="both"/>
            </w:pPr>
            <w:r>
              <w:rPr>
                <w:rFonts w:ascii="Times New Roman" w:hAnsi="Times New Roman"/>
                <w:b w:val="1"/>
                <w:sz w:val="24"/>
              </w:rPr>
              <w:t>Заказчик:</w:t>
            </w:r>
          </w:p>
          <w:p w14:paraId="FB000000">
            <w:pPr>
              <w:pStyle w:val="Style_9"/>
              <w:widowControl w:val="1"/>
              <w:ind/>
              <w:jc w:val="both"/>
              <w:rPr>
                <w:rFonts w:ascii="Times New Roman" w:hAnsi="Times New Roman"/>
                <w:b w:val="1"/>
                <w:sz w:val="24"/>
              </w:rPr>
            </w:pPr>
          </w:p>
          <w:p w14:paraId="FC000000">
            <w:pPr>
              <w:pStyle w:val="Style_9"/>
              <w:widowControl w:val="1"/>
              <w:ind/>
              <w:jc w:val="both"/>
            </w:pPr>
            <w:r>
              <w:rPr>
                <w:rFonts w:ascii="Times New Roman" w:hAnsi="Times New Roman"/>
                <w:b w:val="1"/>
                <w:sz w:val="24"/>
              </w:rPr>
              <w:t xml:space="preserve">Федеральное казенное учреждение «Главное бюро медико-социальной экспертизы по Республике Крым» Министерства труда и социальной защиты Российской Федерации </w:t>
            </w:r>
          </w:p>
          <w:p w14:paraId="FD000000">
            <w:pPr>
              <w:pStyle w:val="Style_9"/>
              <w:widowControl w:val="1"/>
              <w:ind/>
              <w:jc w:val="both"/>
              <w:rPr>
                <w:rFonts w:ascii="Times New Roman" w:hAnsi="Times New Roman"/>
                <w:sz w:val="24"/>
              </w:rPr>
            </w:pPr>
          </w:p>
          <w:p w14:paraId="FE000000">
            <w:pPr>
              <w:pStyle w:val="Style_9"/>
              <w:widowControl w:val="1"/>
              <w:ind/>
              <w:jc w:val="both"/>
            </w:pPr>
            <w:r>
              <w:rPr>
                <w:rFonts w:ascii="Times New Roman" w:hAnsi="Times New Roman"/>
                <w:sz w:val="24"/>
              </w:rPr>
              <w:t xml:space="preserve">   </w:t>
            </w:r>
          </w:p>
          <w:p w14:paraId="FF000000">
            <w:pPr>
              <w:pStyle w:val="Style_9"/>
              <w:widowControl w:val="1"/>
              <w:ind/>
              <w:jc w:val="both"/>
            </w:pPr>
            <w:r>
              <w:rPr>
                <w:rFonts w:ascii="Times New Roman" w:hAnsi="Times New Roman"/>
                <w:b w:val="1"/>
                <w:sz w:val="24"/>
              </w:rPr>
              <w:t xml:space="preserve">Заместитель руководителя по общим вопросам деятельности учреждения </w:t>
            </w:r>
          </w:p>
          <w:p w14:paraId="00010000">
            <w:pPr>
              <w:pStyle w:val="Style_9"/>
              <w:widowControl w:val="1"/>
              <w:ind/>
              <w:jc w:val="both"/>
              <w:rPr>
                <w:rFonts w:ascii="Times New Roman" w:hAnsi="Times New Roman"/>
                <w:b w:val="1"/>
                <w:sz w:val="24"/>
              </w:rPr>
            </w:pPr>
          </w:p>
          <w:p w14:paraId="01010000">
            <w:pPr>
              <w:pStyle w:val="Style_9"/>
              <w:widowControl w:val="1"/>
              <w:ind/>
              <w:jc w:val="both"/>
              <w:rPr>
                <w:rFonts w:ascii="Times New Roman" w:hAnsi="Times New Roman"/>
                <w:b w:val="1"/>
                <w:sz w:val="24"/>
              </w:rPr>
            </w:pPr>
          </w:p>
          <w:p w14:paraId="02010000">
            <w:pPr>
              <w:pStyle w:val="Style_9"/>
              <w:widowControl w:val="1"/>
              <w:ind/>
              <w:jc w:val="both"/>
              <w:rPr>
                <w:rFonts w:ascii="Times New Roman" w:hAnsi="Times New Roman"/>
                <w:b w:val="1"/>
                <w:sz w:val="24"/>
              </w:rPr>
            </w:pPr>
            <w:r>
              <w:rPr>
                <w:rFonts w:ascii="Times New Roman" w:hAnsi="Times New Roman"/>
                <w:b w:val="1"/>
                <w:sz w:val="24"/>
              </w:rPr>
              <w:t>_____________________И.П. Посторонко</w:t>
            </w:r>
          </w:p>
          <w:p w14:paraId="03010000">
            <w:pPr>
              <w:pStyle w:val="Style_9"/>
              <w:widowControl w:val="1"/>
              <w:ind/>
              <w:jc w:val="both"/>
            </w:pPr>
            <w:r>
              <w:rPr>
                <w:rFonts w:ascii="Times New Roman" w:hAnsi="Times New Roman"/>
                <w:b w:val="1"/>
                <w:sz w:val="24"/>
              </w:rPr>
              <w:t>М.П.</w:t>
            </w:r>
          </w:p>
        </w:tc>
      </w:tr>
    </w:tbl>
    <w:p w14:paraId="04010000"/>
    <w:sectPr>
      <w:pgSz w:h="16838" w:orient="portrait" w:w="11906"/>
      <w:pgMar w:bottom="1134" w:footer="720" w:gutter="0" w:header="720"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tabs>
          <w:tab w:leader="none" w:pos="0" w:val="left"/>
        </w:tabs>
        <w:ind w:hanging="360" w:left="360"/>
      </w:pPr>
      <w:rPr>
        <w:sz w:val="24"/>
      </w:rPr>
    </w:lvl>
    <w:lvl w:ilvl="1">
      <w:start w:val="2"/>
      <w:numFmt w:val="decimal"/>
      <w:lvlText w:val="%1.%2."/>
      <w:lvlJc w:val="left"/>
      <w:pPr>
        <w:widowControl w:val="1"/>
        <w:tabs>
          <w:tab w:leader="none" w:pos="0" w:val="left"/>
        </w:tabs>
        <w:ind w:hanging="360" w:left="1069"/>
      </w:pPr>
      <w:rPr>
        <w:sz w:val="24"/>
      </w:rPr>
    </w:lvl>
    <w:lvl w:ilvl="2">
      <w:start w:val="1"/>
      <w:numFmt w:val="decimal"/>
      <w:lvlText w:val="%1.%2.%3."/>
      <w:lvlJc w:val="left"/>
      <w:pPr>
        <w:widowControl w:val="1"/>
        <w:tabs>
          <w:tab w:leader="none" w:pos="0" w:val="left"/>
        </w:tabs>
        <w:ind w:hanging="720" w:left="2138"/>
      </w:pPr>
      <w:rPr>
        <w:sz w:val="24"/>
      </w:rPr>
    </w:lvl>
    <w:lvl w:ilvl="3">
      <w:start w:val="1"/>
      <w:numFmt w:val="decimal"/>
      <w:lvlText w:val="%1.%2.%3.%4."/>
      <w:lvlJc w:val="left"/>
      <w:pPr>
        <w:widowControl w:val="1"/>
        <w:tabs>
          <w:tab w:leader="none" w:pos="0" w:val="left"/>
        </w:tabs>
        <w:ind w:hanging="720" w:left="2847"/>
      </w:pPr>
      <w:rPr>
        <w:sz w:val="24"/>
      </w:rPr>
    </w:lvl>
    <w:lvl w:ilvl="4">
      <w:start w:val="1"/>
      <w:numFmt w:val="decimal"/>
      <w:lvlText w:val="%1.%2.%3.%4.%5."/>
      <w:lvlJc w:val="left"/>
      <w:pPr>
        <w:widowControl w:val="1"/>
        <w:tabs>
          <w:tab w:leader="none" w:pos="0" w:val="left"/>
        </w:tabs>
        <w:ind w:hanging="1080" w:left="3916"/>
      </w:pPr>
      <w:rPr>
        <w:sz w:val="24"/>
      </w:rPr>
    </w:lvl>
    <w:lvl w:ilvl="5">
      <w:start w:val="1"/>
      <w:numFmt w:val="decimal"/>
      <w:lvlText w:val="%1.%2.%3.%4.%5.%6."/>
      <w:lvlJc w:val="left"/>
      <w:pPr>
        <w:widowControl w:val="1"/>
        <w:tabs>
          <w:tab w:leader="none" w:pos="0" w:val="left"/>
        </w:tabs>
        <w:ind w:hanging="1080" w:left="4625"/>
      </w:pPr>
      <w:rPr>
        <w:sz w:val="24"/>
      </w:rPr>
    </w:lvl>
    <w:lvl w:ilvl="6">
      <w:start w:val="1"/>
      <w:numFmt w:val="decimal"/>
      <w:lvlText w:val="%1.%2.%3.%4.%5.%6.%7."/>
      <w:lvlJc w:val="left"/>
      <w:pPr>
        <w:widowControl w:val="1"/>
        <w:tabs>
          <w:tab w:leader="none" w:pos="0" w:val="left"/>
        </w:tabs>
        <w:ind w:hanging="1080" w:left="5334"/>
      </w:pPr>
      <w:rPr>
        <w:sz w:val="24"/>
      </w:rPr>
    </w:lvl>
    <w:lvl w:ilvl="7">
      <w:start w:val="1"/>
      <w:numFmt w:val="decimal"/>
      <w:lvlText w:val="%1.%2.%3.%4.%5.%6.%7.%8."/>
      <w:lvlJc w:val="left"/>
      <w:pPr>
        <w:widowControl w:val="1"/>
        <w:tabs>
          <w:tab w:leader="none" w:pos="0" w:val="left"/>
        </w:tabs>
        <w:ind w:hanging="1440" w:left="6403"/>
      </w:pPr>
      <w:rPr>
        <w:sz w:val="24"/>
      </w:rPr>
    </w:lvl>
    <w:lvl w:ilvl="8">
      <w:start w:val="1"/>
      <w:numFmt w:val="decimal"/>
      <w:lvlText w:val="%1.%2.%3.%4.%5.%6.%7.%8.%9."/>
      <w:lvlJc w:val="left"/>
      <w:pPr>
        <w:widowControl w:val="1"/>
        <w:tabs>
          <w:tab w:leader="none" w:pos="0" w:val="left"/>
        </w:tabs>
        <w:ind w:hanging="1440" w:left="7112"/>
      </w:pPr>
      <w:rPr>
        <w:sz w:val="24"/>
      </w:rPr>
    </w:lvl>
  </w:abstractNum>
  <w:abstractNum w:abstractNumId="1">
    <w:lvl w:ilvl="0">
      <w:start w:val="3"/>
      <w:numFmt w:val="decimal"/>
      <w:lvlText w:val="%1."/>
      <w:lvlJc w:val="left"/>
      <w:pPr>
        <w:widowControl w:val="1"/>
        <w:tabs>
          <w:tab w:leader="none" w:pos="0" w:val="left"/>
        </w:tabs>
        <w:ind w:hanging="360" w:left="360"/>
      </w:pPr>
    </w:lvl>
    <w:lvl w:ilvl="1">
      <w:start w:val="3"/>
      <w:numFmt w:val="decimal"/>
      <w:lvlText w:val="%1.%2."/>
      <w:lvlJc w:val="left"/>
      <w:pPr>
        <w:widowControl w:val="1"/>
        <w:tabs>
          <w:tab w:leader="none" w:pos="0" w:val="left"/>
        </w:tabs>
        <w:ind w:hanging="360" w:left="1211"/>
      </w:pPr>
      <w:rPr>
        <w:rFonts w:ascii="Times New Roman" w:hAnsi="Times New Roman"/>
        <w:sz w:val="24"/>
      </w:rPr>
    </w:lvl>
    <w:lvl w:ilvl="2">
      <w:start w:val="1"/>
      <w:numFmt w:val="decimal"/>
      <w:lvlText w:val="%1.%2.%3."/>
      <w:lvlJc w:val="left"/>
      <w:pPr>
        <w:widowControl w:val="1"/>
        <w:tabs>
          <w:tab w:leader="none" w:pos="0" w:val="left"/>
        </w:tabs>
        <w:ind w:hanging="720" w:left="2422"/>
      </w:pPr>
    </w:lvl>
    <w:lvl w:ilvl="3">
      <w:start w:val="1"/>
      <w:numFmt w:val="decimal"/>
      <w:lvlText w:val="%1.%2.%3.%4."/>
      <w:lvlJc w:val="left"/>
      <w:pPr>
        <w:widowControl w:val="1"/>
        <w:tabs>
          <w:tab w:leader="none" w:pos="0" w:val="left"/>
        </w:tabs>
        <w:ind w:hanging="720" w:left="3273"/>
      </w:pPr>
    </w:lvl>
    <w:lvl w:ilvl="4">
      <w:start w:val="1"/>
      <w:numFmt w:val="decimal"/>
      <w:lvlText w:val="%1.%2.%3.%4.%5."/>
      <w:lvlJc w:val="left"/>
      <w:pPr>
        <w:widowControl w:val="1"/>
        <w:tabs>
          <w:tab w:leader="none" w:pos="0" w:val="left"/>
        </w:tabs>
        <w:ind w:hanging="1080" w:left="4484"/>
      </w:pPr>
    </w:lvl>
    <w:lvl w:ilvl="5">
      <w:start w:val="1"/>
      <w:numFmt w:val="decimal"/>
      <w:lvlText w:val="%1.%2.%3.%4.%5.%6."/>
      <w:lvlJc w:val="left"/>
      <w:pPr>
        <w:widowControl w:val="1"/>
        <w:tabs>
          <w:tab w:leader="none" w:pos="0" w:val="left"/>
        </w:tabs>
        <w:ind w:hanging="1080" w:left="5335"/>
      </w:pPr>
    </w:lvl>
    <w:lvl w:ilvl="6">
      <w:start w:val="1"/>
      <w:numFmt w:val="decimal"/>
      <w:lvlText w:val="%1.%2.%3.%4.%5.%6.%7."/>
      <w:lvlJc w:val="left"/>
      <w:pPr>
        <w:widowControl w:val="1"/>
        <w:tabs>
          <w:tab w:leader="none" w:pos="0" w:val="left"/>
        </w:tabs>
        <w:ind w:hanging="1440" w:left="6546"/>
      </w:pPr>
    </w:lvl>
    <w:lvl w:ilvl="7">
      <w:start w:val="1"/>
      <w:numFmt w:val="decimal"/>
      <w:lvlText w:val="%1.%2.%3.%4.%5.%6.%7.%8."/>
      <w:lvlJc w:val="left"/>
      <w:pPr>
        <w:widowControl w:val="1"/>
        <w:tabs>
          <w:tab w:leader="none" w:pos="0" w:val="left"/>
        </w:tabs>
        <w:ind w:hanging="1440" w:left="7397"/>
      </w:pPr>
    </w:lvl>
    <w:lvl w:ilvl="8">
      <w:start w:val="1"/>
      <w:numFmt w:val="decimal"/>
      <w:lvlText w:val="%1.%2.%3.%4.%5.%6.%7.%8.%9."/>
      <w:lvlJc w:val="left"/>
      <w:pPr>
        <w:widowControl w:val="1"/>
        <w:tabs>
          <w:tab w:leader="none" w:pos="0" w:val="left"/>
        </w:tabs>
        <w:ind w:hanging="1800" w:left="8608"/>
      </w:pPr>
    </w:lvl>
  </w:abstractNum>
  <w:abstractNum w:abstractNumId="2">
    <w:lvl w:ilvl="0">
      <w:start w:val="7"/>
      <w:numFmt w:val="decimal"/>
      <w:lvlText w:val="%1."/>
      <w:lvlJc w:val="left"/>
      <w:pPr>
        <w:widowControl w:val="1"/>
        <w:tabs>
          <w:tab w:leader="none" w:pos="0" w:val="left"/>
        </w:tabs>
        <w:ind w:hanging="360" w:left="2629"/>
      </w:pPr>
      <w:rPr>
        <w:rFonts w:ascii="Times New Roman" w:hAnsi="Times New Roman"/>
        <w:b w:val="1"/>
        <w:sz w:val="24"/>
      </w:rPr>
    </w:lvl>
    <w:lvl w:ilvl="1">
      <w:start w:val="1"/>
      <w:numFmt w:val="lowerLetter"/>
      <w:lvlText w:val="%2."/>
      <w:lvlJc w:val="left"/>
      <w:pPr>
        <w:widowControl w:val="1"/>
        <w:tabs>
          <w:tab w:leader="none" w:pos="0" w:val="left"/>
        </w:tabs>
        <w:ind w:hanging="360" w:left="3349"/>
      </w:pPr>
    </w:lvl>
    <w:lvl w:ilvl="2">
      <w:start w:val="1"/>
      <w:numFmt w:val="lowerRoman"/>
      <w:lvlText w:val="%3."/>
      <w:lvlJc w:val="right"/>
      <w:pPr>
        <w:widowControl w:val="1"/>
        <w:tabs>
          <w:tab w:leader="none" w:pos="0" w:val="left"/>
        </w:tabs>
        <w:ind w:hanging="180" w:left="4069"/>
      </w:pPr>
    </w:lvl>
    <w:lvl w:ilvl="3">
      <w:start w:val="1"/>
      <w:numFmt w:val="decimal"/>
      <w:lvlText w:val="%4."/>
      <w:lvlJc w:val="left"/>
      <w:pPr>
        <w:widowControl w:val="1"/>
        <w:tabs>
          <w:tab w:leader="none" w:pos="0" w:val="left"/>
        </w:tabs>
        <w:ind w:hanging="360" w:left="4789"/>
      </w:pPr>
    </w:lvl>
    <w:lvl w:ilvl="4">
      <w:start w:val="1"/>
      <w:numFmt w:val="lowerLetter"/>
      <w:lvlText w:val="%5."/>
      <w:lvlJc w:val="left"/>
      <w:pPr>
        <w:widowControl w:val="1"/>
        <w:tabs>
          <w:tab w:leader="none" w:pos="0" w:val="left"/>
        </w:tabs>
        <w:ind w:hanging="360" w:left="5509"/>
      </w:pPr>
    </w:lvl>
    <w:lvl w:ilvl="5">
      <w:start w:val="1"/>
      <w:numFmt w:val="lowerRoman"/>
      <w:lvlText w:val="%6."/>
      <w:lvlJc w:val="right"/>
      <w:pPr>
        <w:widowControl w:val="1"/>
        <w:tabs>
          <w:tab w:leader="none" w:pos="0" w:val="left"/>
        </w:tabs>
        <w:ind w:hanging="180" w:left="6229"/>
      </w:pPr>
    </w:lvl>
    <w:lvl w:ilvl="6">
      <w:start w:val="1"/>
      <w:numFmt w:val="decimal"/>
      <w:lvlText w:val="%7."/>
      <w:lvlJc w:val="left"/>
      <w:pPr>
        <w:widowControl w:val="1"/>
        <w:tabs>
          <w:tab w:leader="none" w:pos="0" w:val="left"/>
        </w:tabs>
        <w:ind w:hanging="360" w:left="6949"/>
      </w:pPr>
    </w:lvl>
    <w:lvl w:ilvl="7">
      <w:start w:val="1"/>
      <w:numFmt w:val="lowerLetter"/>
      <w:lvlText w:val="%8."/>
      <w:lvlJc w:val="left"/>
      <w:pPr>
        <w:widowControl w:val="1"/>
        <w:tabs>
          <w:tab w:leader="none" w:pos="0" w:val="left"/>
        </w:tabs>
        <w:ind w:hanging="360" w:left="7669"/>
      </w:pPr>
    </w:lvl>
    <w:lvl w:ilvl="8">
      <w:start w:val="1"/>
      <w:numFmt w:val="lowerRoman"/>
      <w:lvlText w:val="%9."/>
      <w:lvlJc w:val="right"/>
      <w:pPr>
        <w:widowControl w:val="1"/>
        <w:tabs>
          <w:tab w:leader="none" w:pos="0" w:val="left"/>
        </w:tabs>
        <w:ind w:hanging="180" w:left="8389"/>
      </w:pPr>
    </w:lvl>
  </w:abstractNum>
  <w:abstractNum w:abstractNumId="3">
    <w:lvl w:ilvl="0">
      <w:start w:val="1"/>
      <w:numFmt w:val="decimal"/>
      <w:lvlText w:val="%1."/>
      <w:lvlJc w:val="left"/>
      <w:pPr>
        <w:widowControl w:val="1"/>
        <w:tabs>
          <w:tab w:leader="none" w:pos="0" w:val="left"/>
        </w:tabs>
        <w:ind w:hanging="360" w:left="720"/>
      </w:pPr>
      <w:rPr>
        <w:rFonts w:ascii="Times New Roman" w:hAnsi="Times New Roman"/>
        <w:b w:val="1"/>
        <w:sz w:val="24"/>
      </w:rPr>
    </w:lvl>
    <w:lvl w:ilvl="1">
      <w:start w:val="1"/>
      <w:numFmt w:val="lowerLetter"/>
      <w:lvlText w:val="%2."/>
      <w:lvlJc w:val="left"/>
      <w:pPr>
        <w:widowControl w:val="1"/>
        <w:tabs>
          <w:tab w:leader="none" w:pos="0" w:val="left"/>
        </w:tabs>
        <w:ind w:hanging="360" w:left="1440"/>
      </w:pPr>
    </w:lvl>
    <w:lvl w:ilvl="2">
      <w:start w:val="1"/>
      <w:numFmt w:val="lowerRoman"/>
      <w:lvlText w:val="%3."/>
      <w:lvlJc w:val="right"/>
      <w:pPr>
        <w:widowControl w:val="1"/>
        <w:tabs>
          <w:tab w:leader="none" w:pos="0" w:val="left"/>
        </w:tabs>
        <w:ind w:hanging="180" w:left="2160"/>
      </w:pPr>
    </w:lvl>
    <w:lvl w:ilvl="3">
      <w:start w:val="1"/>
      <w:numFmt w:val="decimal"/>
      <w:lvlText w:val="%4."/>
      <w:lvlJc w:val="left"/>
      <w:pPr>
        <w:widowControl w:val="1"/>
        <w:tabs>
          <w:tab w:leader="none" w:pos="0" w:val="left"/>
        </w:tabs>
        <w:ind w:hanging="360" w:left="2880"/>
      </w:pPr>
    </w:lvl>
    <w:lvl w:ilvl="4">
      <w:start w:val="1"/>
      <w:numFmt w:val="lowerLetter"/>
      <w:lvlText w:val="%5."/>
      <w:lvlJc w:val="left"/>
      <w:pPr>
        <w:widowControl w:val="1"/>
        <w:tabs>
          <w:tab w:leader="none" w:pos="0" w:val="left"/>
        </w:tabs>
        <w:ind w:hanging="360" w:left="3600"/>
      </w:pPr>
    </w:lvl>
    <w:lvl w:ilvl="5">
      <w:start w:val="1"/>
      <w:numFmt w:val="lowerRoman"/>
      <w:lvlText w:val="%6."/>
      <w:lvlJc w:val="right"/>
      <w:pPr>
        <w:widowControl w:val="1"/>
        <w:tabs>
          <w:tab w:leader="none" w:pos="0" w:val="left"/>
        </w:tabs>
        <w:ind w:hanging="180" w:left="4320"/>
      </w:pPr>
    </w:lvl>
    <w:lvl w:ilvl="6">
      <w:start w:val="1"/>
      <w:numFmt w:val="decimal"/>
      <w:lvlText w:val="%7."/>
      <w:lvlJc w:val="left"/>
      <w:pPr>
        <w:widowControl w:val="1"/>
        <w:tabs>
          <w:tab w:leader="none" w:pos="0" w:val="left"/>
        </w:tabs>
        <w:ind w:hanging="360" w:left="5040"/>
      </w:pPr>
    </w:lvl>
    <w:lvl w:ilvl="7">
      <w:start w:val="1"/>
      <w:numFmt w:val="lowerLetter"/>
      <w:lvlText w:val="%8."/>
      <w:lvlJc w:val="left"/>
      <w:pPr>
        <w:widowControl w:val="1"/>
        <w:tabs>
          <w:tab w:leader="none" w:pos="0" w:val="left"/>
        </w:tabs>
        <w:ind w:hanging="360" w:left="5760"/>
      </w:pPr>
    </w:lvl>
    <w:lvl w:ilvl="8">
      <w:start w:val="1"/>
      <w:numFmt w:val="lowerRoman"/>
      <w:lvlText w:val="%9."/>
      <w:lvlJc w:val="right"/>
      <w:pPr>
        <w:widowControl w:val="1"/>
        <w:tabs>
          <w:tab w:leader="none" w:pos="0" w:val="left"/>
        </w:tabs>
        <w:ind w:hanging="180" w:left="6480"/>
      </w:pPr>
    </w:lvl>
  </w:abstractNum>
  <w:num w:numId="1">
    <w:abstractNumId w:val="0"/>
  </w:num>
  <w:num w:numId="2">
    <w:abstractNumId w:val="1"/>
  </w:num>
  <w:num w:numId="3">
    <w:abstractNumId w:val="2"/>
  </w:num>
  <w:num w:numId="4">
    <w:abstractNumId w:val="3"/>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0" w:type="paragraph">
    <w:name w:val="Normal"/>
    <w:link w:val="Style_10_ch"/>
    <w:uiPriority w:val="0"/>
    <w:qFormat/>
    <w:pPr>
      <w:widowControl w:val="1"/>
      <w:spacing w:after="200" w:line="276" w:lineRule="auto"/>
      <w:ind/>
    </w:pPr>
    <w:rPr>
      <w:rFonts w:ascii="Calibri" w:hAnsi="Calibri"/>
      <w:sz w:val="22"/>
    </w:rPr>
  </w:style>
  <w:style w:default="1" w:styleId="Style_10_ch" w:type="character">
    <w:name w:val="Normal"/>
    <w:link w:val="Style_10"/>
    <w:rPr>
      <w:rFonts w:ascii="Calibri" w:hAnsi="Calibri"/>
      <w:sz w:val="22"/>
    </w:rPr>
  </w:style>
  <w:style w:styleId="Style_11" w:type="paragraph">
    <w:name w:val="ListLabel 8"/>
    <w:link w:val="Style_11_ch"/>
    <w:rPr>
      <w:sz w:val="24"/>
    </w:rPr>
  </w:style>
  <w:style w:styleId="Style_11_ch" w:type="character">
    <w:name w:val="ListLabel 8"/>
    <w:link w:val="Style_11"/>
    <w:rPr>
      <w:sz w:val="24"/>
    </w:rPr>
  </w:style>
  <w:style w:styleId="Style_12" w:type="paragraph">
    <w:name w:val="toc 2"/>
    <w:next w:val="Style_10"/>
    <w:link w:val="Style_12_ch"/>
    <w:uiPriority w:val="39"/>
    <w:pPr>
      <w:widowControl w:val="1"/>
      <w:ind w:firstLine="0" w:left="200"/>
      <w:jc w:val="left"/>
    </w:pPr>
    <w:rPr>
      <w:rFonts w:ascii="XO Thames" w:hAnsi="XO Thames"/>
      <w:sz w:val="28"/>
    </w:rPr>
  </w:style>
  <w:style w:styleId="Style_12_ch" w:type="character">
    <w:name w:val="toc 2"/>
    <w:link w:val="Style_12"/>
    <w:rPr>
      <w:rFonts w:ascii="XO Thames" w:hAnsi="XO Thames"/>
      <w:sz w:val="28"/>
    </w:rPr>
  </w:style>
  <w:style w:styleId="Style_13" w:type="paragraph">
    <w:name w:val="ListLabel 13"/>
    <w:link w:val="Style_13_ch"/>
    <w:rPr>
      <w:b w:val="1"/>
    </w:rPr>
  </w:style>
  <w:style w:styleId="Style_13_ch" w:type="character">
    <w:name w:val="ListLabel 13"/>
    <w:link w:val="Style_13"/>
    <w:rPr>
      <w:b w:val="1"/>
    </w:rPr>
  </w:style>
  <w:style w:styleId="Style_14" w:type="paragraph">
    <w:name w:val="toc 4"/>
    <w:next w:val="Style_10"/>
    <w:link w:val="Style_14_ch"/>
    <w:uiPriority w:val="39"/>
    <w:pPr>
      <w:widowControl w:val="1"/>
      <w:ind w:firstLine="0" w:left="600"/>
      <w:jc w:val="left"/>
    </w:pPr>
    <w:rPr>
      <w:rFonts w:ascii="XO Thames" w:hAnsi="XO Thames"/>
      <w:sz w:val="28"/>
    </w:rPr>
  </w:style>
  <w:style w:styleId="Style_14_ch" w:type="character">
    <w:name w:val="toc 4"/>
    <w:link w:val="Style_14"/>
    <w:rPr>
      <w:rFonts w:ascii="XO Thames" w:hAnsi="XO Thames"/>
      <w:sz w:val="28"/>
    </w:rPr>
  </w:style>
  <w:style w:styleId="Style_5" w:type="paragraph">
    <w:name w:val="List Paragraph"/>
    <w:basedOn w:val="Style_10"/>
    <w:link w:val="Style_5_ch"/>
    <w:pPr>
      <w:widowControl w:val="1"/>
      <w:spacing w:after="200" w:before="0"/>
      <w:ind w:firstLine="0" w:left="720" w:right="0"/>
      <w:contextualSpacing w:val="1"/>
    </w:pPr>
  </w:style>
  <w:style w:styleId="Style_5_ch" w:type="character">
    <w:name w:val="List Paragraph"/>
    <w:basedOn w:val="Style_10_ch"/>
    <w:link w:val="Style_5"/>
  </w:style>
  <w:style w:styleId="Style_3" w:type="paragraph">
    <w:name w:val="ConsPlusNonformat"/>
    <w:link w:val="Style_3_ch"/>
    <w:pPr>
      <w:widowControl w:val="0"/>
      <w:ind/>
    </w:pPr>
    <w:rPr>
      <w:rFonts w:ascii="Courier New" w:hAnsi="Courier New"/>
    </w:rPr>
  </w:style>
  <w:style w:styleId="Style_3_ch" w:type="character">
    <w:name w:val="ConsPlusNonformat"/>
    <w:link w:val="Style_3"/>
    <w:rPr>
      <w:rFonts w:ascii="Courier New" w:hAnsi="Courier New"/>
    </w:rPr>
  </w:style>
  <w:style w:styleId="Style_15" w:type="paragraph">
    <w:name w:val="toc 6"/>
    <w:next w:val="Style_10"/>
    <w:link w:val="Style_15_ch"/>
    <w:uiPriority w:val="39"/>
    <w:pPr>
      <w:widowControl w:val="1"/>
      <w:ind w:firstLine="0" w:left="1000"/>
      <w:jc w:val="left"/>
    </w:pPr>
    <w:rPr>
      <w:rFonts w:ascii="XO Thames" w:hAnsi="XO Thames"/>
      <w:sz w:val="28"/>
    </w:rPr>
  </w:style>
  <w:style w:styleId="Style_15_ch" w:type="character">
    <w:name w:val="toc 6"/>
    <w:link w:val="Style_15"/>
    <w:rPr>
      <w:rFonts w:ascii="XO Thames" w:hAnsi="XO Thames"/>
      <w:sz w:val="28"/>
    </w:rPr>
  </w:style>
  <w:style w:styleId="Style_16" w:type="paragraph">
    <w:name w:val="ListLabel 4"/>
    <w:link w:val="Style_16_ch"/>
    <w:rPr>
      <w:sz w:val="24"/>
    </w:rPr>
  </w:style>
  <w:style w:styleId="Style_16_ch" w:type="character">
    <w:name w:val="ListLabel 4"/>
    <w:link w:val="Style_16"/>
    <w:rPr>
      <w:sz w:val="24"/>
    </w:rPr>
  </w:style>
  <w:style w:styleId="Style_17" w:type="paragraph">
    <w:name w:val="toc 7"/>
    <w:next w:val="Style_10"/>
    <w:link w:val="Style_17_ch"/>
    <w:uiPriority w:val="39"/>
    <w:pPr>
      <w:widowControl w:val="1"/>
      <w:ind w:firstLine="0" w:left="1200"/>
      <w:jc w:val="left"/>
    </w:pPr>
    <w:rPr>
      <w:rFonts w:ascii="XO Thames" w:hAnsi="XO Thames"/>
      <w:sz w:val="28"/>
    </w:rPr>
  </w:style>
  <w:style w:styleId="Style_17_ch" w:type="character">
    <w:name w:val="toc 7"/>
    <w:link w:val="Style_17"/>
    <w:rPr>
      <w:rFonts w:ascii="XO Thames" w:hAnsi="XO Thames"/>
      <w:sz w:val="28"/>
    </w:rPr>
  </w:style>
  <w:style w:styleId="Style_6" w:type="paragraph">
    <w:name w:val="Обычный5"/>
    <w:link w:val="Style_6_ch"/>
    <w:pPr>
      <w:widowControl w:val="0"/>
      <w:ind/>
    </w:pPr>
    <w:rPr>
      <w:sz w:val="28"/>
    </w:rPr>
  </w:style>
  <w:style w:styleId="Style_6_ch" w:type="character">
    <w:name w:val="Обычный5"/>
    <w:link w:val="Style_6"/>
    <w:rPr>
      <w:sz w:val="28"/>
    </w:rPr>
  </w:style>
  <w:style w:styleId="Style_18" w:type="paragraph">
    <w:name w:val="Заголовок"/>
    <w:basedOn w:val="Style_10"/>
    <w:next w:val="Style_19"/>
    <w:link w:val="Style_18_ch"/>
    <w:pPr>
      <w:keepNext w:val="1"/>
      <w:widowControl w:val="1"/>
      <w:spacing w:after="120" w:before="240"/>
      <w:ind/>
    </w:pPr>
    <w:rPr>
      <w:rFonts w:ascii="Liberation Sans" w:hAnsi="Liberation Sans"/>
      <w:sz w:val="28"/>
    </w:rPr>
  </w:style>
  <w:style w:styleId="Style_18_ch" w:type="character">
    <w:name w:val="Заголовок"/>
    <w:basedOn w:val="Style_10_ch"/>
    <w:link w:val="Style_18"/>
    <w:rPr>
      <w:rFonts w:ascii="Liberation Sans" w:hAnsi="Liberation Sans"/>
      <w:sz w:val="28"/>
    </w:rPr>
  </w:style>
  <w:style w:styleId="Style_20" w:type="paragraph">
    <w:name w:val="Endnote"/>
    <w:link w:val="Style_20_ch"/>
    <w:pPr>
      <w:widowControl w:val="1"/>
      <w:ind w:firstLine="851" w:left="0"/>
      <w:jc w:val="both"/>
    </w:pPr>
    <w:rPr>
      <w:rFonts w:ascii="XO Thames" w:hAnsi="XO Thames"/>
      <w:sz w:val="22"/>
    </w:rPr>
  </w:style>
  <w:style w:styleId="Style_20_ch" w:type="character">
    <w:name w:val="Endnote"/>
    <w:link w:val="Style_20"/>
    <w:rPr>
      <w:rFonts w:ascii="XO Thames" w:hAnsi="XO Thames"/>
      <w:sz w:val="22"/>
    </w:rPr>
  </w:style>
  <w:style w:styleId="Style_1" w:type="paragraph">
    <w:name w:val="heading 3"/>
    <w:basedOn w:val="Style_10"/>
    <w:next w:val="Style_10"/>
    <w:link w:val="Style_1_ch"/>
    <w:uiPriority w:val="9"/>
    <w:qFormat/>
    <w:pPr>
      <w:keepNext w:val="1"/>
      <w:widowControl w:val="1"/>
      <w:spacing w:after="60" w:before="240"/>
      <w:ind/>
      <w:outlineLvl w:val="2"/>
    </w:pPr>
    <w:rPr>
      <w:rFonts w:ascii="Calibri Light" w:hAnsi="Calibri Light"/>
      <w:b w:val="1"/>
      <w:sz w:val="26"/>
    </w:rPr>
  </w:style>
  <w:style w:styleId="Style_1_ch" w:type="character">
    <w:name w:val="heading 3"/>
    <w:basedOn w:val="Style_10_ch"/>
    <w:link w:val="Style_1"/>
    <w:rPr>
      <w:rFonts w:ascii="Calibri Light" w:hAnsi="Calibri Light"/>
      <w:b w:val="1"/>
      <w:sz w:val="26"/>
    </w:rPr>
  </w:style>
  <w:style w:styleId="Style_21" w:type="paragraph">
    <w:name w:val="ListLabel 14"/>
    <w:link w:val="Style_21_ch"/>
    <w:rPr>
      <w:b w:val="1"/>
    </w:rPr>
  </w:style>
  <w:style w:styleId="Style_21_ch" w:type="character">
    <w:name w:val="ListLabel 14"/>
    <w:link w:val="Style_21"/>
    <w:rPr>
      <w:b w:val="1"/>
    </w:rPr>
  </w:style>
  <w:style w:styleId="Style_22" w:type="paragraph">
    <w:name w:val="Balloon Text"/>
    <w:basedOn w:val="Style_10"/>
    <w:link w:val="Style_22_ch"/>
    <w:pPr>
      <w:widowControl w:val="1"/>
      <w:spacing w:after="0" w:line="240" w:lineRule="auto"/>
      <w:ind/>
    </w:pPr>
    <w:rPr>
      <w:rFonts w:ascii="Segoe UI" w:hAnsi="Segoe UI"/>
      <w:sz w:val="18"/>
    </w:rPr>
  </w:style>
  <w:style w:styleId="Style_22_ch" w:type="character">
    <w:name w:val="Balloon Text"/>
    <w:basedOn w:val="Style_10_ch"/>
    <w:link w:val="Style_22"/>
    <w:rPr>
      <w:rFonts w:ascii="Segoe UI" w:hAnsi="Segoe UI"/>
      <w:sz w:val="18"/>
    </w:rPr>
  </w:style>
  <w:style w:styleId="Style_23" w:type="paragraph">
    <w:name w:val="Указатель1"/>
    <w:basedOn w:val="Style_10"/>
    <w:link w:val="Style_23_ch"/>
  </w:style>
  <w:style w:styleId="Style_23_ch" w:type="character">
    <w:name w:val="Указатель1"/>
    <w:basedOn w:val="Style_10_ch"/>
    <w:link w:val="Style_23"/>
  </w:style>
  <w:style w:styleId="Style_4" w:type="paragraph">
    <w:name w:val="No Spacing"/>
    <w:link w:val="Style_4_ch"/>
    <w:rPr>
      <w:rFonts w:ascii="Calibri" w:hAnsi="Calibri"/>
      <w:sz w:val="22"/>
    </w:rPr>
  </w:style>
  <w:style w:styleId="Style_4_ch" w:type="character">
    <w:name w:val="No Spacing"/>
    <w:link w:val="Style_4"/>
    <w:rPr>
      <w:rFonts w:ascii="Calibri" w:hAnsi="Calibri"/>
      <w:sz w:val="22"/>
    </w:rPr>
  </w:style>
  <w:style w:styleId="Style_24" w:type="paragraph">
    <w:name w:val="Текст выноски Знак"/>
    <w:link w:val="Style_24_ch"/>
    <w:rPr>
      <w:rFonts w:ascii="Tahoma" w:hAnsi="Tahoma"/>
      <w:sz w:val="16"/>
    </w:rPr>
  </w:style>
  <w:style w:styleId="Style_24_ch" w:type="character">
    <w:name w:val="Текст выноски Знак"/>
    <w:link w:val="Style_24"/>
    <w:rPr>
      <w:rFonts w:ascii="Tahoma" w:hAnsi="Tahoma"/>
      <w:sz w:val="16"/>
    </w:rPr>
  </w:style>
  <w:style w:styleId="Style_25" w:type="paragraph">
    <w:name w:val="Содержимое таблицы"/>
    <w:basedOn w:val="Style_10"/>
    <w:link w:val="Style_25_ch"/>
  </w:style>
  <w:style w:styleId="Style_25_ch" w:type="character">
    <w:name w:val="Содержимое таблицы"/>
    <w:basedOn w:val="Style_10_ch"/>
    <w:link w:val="Style_25"/>
  </w:style>
  <w:style w:styleId="Style_26" w:type="paragraph">
    <w:name w:val="ListLabel 9"/>
    <w:link w:val="Style_26_ch"/>
    <w:rPr>
      <w:sz w:val="24"/>
    </w:rPr>
  </w:style>
  <w:style w:styleId="Style_26_ch" w:type="character">
    <w:name w:val="ListLabel 9"/>
    <w:link w:val="Style_26"/>
    <w:rPr>
      <w:sz w:val="24"/>
    </w:rPr>
  </w:style>
  <w:style w:styleId="Style_27" w:type="paragraph">
    <w:name w:val="ListLabel 12"/>
    <w:link w:val="Style_27_ch"/>
    <w:rPr>
      <w:b w:val="1"/>
    </w:rPr>
  </w:style>
  <w:style w:styleId="Style_27_ch" w:type="character">
    <w:name w:val="ListLabel 12"/>
    <w:link w:val="Style_27"/>
    <w:rPr>
      <w:b w:val="1"/>
    </w:rPr>
  </w:style>
  <w:style w:styleId="Style_28" w:type="paragraph">
    <w:name w:val="Balloon Text"/>
    <w:basedOn w:val="Style_10"/>
    <w:link w:val="Style_28_ch"/>
    <w:pPr>
      <w:widowControl w:val="1"/>
      <w:spacing w:after="0" w:before="0" w:line="240" w:lineRule="auto"/>
      <w:ind/>
    </w:pPr>
    <w:rPr>
      <w:rFonts w:ascii="Tahoma" w:hAnsi="Tahoma"/>
      <w:sz w:val="16"/>
    </w:rPr>
  </w:style>
  <w:style w:styleId="Style_28_ch" w:type="character">
    <w:name w:val="Balloon Text"/>
    <w:basedOn w:val="Style_10_ch"/>
    <w:link w:val="Style_28"/>
    <w:rPr>
      <w:rFonts w:ascii="Tahoma" w:hAnsi="Tahoma"/>
      <w:sz w:val="16"/>
    </w:rPr>
  </w:style>
  <w:style w:styleId="Style_29" w:type="paragraph">
    <w:name w:val="toc 3"/>
    <w:next w:val="Style_10"/>
    <w:link w:val="Style_29_ch"/>
    <w:uiPriority w:val="39"/>
    <w:pPr>
      <w:widowControl w:val="1"/>
      <w:ind w:firstLine="0" w:left="400"/>
      <w:jc w:val="left"/>
    </w:pPr>
    <w:rPr>
      <w:rFonts w:ascii="XO Thames" w:hAnsi="XO Thames"/>
      <w:sz w:val="28"/>
    </w:rPr>
  </w:style>
  <w:style w:styleId="Style_29_ch" w:type="character">
    <w:name w:val="toc 3"/>
    <w:link w:val="Style_29"/>
    <w:rPr>
      <w:rFonts w:ascii="XO Thames" w:hAnsi="XO Thames"/>
      <w:sz w:val="28"/>
    </w:rPr>
  </w:style>
  <w:style w:styleId="Style_30" w:type="paragraph">
    <w:name w:val="List"/>
    <w:basedOn w:val="Style_19"/>
    <w:link w:val="Style_30_ch"/>
  </w:style>
  <w:style w:styleId="Style_30_ch" w:type="character">
    <w:name w:val="List"/>
    <w:basedOn w:val="Style_19_ch"/>
    <w:link w:val="Style_30"/>
  </w:style>
  <w:style w:styleId="Style_31" w:type="paragraph">
    <w:name w:val="Заголовок таблицы"/>
    <w:basedOn w:val="Style_25"/>
    <w:link w:val="Style_31_ch"/>
    <w:pPr>
      <w:widowControl w:val="1"/>
      <w:ind/>
      <w:jc w:val="center"/>
    </w:pPr>
    <w:rPr>
      <w:b w:val="1"/>
    </w:rPr>
  </w:style>
  <w:style w:styleId="Style_31_ch" w:type="character">
    <w:name w:val="Заголовок таблицы"/>
    <w:basedOn w:val="Style_25_ch"/>
    <w:link w:val="Style_31"/>
    <w:rPr>
      <w:b w:val="1"/>
    </w:rPr>
  </w:style>
  <w:style w:styleId="Style_32" w:type="paragraph">
    <w:name w:val="ListLabel 7"/>
    <w:link w:val="Style_32_ch"/>
    <w:rPr>
      <w:sz w:val="24"/>
    </w:rPr>
  </w:style>
  <w:style w:styleId="Style_32_ch" w:type="character">
    <w:name w:val="ListLabel 7"/>
    <w:link w:val="Style_32"/>
    <w:rPr>
      <w:sz w:val="24"/>
    </w:rPr>
  </w:style>
  <w:style w:styleId="Style_33" w:type="paragraph">
    <w:name w:val="ListLabel 1"/>
    <w:link w:val="Style_33_ch"/>
    <w:rPr>
      <w:sz w:val="24"/>
    </w:rPr>
  </w:style>
  <w:style w:styleId="Style_33_ch" w:type="character">
    <w:name w:val="ListLabel 1"/>
    <w:link w:val="Style_33"/>
    <w:rPr>
      <w:sz w:val="24"/>
    </w:rPr>
  </w:style>
  <w:style w:styleId="Style_34" w:type="paragraph">
    <w:name w:val="heading 5"/>
    <w:next w:val="Style_10"/>
    <w:link w:val="Style_34_ch"/>
    <w:uiPriority w:val="9"/>
    <w:qFormat/>
    <w:pPr>
      <w:widowControl w:val="1"/>
      <w:spacing w:after="120" w:before="120"/>
      <w:ind/>
      <w:jc w:val="both"/>
      <w:outlineLvl w:val="4"/>
    </w:pPr>
    <w:rPr>
      <w:rFonts w:ascii="XO Thames" w:hAnsi="XO Thames"/>
      <w:b w:val="1"/>
      <w:sz w:val="22"/>
    </w:rPr>
  </w:style>
  <w:style w:styleId="Style_34_ch" w:type="character">
    <w:name w:val="heading 5"/>
    <w:link w:val="Style_34"/>
    <w:rPr>
      <w:rFonts w:ascii="XO Thames" w:hAnsi="XO Thames"/>
      <w:b w:val="1"/>
      <w:sz w:val="22"/>
    </w:rPr>
  </w:style>
  <w:style w:styleId="Style_35" w:type="paragraph">
    <w:name w:val="heading 1"/>
    <w:next w:val="Style_10"/>
    <w:link w:val="Style_35_ch"/>
    <w:uiPriority w:val="9"/>
    <w:qFormat/>
    <w:pPr>
      <w:widowControl w:val="1"/>
      <w:spacing w:after="120" w:before="120"/>
      <w:ind/>
      <w:jc w:val="both"/>
      <w:outlineLvl w:val="0"/>
    </w:pPr>
    <w:rPr>
      <w:rFonts w:ascii="XO Thames" w:hAnsi="XO Thames"/>
      <w:b w:val="1"/>
      <w:sz w:val="32"/>
    </w:rPr>
  </w:style>
  <w:style w:styleId="Style_35_ch" w:type="character">
    <w:name w:val="heading 1"/>
    <w:link w:val="Style_35"/>
    <w:rPr>
      <w:rFonts w:ascii="XO Thames" w:hAnsi="XO Thames"/>
      <w:b w:val="1"/>
      <w:sz w:val="32"/>
    </w:rPr>
  </w:style>
  <w:style w:styleId="Style_36" w:type="paragraph">
    <w:name w:val="ListLabel 2"/>
    <w:link w:val="Style_36_ch"/>
    <w:rPr>
      <w:sz w:val="24"/>
    </w:rPr>
  </w:style>
  <w:style w:styleId="Style_36_ch" w:type="character">
    <w:name w:val="ListLabel 2"/>
    <w:link w:val="Style_36"/>
    <w:rPr>
      <w:sz w:val="24"/>
    </w:rPr>
  </w:style>
  <w:style w:styleId="Style_37" w:type="paragraph">
    <w:name w:val="ListLabel 11"/>
    <w:link w:val="Style_37_ch"/>
    <w:rPr>
      <w:b w:val="0"/>
    </w:rPr>
  </w:style>
  <w:style w:styleId="Style_37_ch" w:type="character">
    <w:name w:val="ListLabel 11"/>
    <w:link w:val="Style_37"/>
    <w:rPr>
      <w:b w:val="0"/>
    </w:rPr>
  </w:style>
  <w:style w:styleId="Style_38" w:type="paragraph">
    <w:name w:val="Абзац списка Знак"/>
    <w:link w:val="Style_38_ch"/>
  </w:style>
  <w:style w:styleId="Style_38_ch" w:type="character">
    <w:name w:val="Абзац списка Знак"/>
    <w:link w:val="Style_38"/>
  </w:style>
  <w:style w:styleId="Style_39" w:type="paragraph">
    <w:name w:val="Default Paragraph Font_0"/>
    <w:link w:val="Style_39_ch"/>
  </w:style>
  <w:style w:styleId="Style_39_ch" w:type="character">
    <w:name w:val="Default Paragraph Font_0"/>
    <w:link w:val="Style_39"/>
  </w:style>
  <w:style w:styleId="Style_9" w:type="paragraph">
    <w:name w:val="ConsPlusCell"/>
    <w:link w:val="Style_9_ch"/>
    <w:pPr>
      <w:widowControl w:val="0"/>
      <w:ind/>
    </w:pPr>
    <w:rPr>
      <w:rFonts w:ascii="Courier New" w:hAnsi="Courier New"/>
    </w:rPr>
  </w:style>
  <w:style w:styleId="Style_9_ch" w:type="character">
    <w:name w:val="ConsPlusCell"/>
    <w:link w:val="Style_9"/>
    <w:rPr>
      <w:rFonts w:ascii="Courier New" w:hAnsi="Courier New"/>
    </w:rPr>
  </w:style>
  <w:style w:styleId="Style_40" w:type="paragraph">
    <w:name w:val="Hyperlink"/>
    <w:link w:val="Style_40_ch"/>
    <w:rPr>
      <w:color w:val="000080"/>
      <w:u w:val="single"/>
    </w:rPr>
  </w:style>
  <w:style w:styleId="Style_40_ch" w:type="character">
    <w:name w:val="Hyperlink"/>
    <w:link w:val="Style_40"/>
    <w:rPr>
      <w:color w:val="000080"/>
      <w:u w:val="single"/>
    </w:rPr>
  </w:style>
  <w:style w:styleId="Style_41" w:type="paragraph">
    <w:name w:val="Footnote"/>
    <w:link w:val="Style_41_ch"/>
    <w:pPr>
      <w:widowControl w:val="1"/>
      <w:ind w:firstLine="851" w:left="0"/>
      <w:jc w:val="both"/>
    </w:pPr>
    <w:rPr>
      <w:rFonts w:ascii="XO Thames" w:hAnsi="XO Thames"/>
      <w:sz w:val="22"/>
    </w:rPr>
  </w:style>
  <w:style w:styleId="Style_41_ch" w:type="character">
    <w:name w:val="Footnote"/>
    <w:link w:val="Style_41"/>
    <w:rPr>
      <w:rFonts w:ascii="XO Thames" w:hAnsi="XO Thames"/>
      <w:sz w:val="22"/>
    </w:rPr>
  </w:style>
  <w:style w:styleId="Style_42" w:type="paragraph">
    <w:name w:val="toc 1"/>
    <w:next w:val="Style_10"/>
    <w:link w:val="Style_42_ch"/>
    <w:uiPriority w:val="39"/>
    <w:pPr>
      <w:widowControl w:val="1"/>
      <w:ind w:firstLine="0" w:left="0"/>
      <w:jc w:val="left"/>
    </w:pPr>
    <w:rPr>
      <w:rFonts w:ascii="XO Thames" w:hAnsi="XO Thames"/>
      <w:b w:val="1"/>
      <w:sz w:val="28"/>
    </w:rPr>
  </w:style>
  <w:style w:styleId="Style_42_ch" w:type="character">
    <w:name w:val="toc 1"/>
    <w:link w:val="Style_42"/>
    <w:rPr>
      <w:rFonts w:ascii="XO Thames" w:hAnsi="XO Thames"/>
      <w:b w:val="1"/>
      <w:sz w:val="28"/>
    </w:rPr>
  </w:style>
  <w:style w:styleId="Style_43" w:type="paragraph">
    <w:name w:val="ConsPlusTitlePage"/>
    <w:link w:val="Style_43_ch"/>
    <w:pPr>
      <w:widowControl w:val="0"/>
      <w:ind/>
    </w:pPr>
    <w:rPr>
      <w:rFonts w:ascii="Tahoma" w:hAnsi="Tahoma"/>
    </w:rPr>
  </w:style>
  <w:style w:styleId="Style_43_ch" w:type="character">
    <w:name w:val="ConsPlusTitlePage"/>
    <w:link w:val="Style_43"/>
    <w:rPr>
      <w:rFonts w:ascii="Tahoma" w:hAnsi="Tahoma"/>
    </w:rPr>
  </w:style>
  <w:style w:styleId="Style_44" w:type="paragraph">
    <w:name w:val="Header and Footer"/>
    <w:link w:val="Style_44_ch"/>
    <w:pPr>
      <w:widowControl w:val="1"/>
      <w:spacing w:line="240" w:lineRule="auto"/>
      <w:ind/>
      <w:jc w:val="both"/>
    </w:pPr>
    <w:rPr>
      <w:rFonts w:ascii="XO Thames" w:hAnsi="XO Thames"/>
      <w:sz w:val="28"/>
    </w:rPr>
  </w:style>
  <w:style w:styleId="Style_44_ch" w:type="character">
    <w:name w:val="Header and Footer"/>
    <w:link w:val="Style_44"/>
    <w:rPr>
      <w:rFonts w:ascii="XO Thames" w:hAnsi="XO Thames"/>
      <w:sz w:val="28"/>
    </w:rPr>
  </w:style>
  <w:style w:styleId="Style_45" w:type="paragraph">
    <w:name w:val="toc 9"/>
    <w:next w:val="Style_10"/>
    <w:link w:val="Style_45_ch"/>
    <w:uiPriority w:val="39"/>
    <w:pPr>
      <w:widowControl w:val="1"/>
      <w:ind w:firstLine="0" w:left="1600"/>
      <w:jc w:val="left"/>
    </w:pPr>
    <w:rPr>
      <w:rFonts w:ascii="XO Thames" w:hAnsi="XO Thames"/>
      <w:sz w:val="28"/>
    </w:rPr>
  </w:style>
  <w:style w:styleId="Style_45_ch" w:type="character">
    <w:name w:val="toc 9"/>
    <w:link w:val="Style_45"/>
    <w:rPr>
      <w:rFonts w:ascii="XO Thames" w:hAnsi="XO Thames"/>
      <w:sz w:val="28"/>
    </w:rPr>
  </w:style>
  <w:style w:styleId="Style_46" w:type="paragraph">
    <w:name w:val="ListLabel 6"/>
    <w:link w:val="Style_46_ch"/>
    <w:rPr>
      <w:sz w:val="24"/>
    </w:rPr>
  </w:style>
  <w:style w:styleId="Style_46_ch" w:type="character">
    <w:name w:val="ListLabel 6"/>
    <w:link w:val="Style_46"/>
    <w:rPr>
      <w:sz w:val="24"/>
    </w:rPr>
  </w:style>
  <w:style w:styleId="Style_47" w:type="paragraph">
    <w:name w:val="ConsPlusTitle"/>
    <w:link w:val="Style_47_ch"/>
    <w:pPr>
      <w:widowControl w:val="0"/>
      <w:ind/>
    </w:pPr>
    <w:rPr>
      <w:rFonts w:ascii="Calibri" w:hAnsi="Calibri"/>
      <w:b w:val="1"/>
      <w:sz w:val="22"/>
    </w:rPr>
  </w:style>
  <w:style w:styleId="Style_47_ch" w:type="character">
    <w:name w:val="ConsPlusTitle"/>
    <w:link w:val="Style_47"/>
    <w:rPr>
      <w:rFonts w:ascii="Calibri" w:hAnsi="Calibri"/>
      <w:b w:val="1"/>
      <w:sz w:val="22"/>
    </w:rPr>
  </w:style>
  <w:style w:styleId="Style_48" w:type="paragraph">
    <w:name w:val="caption"/>
    <w:basedOn w:val="Style_10"/>
    <w:link w:val="Style_48_ch"/>
    <w:pPr>
      <w:widowControl w:val="1"/>
      <w:spacing w:after="120" w:before="120"/>
      <w:ind/>
    </w:pPr>
    <w:rPr>
      <w:i w:val="1"/>
      <w:sz w:val="24"/>
    </w:rPr>
  </w:style>
  <w:style w:styleId="Style_48_ch" w:type="character">
    <w:name w:val="caption"/>
    <w:basedOn w:val="Style_10_ch"/>
    <w:link w:val="Style_48"/>
    <w:rPr>
      <w:i w:val="1"/>
      <w:sz w:val="24"/>
    </w:rPr>
  </w:style>
  <w:style w:styleId="Style_49" w:type="paragraph">
    <w:name w:val="toc 8"/>
    <w:next w:val="Style_10"/>
    <w:link w:val="Style_49_ch"/>
    <w:uiPriority w:val="39"/>
    <w:pPr>
      <w:widowControl w:val="1"/>
      <w:ind w:firstLine="0" w:left="1400"/>
      <w:jc w:val="left"/>
    </w:pPr>
    <w:rPr>
      <w:rFonts w:ascii="XO Thames" w:hAnsi="XO Thames"/>
      <w:sz w:val="28"/>
    </w:rPr>
  </w:style>
  <w:style w:styleId="Style_49_ch" w:type="character">
    <w:name w:val="toc 8"/>
    <w:link w:val="Style_49"/>
    <w:rPr>
      <w:rFonts w:ascii="XO Thames" w:hAnsi="XO Thames"/>
      <w:sz w:val="28"/>
    </w:rPr>
  </w:style>
  <w:style w:styleId="Style_7" w:type="paragraph">
    <w:name w:val="Обычный1"/>
    <w:link w:val="Style_7_ch"/>
    <w:pPr>
      <w:widowControl w:val="0"/>
      <w:ind w:firstLine="400"/>
      <w:jc w:val="both"/>
    </w:pPr>
    <w:rPr>
      <w:sz w:val="24"/>
    </w:rPr>
  </w:style>
  <w:style w:styleId="Style_7_ch" w:type="character">
    <w:name w:val="Обычный1"/>
    <w:link w:val="Style_7"/>
    <w:rPr>
      <w:sz w:val="24"/>
    </w:rPr>
  </w:style>
  <w:style w:styleId="Style_50" w:type="paragraph">
    <w:name w:val="FollowedHyperlink"/>
    <w:link w:val="Style_50_ch"/>
    <w:rPr>
      <w:color w:val="800000"/>
      <w:u w:val="single"/>
    </w:rPr>
  </w:style>
  <w:style w:styleId="Style_50_ch" w:type="character">
    <w:name w:val="FollowedHyperlink"/>
    <w:link w:val="Style_50"/>
    <w:rPr>
      <w:color w:val="800000"/>
      <w:u w:val="single"/>
    </w:rPr>
  </w:style>
  <w:style w:styleId="Style_51" w:type="paragraph">
    <w:name w:val="Заголовок 2 Знак"/>
    <w:link w:val="Style_51_ch"/>
    <w:rPr>
      <w:rFonts w:ascii="Cambria" w:hAnsi="Cambria"/>
      <w:color w:val="365F91"/>
      <w:sz w:val="26"/>
    </w:rPr>
  </w:style>
  <w:style w:styleId="Style_51_ch" w:type="character">
    <w:name w:val="Заголовок 2 Знак"/>
    <w:link w:val="Style_51"/>
    <w:rPr>
      <w:rFonts w:ascii="Cambria" w:hAnsi="Cambria"/>
      <w:color w:val="365F91"/>
      <w:sz w:val="26"/>
    </w:rPr>
  </w:style>
  <w:style w:styleId="Style_52" w:type="paragraph">
    <w:name w:val="ListLabel 15"/>
    <w:link w:val="Style_52_ch"/>
    <w:rPr>
      <w:b w:val="1"/>
    </w:rPr>
  </w:style>
  <w:style w:styleId="Style_52_ch" w:type="character">
    <w:name w:val="ListLabel 15"/>
    <w:link w:val="Style_52"/>
    <w:rPr>
      <w:b w:val="1"/>
    </w:rPr>
  </w:style>
  <w:style w:styleId="Style_53" w:type="paragraph">
    <w:name w:val="toc 5"/>
    <w:next w:val="Style_10"/>
    <w:link w:val="Style_53_ch"/>
    <w:uiPriority w:val="39"/>
    <w:pPr>
      <w:widowControl w:val="1"/>
      <w:ind w:firstLine="0" w:left="800"/>
      <w:jc w:val="left"/>
    </w:pPr>
    <w:rPr>
      <w:rFonts w:ascii="XO Thames" w:hAnsi="XO Thames"/>
      <w:sz w:val="28"/>
    </w:rPr>
  </w:style>
  <w:style w:styleId="Style_53_ch" w:type="character">
    <w:name w:val="toc 5"/>
    <w:link w:val="Style_53"/>
    <w:rPr>
      <w:rFonts w:ascii="XO Thames" w:hAnsi="XO Thames"/>
      <w:sz w:val="28"/>
    </w:rPr>
  </w:style>
  <w:style w:styleId="Style_54" w:type="paragraph">
    <w:name w:val="ListLabel 5"/>
    <w:link w:val="Style_54_ch"/>
    <w:rPr>
      <w:sz w:val="24"/>
    </w:rPr>
  </w:style>
  <w:style w:styleId="Style_54_ch" w:type="character">
    <w:name w:val="ListLabel 5"/>
    <w:link w:val="Style_54"/>
    <w:rPr>
      <w:sz w:val="24"/>
    </w:rPr>
  </w:style>
  <w:style w:styleId="Style_2" w:type="paragraph">
    <w:name w:val="ConsPlusNormal"/>
    <w:link w:val="Style_2_ch"/>
    <w:pPr>
      <w:widowControl w:val="0"/>
      <w:ind/>
    </w:pPr>
    <w:rPr>
      <w:rFonts w:ascii="Calibri" w:hAnsi="Calibri"/>
      <w:sz w:val="22"/>
    </w:rPr>
  </w:style>
  <w:style w:styleId="Style_2_ch" w:type="character">
    <w:name w:val="ConsPlusNormal"/>
    <w:link w:val="Style_2"/>
    <w:rPr>
      <w:rFonts w:ascii="Calibri" w:hAnsi="Calibri"/>
      <w:sz w:val="22"/>
    </w:rPr>
  </w:style>
  <w:style w:styleId="Style_55" w:type="paragraph">
    <w:name w:val="Default Paragraph Font"/>
    <w:link w:val="Style_55_ch"/>
  </w:style>
  <w:style w:styleId="Style_55_ch" w:type="character">
    <w:name w:val="Default Paragraph Font"/>
    <w:link w:val="Style_55"/>
  </w:style>
  <w:style w:styleId="Style_56" w:type="paragraph">
    <w:name w:val="Subtitle"/>
    <w:next w:val="Style_10"/>
    <w:link w:val="Style_56_ch"/>
    <w:uiPriority w:val="11"/>
    <w:qFormat/>
    <w:pPr>
      <w:widowControl w:val="1"/>
      <w:ind/>
      <w:jc w:val="both"/>
    </w:pPr>
    <w:rPr>
      <w:rFonts w:ascii="XO Thames" w:hAnsi="XO Thames"/>
      <w:i w:val="1"/>
      <w:sz w:val="24"/>
    </w:rPr>
  </w:style>
  <w:style w:styleId="Style_56_ch" w:type="character">
    <w:name w:val="Subtitle"/>
    <w:link w:val="Style_56"/>
    <w:rPr>
      <w:rFonts w:ascii="XO Thames" w:hAnsi="XO Thames"/>
      <w:i w:val="1"/>
      <w:sz w:val="24"/>
    </w:rPr>
  </w:style>
  <w:style w:styleId="Style_57" w:type="paragraph">
    <w:name w:val="ListLabel 10"/>
    <w:link w:val="Style_57_ch"/>
    <w:rPr>
      <w:b w:val="0"/>
    </w:rPr>
  </w:style>
  <w:style w:styleId="Style_57_ch" w:type="character">
    <w:name w:val="ListLabel 10"/>
    <w:link w:val="Style_57"/>
    <w:rPr>
      <w:b w:val="0"/>
    </w:rPr>
  </w:style>
  <w:style w:styleId="Style_58" w:type="paragraph">
    <w:name w:val="Title"/>
    <w:next w:val="Style_10"/>
    <w:link w:val="Style_58_ch"/>
    <w:uiPriority w:val="10"/>
    <w:qFormat/>
    <w:pPr>
      <w:widowControl w:val="1"/>
      <w:spacing w:after="567" w:before="567"/>
      <w:ind/>
      <w:jc w:val="center"/>
    </w:pPr>
    <w:rPr>
      <w:rFonts w:ascii="XO Thames" w:hAnsi="XO Thames"/>
      <w:b w:val="1"/>
      <w:caps w:val="1"/>
      <w:sz w:val="40"/>
    </w:rPr>
  </w:style>
  <w:style w:styleId="Style_58_ch" w:type="character">
    <w:name w:val="Title"/>
    <w:link w:val="Style_58"/>
    <w:rPr>
      <w:rFonts w:ascii="XO Thames" w:hAnsi="XO Thames"/>
      <w:b w:val="1"/>
      <w:caps w:val="1"/>
      <w:sz w:val="40"/>
    </w:rPr>
  </w:style>
  <w:style w:styleId="Style_59" w:type="paragraph">
    <w:name w:val="heading 4"/>
    <w:next w:val="Style_10"/>
    <w:link w:val="Style_59_ch"/>
    <w:uiPriority w:val="9"/>
    <w:qFormat/>
    <w:pPr>
      <w:widowControl w:val="1"/>
      <w:spacing w:after="120" w:before="120"/>
      <w:ind/>
      <w:jc w:val="both"/>
      <w:outlineLvl w:val="3"/>
    </w:pPr>
    <w:rPr>
      <w:rFonts w:ascii="XO Thames" w:hAnsi="XO Thames"/>
      <w:b w:val="1"/>
      <w:sz w:val="24"/>
    </w:rPr>
  </w:style>
  <w:style w:styleId="Style_59_ch" w:type="character">
    <w:name w:val="heading 4"/>
    <w:link w:val="Style_59"/>
    <w:rPr>
      <w:rFonts w:ascii="XO Thames" w:hAnsi="XO Thames"/>
      <w:b w:val="1"/>
      <w:sz w:val="24"/>
    </w:rPr>
  </w:style>
  <w:style w:styleId="Style_60" w:type="paragraph">
    <w:name w:val="ListLabel 3"/>
    <w:link w:val="Style_60_ch"/>
    <w:rPr>
      <w:sz w:val="24"/>
    </w:rPr>
  </w:style>
  <w:style w:styleId="Style_60_ch" w:type="character">
    <w:name w:val="ListLabel 3"/>
    <w:link w:val="Style_60"/>
    <w:rPr>
      <w:sz w:val="24"/>
    </w:rPr>
  </w:style>
  <w:style w:styleId="Style_19" w:type="paragraph">
    <w:name w:val="Body Text"/>
    <w:basedOn w:val="Style_10"/>
    <w:link w:val="Style_19_ch"/>
    <w:pPr>
      <w:widowControl w:val="1"/>
      <w:spacing w:after="140" w:before="0" w:line="276" w:lineRule="auto"/>
      <w:ind/>
    </w:pPr>
  </w:style>
  <w:style w:styleId="Style_19_ch" w:type="character">
    <w:name w:val="Body Text"/>
    <w:basedOn w:val="Style_10_ch"/>
    <w:link w:val="Style_19"/>
  </w:style>
  <w:style w:styleId="Style_61" w:type="paragraph">
    <w:name w:val="heading 2"/>
    <w:basedOn w:val="Style_10"/>
    <w:next w:val="Style_10"/>
    <w:link w:val="Style_61_ch"/>
    <w:uiPriority w:val="9"/>
    <w:qFormat/>
    <w:pPr>
      <w:keepNext w:val="1"/>
      <w:keepLines w:val="1"/>
      <w:widowControl w:val="1"/>
      <w:spacing w:after="0" w:before="40"/>
      <w:ind/>
      <w:outlineLvl w:val="1"/>
    </w:pPr>
    <w:rPr>
      <w:rFonts w:ascii="Cambria" w:hAnsi="Cambria"/>
      <w:color w:val="365F91"/>
      <w:sz w:val="26"/>
    </w:rPr>
  </w:style>
  <w:style w:styleId="Style_61_ch" w:type="character">
    <w:name w:val="heading 2"/>
    <w:basedOn w:val="Style_10_ch"/>
    <w:link w:val="Style_61"/>
    <w:rPr>
      <w:rFonts w:ascii="Cambria" w:hAnsi="Cambria"/>
      <w:color w:val="365F91"/>
      <w:sz w:val="26"/>
    </w:rPr>
  </w:style>
  <w:style w:default="1" w:styleId="Style_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WithEffects.xml" Type="http://schemas.microsoft.com/office/2007/relationships/stylesWithEffects"/>
  <Relationship Id="rId1" Target="fontTable.xml" Type="http://schemas.openxmlformats.org/officeDocument/2006/relationships/fontTable"/>
  <Relationship Id="rId7" Target="numbering.xml" Type="http://schemas.openxmlformats.org/officeDocument/2006/relationships/numbering"/>
  <Relationship Id="rId5" Target="webSettings.xml" Type="http://schemas.openxmlformats.org/officeDocument/2006/relationships/webSettings"/>
  <Relationship Id="rId3" Target="styles.xml" Type="http://schemas.openxmlformats.org/officeDocument/2006/relationships/styles"/>
  <Relationship Id="rId2" Target="settings.xml" Type="http://schemas.openxmlformats.org/officeDocument/2006/relationships/settings"/>
  <Relationship Id="rId6" Target="theme/theme1.xml" Type="http://schemas.openxmlformats.org/officeDocument/2006/relationships/them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2026-08-12T08:20:10Z</dcterms:created>
  <dcterms:modified xsi:type="dcterms:W3CDTF">2026-08-12T10:26:00Z</dcterms:modified>
</cp:coreProperties>
</file>