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12</w:t>
      </w:r>
      <w:r>
        <w:rPr>
          <w:b/>
          <w:bCs/>
        </w:rPr>
        <w:t>7</w:t>
      </w:r>
      <w:r>
        <w:rPr>
          <w:b/>
          <w:bCs/>
        </w:rPr>
        <w:t>/26</w:t>
      </w:r>
    </w:p>
    <w:p>
      <w:pPr>
        <w:pStyle w:val="Normal"/>
        <w:jc w:val="center"/>
        <w:rPr>
          <w:b/>
        </w:rPr>
      </w:pPr>
      <w:r>
        <w:rPr>
          <w:b/>
        </w:rPr>
        <w:t>на поставку товаров для государственных нужд</w:t>
      </w:r>
    </w:p>
    <w:p>
      <w:pPr>
        <w:pStyle w:val="Normal"/>
        <w:jc w:val="center"/>
        <w:rPr>
          <w:b/>
          <w:shd w:fill="FFFF00" w:val="clear"/>
        </w:rPr>
      </w:pPr>
      <w:r>
        <w:rPr>
          <w:b/>
          <w:shd w:fill="FFFF00" w:val="clear"/>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августа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rFonts w:cs="Times New Roman" w:ascii="Times New Roman" w:hAnsi="Times New Roman"/>
          <w:b/>
          <w:bCs/>
          <w:sz w:val="20"/>
          <w:szCs w:val="20"/>
          <w:shd w:fill="auto" w:val="clear"/>
        </w:rPr>
        <w:t>Набор для катетеризации центральных вен по методу Сельдингера педиатрический «Цертофикс® Моно Пед S 110»</w:t>
      </w:r>
      <w:r>
        <w:rPr>
          <w:rFonts w:eastAsia="Times New Roman" w:cs="Times New Roman"/>
          <w:b/>
          <w:bCs/>
          <w:sz w:val="20"/>
          <w:szCs w:val="20"/>
          <w:lang w:eastAsia="ru-RU"/>
        </w:rPr>
        <w:t xml:space="preserve"> </w:t>
      </w:r>
      <w:r>
        <w:rPr/>
        <w:t xml:space="preserve">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fill="FFFFFF"/>
        <w:tabs>
          <w:tab w:val="clear" w:pos="708"/>
          <w:tab w:val="left" w:pos="0" w:leader="none"/>
          <w:tab w:val="left" w:pos="900" w:leader="none"/>
        </w:tabs>
        <w:jc w:val="center"/>
        <w:rPr>
          <w:b/>
        </w:rPr>
      </w:pPr>
      <w:r>
        <w:rPr>
          <w:b/>
        </w:rPr>
        <w:t>4. Сроки и условия поставки Товара</w:t>
      </w:r>
    </w:p>
    <w:p>
      <w:pPr>
        <w:pStyle w:val="Normal"/>
        <w:shd w:val="clear"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30.09.2026г. 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30.10.2026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fill="FFFFFF"/>
        <w:tabs>
          <w:tab w:val="clear" w:pos="708"/>
          <w:tab w:val="left" w:pos="540" w:leader="none"/>
          <w:tab w:val="left" w:pos="1248" w:leader="none"/>
        </w:tabs>
        <w:jc w:val="both"/>
        <w:rPr/>
      </w:pPr>
      <w:r>
        <w:rPr/>
      </w:r>
    </w:p>
    <w:p>
      <w:pPr>
        <w:pStyle w:val="Normal"/>
        <w:shd w:val="clear" w:fill="FFFFFF"/>
        <w:tabs>
          <w:tab w:val="clear" w:pos="708"/>
          <w:tab w:val="left" w:pos="540" w:leader="none"/>
          <w:tab w:val="left" w:pos="1248" w:leader="none"/>
        </w:tabs>
        <w:jc w:val="center"/>
        <w:rPr>
          <w:b/>
        </w:rPr>
      </w:pPr>
      <w:r>
        <w:rPr>
          <w:b/>
        </w:rPr>
        <w:t>11. Противодействие коррупции</w:t>
      </w:r>
    </w:p>
    <w:p>
      <w:pPr>
        <w:pStyle w:val="Normal"/>
        <w:shd w:val="clear"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708"/>
          <w:tab w:val="left" w:pos="540" w:leader="none"/>
          <w:tab w:val="left" w:pos="1248" w:leader="none"/>
        </w:tabs>
        <w:jc w:val="center"/>
        <w:rPr/>
      </w:pPr>
      <w:r>
        <w:rPr/>
      </w:r>
    </w:p>
    <w:p>
      <w:pPr>
        <w:pStyle w:val="Normal"/>
        <w:shd w:val="clear"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5"/>
        <w:gridCol w:w="4820"/>
      </w:tblGrid>
      <w:tr>
        <w:trPr>
          <w:trHeight w:val="7632" w:hRule="atLeast"/>
        </w:trPr>
        <w:tc>
          <w:tcPr>
            <w:tcW w:w="5635"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widowControl/>
              <w:overflowPunct w:val="false"/>
              <w:spacing w:before="0" w:after="0"/>
              <w:jc w:val="left"/>
              <w:textAlignment w:val="auto"/>
              <w:rPr>
                <w:szCs w:val="24"/>
              </w:rPr>
            </w:pPr>
            <w:r>
              <w:rPr>
                <w:b/>
                <w:szCs w:val="24"/>
              </w:rPr>
              <w:t>ОКВЭД 72.19</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20" w:type="dxa"/>
            <w:tcBorders/>
          </w:tcPr>
          <w:p>
            <w:pPr>
              <w:pStyle w:val="Normal"/>
              <w:jc w:val="both"/>
              <w:rPr/>
            </w:pPr>
            <w:r>
              <w:rPr/>
            </w:r>
          </w:p>
          <w:p>
            <w:pPr>
              <w:pStyle w:val="Normal"/>
              <w:jc w:val="both"/>
              <w:rPr>
                <w:b/>
                <w:bCs/>
                <w:shd w:fill="FFFF00" w:val="clear"/>
              </w:rPr>
            </w:pPr>
            <w:r>
              <w:rPr>
                <w:b/>
                <w:bCs/>
                <w:shd w:fill="FFFF00" w:val="clear"/>
              </w:rPr>
              <w:t>Поставщик:</w:t>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rFonts w:ascii="Times New Roman" w:hAnsi="Times New Roman"/>
          <w:sz w:val="20"/>
          <w:szCs w:val="20"/>
        </w:rPr>
      </w:pPr>
      <w:r>
        <w:rPr>
          <w:sz w:val="20"/>
          <w:szCs w:val="20"/>
        </w:rPr>
        <w:t xml:space="preserve">Приложение №1 </w:t>
      </w:r>
    </w:p>
    <w:p>
      <w:pPr>
        <w:pStyle w:val="Normal"/>
        <w:spacing w:before="0" w:after="60"/>
        <w:jc w:val="right"/>
        <w:rPr>
          <w:rFonts w:ascii="Times New Roman" w:hAnsi="Times New Roman"/>
          <w:sz w:val="20"/>
          <w:szCs w:val="20"/>
        </w:rPr>
      </w:pPr>
      <w:r>
        <w:rPr>
          <w:sz w:val="20"/>
          <w:szCs w:val="20"/>
        </w:rPr>
        <w:t xml:space="preserve">                                                                                                                         </w:t>
      </w:r>
      <w:bookmarkStart w:id="10" w:name="_Hlk180496427"/>
      <w:r>
        <w:rPr>
          <w:sz w:val="20"/>
          <w:szCs w:val="20"/>
        </w:rPr>
        <w:t xml:space="preserve">к Контракту </w:t>
      </w:r>
      <w:r>
        <w:rPr>
          <w:b/>
          <w:bCs/>
          <w:sz w:val="20"/>
          <w:szCs w:val="20"/>
        </w:rPr>
        <w:t>№ 12</w:t>
      </w:r>
      <w:r>
        <w:rPr>
          <w:b/>
          <w:bCs/>
          <w:sz w:val="20"/>
          <w:szCs w:val="20"/>
        </w:rPr>
        <w:t>7</w:t>
      </w:r>
      <w:r>
        <w:rPr>
          <w:b/>
          <w:bCs/>
          <w:sz w:val="20"/>
          <w:szCs w:val="20"/>
        </w:rPr>
        <w:t>/26</w:t>
      </w:r>
    </w:p>
    <w:p>
      <w:pPr>
        <w:pStyle w:val="Normal"/>
        <w:spacing w:before="0" w:after="60"/>
        <w:jc w:val="right"/>
        <w:rPr>
          <w:rFonts w:ascii="Times New Roman" w:hAnsi="Times New Roman"/>
          <w:sz w:val="20"/>
          <w:szCs w:val="20"/>
        </w:rPr>
      </w:pPr>
      <w:r>
        <w:rPr>
          <w:sz w:val="20"/>
          <w:szCs w:val="20"/>
        </w:rPr>
        <w:t xml:space="preserve">                                                                                                                                </w:t>
      </w:r>
      <w:r>
        <w:rPr>
          <w:rFonts w:eastAsia="Calibri"/>
          <w:sz w:val="20"/>
          <w:szCs w:val="20"/>
          <w:lang w:eastAsia="en-US"/>
        </w:rPr>
        <w:t>«      » августа   2026г.</w:t>
      </w:r>
      <w:bookmarkEnd w:id="10"/>
    </w:p>
    <w:p>
      <w:pPr>
        <w:pStyle w:val="Normal"/>
        <w:spacing w:before="0" w:after="60"/>
        <w:jc w:val="center"/>
        <w:rPr>
          <w:rFonts w:ascii="Times New Roman" w:hAnsi="Times New Roman"/>
          <w:sz w:val="20"/>
          <w:szCs w:val="20"/>
        </w:rPr>
      </w:pPr>
      <w:r>
        <w:rPr>
          <w:b/>
          <w:bCs/>
          <w:sz w:val="20"/>
          <w:szCs w:val="20"/>
        </w:rPr>
        <w:t>Спецификация</w:t>
      </w:r>
    </w:p>
    <w:p>
      <w:pPr>
        <w:pStyle w:val="Normal"/>
        <w:spacing w:before="0" w:after="60"/>
        <w:jc w:val="center"/>
        <w:rPr>
          <w:rFonts w:ascii="Times New Roman" w:hAnsi="Times New Roman"/>
          <w:b/>
          <w:bCs/>
          <w:sz w:val="20"/>
          <w:szCs w:val="20"/>
        </w:rPr>
      </w:pPr>
      <w:r>
        <w:rPr>
          <w:b/>
          <w:bCs/>
          <w:sz w:val="20"/>
          <w:szCs w:val="20"/>
        </w:rPr>
      </w:r>
    </w:p>
    <w:tbl>
      <w:tblPr>
        <w:tblW w:w="15714" w:type="dxa"/>
        <w:jc w:val="left"/>
        <w:tblInd w:w="0" w:type="dxa"/>
        <w:tblLayout w:type="fixed"/>
        <w:tblCellMar>
          <w:top w:w="0" w:type="dxa"/>
          <w:left w:w="108" w:type="dxa"/>
          <w:bottom w:w="0" w:type="dxa"/>
          <w:right w:w="108" w:type="dxa"/>
        </w:tblCellMar>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w:t>
            </w:r>
          </w:p>
          <w:p>
            <w:pPr>
              <w:pStyle w:val="Normal"/>
              <w:widowControl w:val="false"/>
              <w:jc w:val="center"/>
              <w:rPr>
                <w:rFonts w:ascii="Times New Roman" w:hAnsi="Times New Roman"/>
                <w:sz w:val="20"/>
                <w:szCs w:val="20"/>
              </w:rPr>
            </w:pPr>
            <w:r>
              <w:rPr>
                <w:sz w:val="20"/>
                <w:szCs w:val="20"/>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0"/>
                <w:szCs w:val="20"/>
              </w:rPr>
            </w:pPr>
            <w:r>
              <w:rPr>
                <w:sz w:val="20"/>
                <w:szCs w:val="20"/>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0"/>
                <w:szCs w:val="20"/>
              </w:rPr>
            </w:pPr>
            <w:r>
              <w:rPr>
                <w:sz w:val="20"/>
                <w:szCs w:val="20"/>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rFonts w:ascii="Times New Roman" w:hAnsi="Times New Roman"/>
                <w:sz w:val="20"/>
                <w:szCs w:val="20"/>
              </w:rPr>
            </w:pPr>
            <w:r>
              <w:rPr>
                <w:color w:val="000000"/>
                <w:spacing w:val="-11"/>
                <w:sz w:val="20"/>
                <w:szCs w:val="20"/>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rFonts w:ascii="Times New Roman" w:hAnsi="Times New Roman"/>
                <w:sz w:val="20"/>
                <w:szCs w:val="20"/>
              </w:rPr>
            </w:pPr>
            <w:r>
              <w:rPr>
                <w:color w:val="000000"/>
                <w:spacing w:val="-11"/>
                <w:sz w:val="20"/>
                <w:szCs w:val="20"/>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Style22"/>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ascii="Times New Roman" w:hAnsi="Times New Roman"/>
                <w:b/>
                <w:bCs/>
                <w:i w:val="false"/>
                <w:caps w:val="false"/>
                <w:smallCaps w:val="false"/>
                <w:strike w:val="false"/>
                <w:dstrike w:val="false"/>
                <w:outline w:val="false"/>
                <w:shadow w:val="false"/>
                <w:color w:val="000000"/>
                <w:spacing w:val="0"/>
                <w:sz w:val="16"/>
                <w:szCs w:val="16"/>
                <w:u w:val="none"/>
                <w:shd w:fill="auto" w:val="clear"/>
                <w:em w:val="none"/>
                <w:lang w:eastAsia="ru-RU"/>
              </w:rPr>
              <w:t>Набор для катетеризации центральных вен по методу Сельдингера педиатрический «Цертофикс® Моно Пед S 110»</w:t>
            </w:r>
          </w:p>
          <w:tbl>
            <w:tblPr>
              <w:tblW w:w="7370" w:type="dxa"/>
              <w:jc w:val="left"/>
              <w:tblInd w:w="0" w:type="dxa"/>
              <w:tblLayout w:type="fixed"/>
              <w:tblCellMar>
                <w:top w:w="0" w:type="dxa"/>
                <w:left w:w="108" w:type="dxa"/>
                <w:bottom w:w="0" w:type="dxa"/>
                <w:right w:w="108" w:type="dxa"/>
              </w:tblCellMar>
            </w:tblPr>
            <w:tblGrid>
              <w:gridCol w:w="2550"/>
              <w:gridCol w:w="2950"/>
              <w:gridCol w:w="1870"/>
            </w:tblGrid>
            <w:tr>
              <w:trPr>
                <w:trHeight w:val="243" w:hRule="atLeast"/>
              </w:trPr>
              <w:tc>
                <w:tcPr>
                  <w:tcW w:w="25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Назначение</w:t>
                  </w:r>
                </w:p>
              </w:tc>
              <w:tc>
                <w:tcPr>
                  <w:tcW w:w="29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Катетеризация вен по Сельдингеру (автор)  для инфузии и измерения ЦВД</w:t>
                  </w:r>
                </w:p>
              </w:tc>
              <w:tc>
                <w:tcPr>
                  <w:tcW w:w="1870"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r>
                </w:p>
              </w:tc>
            </w:tr>
            <w:tr>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Материал катетера</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Термолабильный, антитромбогенный, Rg- контрастный полиуретан</w:t>
                  </w:r>
                </w:p>
              </w:tc>
              <w:tc>
                <w:tcPr>
                  <w:tcW w:w="1870" w:type="dxa"/>
                  <w:tcBorders>
                    <w:left w:val="single" w:sz="4" w:space="0" w:color="000000"/>
                    <w:bottom w:val="single" w:sz="4" w:space="0" w:color="000000"/>
                    <w:right w:val="single" w:sz="4" w:space="0" w:color="000000"/>
                  </w:tcBorders>
                </w:tcPr>
                <w:p>
                  <w:pPr>
                    <w:pStyle w:val="Normal"/>
                    <w:snapToGrid w:val="false"/>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r>
                </w:p>
              </w:tc>
            </w:tr>
            <w:tr>
              <w:trPr>
                <w:trHeight w:val="1523" w:hRule="atLeast"/>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Состав набора: </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Одноканальный катетер с несмываемой разметкой в см, мягким скругленным кончиком и соединителем Люэр лок, маркировкой канала и зажимом. Пункционная тонкостенная с овальным срезом игла Сельдингера.</w:t>
                  </w:r>
                </w:p>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Дилататор. Проводник из устойчивого к деформациям нитинола маркированный, с J-образным кончиком, в круглом футляре с направителем и пальцевым упором.</w:t>
                  </w:r>
                </w:p>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Удлинительная инфузионная линия со скользящим зажим и коннектором ЛУЕР ЛОК. Шприц трехкомпонентный ЛУЕР ЛОК. Скальпель. Трехходовой кран. Мягкий самоклеящийся фиксатор катетера. Кабель для ЭКГ контроля постановки катетера.</w:t>
                  </w:r>
                </w:p>
              </w:tc>
              <w:tc>
                <w:tcPr>
                  <w:tcW w:w="1870" w:type="dxa"/>
                  <w:tcBorders>
                    <w:left w:val="single" w:sz="4" w:space="0" w:color="000000"/>
                    <w:bottom w:val="single" w:sz="4" w:space="0" w:color="000000"/>
                    <w:right w:val="single" w:sz="4" w:space="0" w:color="000000"/>
                  </w:tcBorders>
                </w:tcPr>
                <w:p>
                  <w:pPr>
                    <w:pStyle w:val="Normal"/>
                    <w:snapToGrid w:val="false"/>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r>
                </w:p>
              </w:tc>
            </w:tr>
            <w:tr>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Наружный диаметр катетера  </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22/0,9 </w:t>
                  </w:r>
                </w:p>
              </w:tc>
              <w:tc>
                <w:tcPr>
                  <w:tcW w:w="1870" w:type="dxa"/>
                  <w:tcBorders>
                    <w:left w:val="single" w:sz="4" w:space="0" w:color="000000"/>
                    <w:bottom w:val="single" w:sz="4" w:space="0" w:color="000000"/>
                    <w:right w:val="single" w:sz="4" w:space="0" w:color="000000"/>
                  </w:tcBorders>
                </w:tcPr>
                <w:p>
                  <w:pPr>
                    <w:pStyle w:val="Normal"/>
                    <w:snapToGrid w:val="false"/>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G/мм</w:t>
                  </w:r>
                </w:p>
              </w:tc>
            </w:tr>
            <w:tr>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Длина катетера </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10</w:t>
                  </w:r>
                </w:p>
              </w:tc>
              <w:tc>
                <w:tcPr>
                  <w:tcW w:w="1870" w:type="dxa"/>
                  <w:tcBorders>
                    <w:left w:val="single" w:sz="4" w:space="0" w:color="000000"/>
                    <w:bottom w:val="single" w:sz="4" w:space="0" w:color="000000"/>
                    <w:right w:val="single" w:sz="4" w:space="0" w:color="000000"/>
                  </w:tcBorders>
                </w:tcPr>
                <w:p>
                  <w:pPr>
                    <w:pStyle w:val="Normal"/>
                    <w:snapToGrid w:val="false"/>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см</w:t>
                  </w:r>
                </w:p>
              </w:tc>
            </w:tr>
            <w:tr>
              <w:trPr>
                <w:trHeight w:val="94" w:hRule="atLeast"/>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Скорость потока </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15 </w:t>
                  </w:r>
                </w:p>
              </w:tc>
              <w:tc>
                <w:tcPr>
                  <w:tcW w:w="187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мл/мин</w:t>
                  </w:r>
                </w:p>
              </w:tc>
            </w:tr>
            <w:tr>
              <w:trPr>
                <w:trHeight w:val="94" w:hRule="atLeast"/>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Пункционная игла</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0,8х38</w:t>
                  </w:r>
                </w:p>
              </w:tc>
              <w:tc>
                <w:tcPr>
                  <w:tcW w:w="187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мм</w:t>
                  </w:r>
                </w:p>
              </w:tc>
            </w:tr>
            <w:tr>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 xml:space="preserve">Проводник диаметр </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0,46</w:t>
                  </w:r>
                </w:p>
              </w:tc>
              <w:tc>
                <w:tcPr>
                  <w:tcW w:w="187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мм</w:t>
                  </w:r>
                </w:p>
              </w:tc>
            </w:tr>
            <w:tr>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Длина проводника</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25</w:t>
                  </w:r>
                </w:p>
              </w:tc>
              <w:tc>
                <w:tcPr>
                  <w:tcW w:w="187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см</w:t>
                  </w:r>
                </w:p>
              </w:tc>
            </w:tr>
            <w:tr>
              <w:trPr/>
              <w:tc>
                <w:tcPr>
                  <w:tcW w:w="25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Объем шприца</w:t>
                  </w:r>
                </w:p>
              </w:tc>
              <w:tc>
                <w:tcPr>
                  <w:tcW w:w="295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rPr>
                  </w:pPr>
                  <w:r>
                    <w:rPr>
                      <w:rFonts w:eastAsia="Times New Roman" w:cs="Times New Roman" w:ascii="Times New Roman" w:hAnsi="Times New Roman"/>
                      <w:color w:val="000000"/>
                      <w:sz w:val="16"/>
                      <w:szCs w:val="16"/>
                      <w:shd w:fill="FFFFFF" w:val="clear"/>
                    </w:rPr>
                    <w:t>3</w:t>
                  </w:r>
                </w:p>
              </w:tc>
              <w:tc>
                <w:tcPr>
                  <w:tcW w:w="1870" w:type="dxa"/>
                  <w:tcBorders>
                    <w:left w:val="single" w:sz="4" w:space="0" w:color="000000"/>
                    <w:bottom w:val="single" w:sz="4" w:space="0" w:color="000000"/>
                    <w:right w:val="single" w:sz="4" w:space="0" w:color="000000"/>
                  </w:tcBorders>
                </w:tcPr>
                <w:p>
                  <w:pPr>
                    <w:pStyle w:val="Normal"/>
                    <w:spacing w:lineRule="auto" w:line="240" w:before="0" w:after="0"/>
                    <w:contextualSpacing/>
                    <w:rPr>
                      <w:rFonts w:ascii="Times New Roman" w:hAnsi="Times New Roman" w:eastAsia="Times New Roman" w:cs="Times New Roman"/>
                      <w:color w:val="000000"/>
                      <w:sz w:val="16"/>
                      <w:szCs w:val="16"/>
                      <w:shd w:fill="FFFFFF" w:val="clear"/>
                      <w:lang w:val="en-US"/>
                    </w:rPr>
                  </w:pPr>
                  <w:r>
                    <w:rPr>
                      <w:rFonts w:eastAsia="Times New Roman" w:cs="Times New Roman" w:ascii="Times New Roman" w:hAnsi="Times New Roman"/>
                      <w:color w:val="000000"/>
                      <w:sz w:val="16"/>
                      <w:szCs w:val="16"/>
                      <w:shd w:fill="FFFFFF" w:val="clear"/>
                      <w:lang w:val="en-US"/>
                    </w:rPr>
                    <w:t>мл</w:t>
                  </w:r>
                </w:p>
              </w:tc>
            </w:tr>
          </w:tbl>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ascii="Times New Roman" w:hAnsi="Times New Roman"/>
                <w:b/>
                <w:bCs/>
                <w:i w:val="false"/>
                <w:caps w:val="false"/>
                <w:smallCaps w:val="false"/>
                <w:strike w:val="false"/>
                <w:dstrike w:val="false"/>
                <w:outline w:val="false"/>
                <w:shadow w:val="false"/>
                <w:color w:val="000000"/>
                <w:spacing w:val="0"/>
                <w:sz w:val="16"/>
                <w:szCs w:val="16"/>
                <w:u w:val="none"/>
                <w:shd w:fill="auto" w:val="clear"/>
                <w:em w:val="none"/>
                <w:lang w:eastAsia="ru-RU"/>
              </w:rPr>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ОКПД 2:</w:t>
            </w:r>
            <w:r>
              <w:rPr>
                <w:rFonts w:eastAsia="Times New Roman" w:cs="Times New Roman" w:ascii="Times New Roman" w:hAnsi="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32.50.13.110</w:t>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Страна происхождения товара:</w:t>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t>РУ:</w:t>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r>
          </w:p>
          <w:p>
            <w:pPr>
              <w:pStyle w:val="Normal"/>
              <w:rPr>
                <w:rFonts w:ascii="Times New Roman" w:hAnsi="Times New Roman" w:eastAsia="Times New Roman" w:cs="Times New Roman"/>
                <w:b w:val="false"/>
                <w:bCs/>
                <w:i w:val="false"/>
                <w:i w:val="false"/>
                <w:caps w:val="false"/>
                <w:smallCaps w:val="false"/>
                <w:strike w:val="false"/>
                <w:dstrike w:val="false"/>
                <w:outline w:val="false"/>
                <w:shadow w:val="false"/>
                <w:color w:val="000000"/>
                <w:spacing w:val="0"/>
                <w:sz w:val="20"/>
                <w:szCs w:val="20"/>
                <w:u w:val="none"/>
                <w:shd w:fill="auto" w:val="clear"/>
                <w:em w:val="none"/>
                <w:lang w:eastAsia="ru-RU"/>
              </w:rPr>
            </w:pPr>
            <w:r>
              <w:rPr>
                <w:rFonts w:eastAsia="Times New Roman" w:cs="Times New Roman"/>
                <w:b w:val="false"/>
                <w:bCs/>
                <w:i w:val="false"/>
                <w:caps w:val="false"/>
                <w:smallCaps w:val="false"/>
                <w:strike w:val="false"/>
                <w:dstrike w:val="false"/>
                <w:outline w:val="false"/>
                <w:shadow w:val="false"/>
                <w:color w:val="000000"/>
                <w:spacing w:val="0"/>
                <w:sz w:val="20"/>
                <w:szCs w:val="20"/>
                <w:u w:val="none"/>
                <w:shd w:fill="auto" w:val="clear"/>
                <w:em w:val="none"/>
                <w:lang w:eastAsia="ru-RU"/>
              </w:rPr>
            </w:r>
          </w:p>
        </w:tc>
        <w:tc>
          <w:tcPr>
            <w:tcW w:w="1554"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rPr>
            </w:pPr>
            <w:r>
              <w:rPr>
                <w:sz w:val="20"/>
                <w:szCs w:val="20"/>
              </w:rPr>
              <w:t>10</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0"/>
                <w:szCs w:val="20"/>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vAlign w:val="center"/>
          </w:tcPr>
          <w:p>
            <w:pPr>
              <w:pStyle w:val="Normal"/>
              <w:jc w:val="center"/>
              <w:rPr>
                <w:rFonts w:ascii="Times New Roman" w:hAnsi="Times New Roman"/>
                <w:b/>
                <w:bCs/>
                <w:sz w:val="20"/>
                <w:szCs w:val="20"/>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shd w:fill="auto" w:val="clear"/>
              </w:rPr>
            </w:pPr>
            <w:r>
              <w:rPr>
                <w:b/>
                <w:bCs/>
                <w:sz w:val="20"/>
                <w:szCs w:val="20"/>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b/>
                <w:bCs/>
                <w:sz w:val="20"/>
                <w:szCs w:val="20"/>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rFonts w:ascii="Times New Roman" w:hAnsi="Times New Roman"/>
                <w:b/>
                <w:bCs/>
                <w:sz w:val="20"/>
                <w:szCs w:val="20"/>
                <w:shd w:fill="auto" w:val="clear"/>
              </w:rPr>
            </w:pPr>
            <w:r>
              <w:rPr>
                <w:b/>
                <w:bCs/>
                <w:sz w:val="20"/>
                <w:szCs w:val="20"/>
                <w:shd w:fill="auto" w:val="clear"/>
              </w:rPr>
            </w:r>
          </w:p>
        </w:tc>
      </w:tr>
      <w:tr>
        <w:trPr>
          <w:trHeight w:val="1831" w:hRule="atLeast"/>
        </w:trPr>
        <w:tc>
          <w:tcPr>
            <w:tcW w:w="8763" w:type="dxa"/>
            <w:gridSpan w:val="3"/>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p>
            <w:pPr>
              <w:pStyle w:val="11"/>
              <w:rPr>
                <w:rFonts w:ascii="Times New Roman" w:hAnsi="Times New Roman" w:cs="Times New Roman"/>
                <w:b/>
                <w:bCs/>
                <w:sz w:val="20"/>
                <w:szCs w:val="20"/>
                <w:shd w:fill="auto" w:val="clear"/>
              </w:rPr>
            </w:pPr>
            <w:r>
              <w:rPr>
                <w:rFonts w:cs="Times New Roman" w:ascii="Times New Roman" w:hAnsi="Times New Roman"/>
                <w:b/>
                <w:bCs/>
                <w:sz w:val="20"/>
                <w:szCs w:val="20"/>
                <w:shd w:fill="auto" w:val="clear"/>
              </w:rPr>
            </w:r>
          </w:p>
          <w:p>
            <w:pPr>
              <w:pStyle w:val="11"/>
              <w:rPr>
                <w:rFonts w:ascii="Times New Roman" w:hAnsi="Times New Roman"/>
                <w:sz w:val="20"/>
                <w:szCs w:val="20"/>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shd w:fill="auto" w:val="clear"/>
              </w:rPr>
            </w:pPr>
            <w:r>
              <w:rPr>
                <w:rFonts w:cs="Times New Roman" w:ascii="Times New Roman" w:hAnsi="Times New Roman"/>
                <w:sz w:val="20"/>
                <w:szCs w:val="20"/>
                <w:shd w:fill="auto" w:val="clear"/>
              </w:rPr>
            </w:r>
          </w:p>
          <w:p>
            <w:pPr>
              <w:pStyle w:val="Normal"/>
              <w:rPr>
                <w:rFonts w:ascii="Times New Roman" w:hAnsi="Times New Roman"/>
                <w:sz w:val="20"/>
                <w:szCs w:val="20"/>
              </w:rPr>
            </w:pPr>
            <w:r>
              <w:rPr>
                <w:sz w:val="20"/>
                <w:szCs w:val="20"/>
                <w:shd w:fill="auto" w:val="clear"/>
              </w:rPr>
              <w:t>____________</w:t>
            </w:r>
          </w:p>
          <w:p>
            <w:pPr>
              <w:pStyle w:val="Normal"/>
              <w:tabs>
                <w:tab w:val="clear" w:pos="708"/>
                <w:tab w:val="left" w:pos="7680" w:leader="none"/>
              </w:tabs>
              <w:rPr>
                <w:rFonts w:ascii="Times New Roman" w:hAnsi="Times New Roman"/>
                <w:sz w:val="20"/>
                <w:szCs w:val="20"/>
              </w:rPr>
            </w:pPr>
            <w:r>
              <w:rPr>
                <w:sz w:val="20"/>
                <w:szCs w:val="20"/>
                <w:shd w:fill="auto" w:val="clear"/>
              </w:rPr>
              <w:t>м.п.</w:t>
            </w:r>
          </w:p>
        </w:tc>
        <w:tc>
          <w:tcPr>
            <w:tcW w:w="849" w:type="dxa"/>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407" w:type="dxa"/>
            <w:gridSpan w:val="2"/>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1419" w:type="dxa"/>
            <w:gridSpan w:val="2"/>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870" w:type="dxa"/>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tc>
        <w:tc>
          <w:tcPr>
            <w:tcW w:w="3405" w:type="dxa"/>
            <w:gridSpan w:val="2"/>
            <w:tcBorders/>
          </w:tcPr>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b/>
                <w:color w:val="000000"/>
                <w:sz w:val="20"/>
                <w:szCs w:val="20"/>
                <w:shd w:fill="auto" w:val="clear"/>
              </w:rPr>
            </w:pPr>
            <w:r>
              <w:rPr>
                <w:b/>
                <w:color w:val="000000"/>
                <w:sz w:val="20"/>
                <w:szCs w:val="20"/>
                <w:shd w:fill="auto" w:val="clear"/>
              </w:rPr>
            </w:r>
          </w:p>
          <w:p>
            <w:pPr>
              <w:pStyle w:val="Normal"/>
              <w:tabs>
                <w:tab w:val="clear" w:pos="708"/>
                <w:tab w:val="left" w:pos="7680" w:leader="none"/>
              </w:tabs>
              <w:rPr>
                <w:rFonts w:ascii="Times New Roman" w:hAnsi="Times New Roman"/>
                <w:sz w:val="20"/>
                <w:szCs w:val="20"/>
              </w:rPr>
            </w:pPr>
            <w:r>
              <w:rPr>
                <w:b/>
                <w:color w:val="000000"/>
                <w:sz w:val="20"/>
                <w:szCs w:val="20"/>
                <w:shd w:fill="auto" w:val="clear"/>
              </w:rPr>
              <w:t>Поставщик</w:t>
            </w:r>
          </w:p>
          <w:p>
            <w:pPr>
              <w:pStyle w:val="Normal"/>
              <w:tabs>
                <w:tab w:val="clear" w:pos="708"/>
                <w:tab w:val="left" w:pos="7680" w:leader="none"/>
              </w:tabs>
              <w:rPr>
                <w:rFonts w:ascii="Times New Roman" w:hAnsi="Times New Roman"/>
                <w:sz w:val="20"/>
                <w:szCs w:val="20"/>
              </w:rPr>
            </w:pPr>
            <w:r>
              <w:rPr>
                <w:bCs/>
                <w:color w:val="000000"/>
                <w:sz w:val="20"/>
                <w:szCs w:val="20"/>
                <w:shd w:fill="auto" w:val="clear"/>
              </w:rPr>
              <w:t>______________/</w:t>
            </w:r>
            <w:r>
              <w:rPr>
                <w:sz w:val="20"/>
                <w:szCs w:val="20"/>
                <w:shd w:fill="auto" w:val="clear"/>
              </w:rPr>
              <w:t xml:space="preserve"> </w:t>
            </w:r>
            <w:r>
              <w:rPr>
                <w:bCs/>
                <w:color w:val="000000"/>
                <w:sz w:val="20"/>
                <w:szCs w:val="20"/>
                <w:shd w:fill="auto" w:val="clear"/>
              </w:rPr>
              <w:t>______________</w:t>
            </w:r>
          </w:p>
          <w:p>
            <w:pPr>
              <w:pStyle w:val="Normal"/>
              <w:rPr>
                <w:rFonts w:ascii="Times New Roman" w:hAnsi="Times New Roman"/>
                <w:sz w:val="20"/>
                <w:szCs w:val="20"/>
              </w:rPr>
            </w:pPr>
            <w:r>
              <w:rPr>
                <w:sz w:val="20"/>
                <w:szCs w:val="20"/>
                <w:shd w:fill="auto" w:val="clear"/>
              </w:rPr>
              <w:t>м.п.</w:t>
            </w:r>
          </w:p>
        </w:tc>
      </w:tr>
    </w:tbl>
    <w:p>
      <w:pPr>
        <w:pStyle w:val="Normal"/>
        <w:spacing w:before="0" w:after="60"/>
        <w:rPr>
          <w:rFonts w:ascii="Times New Roman" w:hAnsi="Times New Roman"/>
          <w:b/>
          <w:bCs/>
          <w:sz w:val="20"/>
          <w:szCs w:val="20"/>
        </w:rPr>
      </w:pPr>
      <w:r>
        <w:rPr>
          <w:b/>
          <w:bCs/>
          <w:sz w:val="20"/>
          <w:szCs w:val="20"/>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name w:val="Текст концевой сноски Знак"/>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link w:val="ConsPlusNormal1"/>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link w:val="annotationsubject"/>
    <w:qFormat/>
    <w:rPr>
      <w:rFonts w:ascii="Times New Roman" w:hAnsi="Times New Roman" w:eastAsia="Times New Roman"/>
      <w:b/>
      <w:bCs/>
    </w:rPr>
  </w:style>
  <w:style w:type="character" w:styleId="Style17">
    <w:name w:val="Текст выноски Знак"/>
    <w:basedOn w:val="DefaultParagraphFont"/>
    <w:link w:val="BalloonText"/>
    <w:qFormat/>
    <w:rPr>
      <w:rFonts w:ascii="Tahoma" w:hAnsi="Tahoma" w:eastAsia="Times New Roman" w:cs="Tahoma"/>
      <w:sz w:val="16"/>
      <w:szCs w:val="16"/>
    </w:rPr>
  </w:style>
  <w:style w:type="character" w:styleId="Style18">
    <w:name w:val="Без интервала Знак"/>
    <w:link w:val="NoSpacing"/>
    <w:qFormat/>
    <w:rPr>
      <w:sz w:val="24"/>
      <w:szCs w:val="24"/>
    </w:rPr>
  </w:style>
  <w:style w:type="character" w:styleId="Hyperlink">
    <w:name w:val="Hyperlink"/>
    <w:basedOn w:val="DefaultParagraphFon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qFormat/>
    <w:pPr>
      <w:spacing w:before="0" w:after="0"/>
      <w:ind w:left="720"/>
      <w:contextualSpacing/>
    </w:pPr>
    <w:rPr/>
  </w:style>
  <w:style w:type="paragraph" w:styleId="Title">
    <w:name w:val="Title"/>
    <w:basedOn w:val="Normal"/>
    <w:next w:val="Normal"/>
    <w:link w:val="Style5"/>
    <w:qFormat/>
    <w:pPr>
      <w:spacing w:before="300" w:after="200"/>
      <w:contextualSpacing/>
    </w:pPr>
    <w:rPr>
      <w:sz w:val="48"/>
      <w:szCs w:val="48"/>
    </w:rPr>
  </w:style>
  <w:style w:type="paragraph" w:styleId="Subtitle">
    <w:name w:val="Subtitle"/>
    <w:basedOn w:val="Normal"/>
    <w:next w:val="Normal"/>
    <w:link w:val="Style6"/>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link w:val="Style7"/>
    <w:qFormat/>
    <w:pPr>
      <w:pBdr>
        <w:top w:val="single" w:sz="4" w:space="5" w:color="FFFFFF"/>
        <w:left w:val="single" w:sz="4" w:space="10" w:color="FFFFFF"/>
        <w:bottom w:val="single" w:sz="4" w:space="5" w:color="FFFFFF"/>
        <w:right w:val="single" w:sz="4" w:space="10" w:color="FFFFFF"/>
      </w:pBdr>
      <w:shd w:val="clear" w:fill="F2F2F2"/>
      <w:ind w:left="720" w:right="720"/>
    </w:pPr>
    <w:rPr>
      <w:i/>
    </w:rPr>
  </w:style>
  <w:style w:type="paragraph" w:styleId="FootnoteText">
    <w:name w:val="footnote text"/>
    <w:basedOn w:val="Normal"/>
    <w:link w:val="Style8"/>
    <w:pPr>
      <w:spacing w:before="0" w:after="40"/>
    </w:pPr>
    <w:rPr>
      <w:sz w:val="18"/>
    </w:rPr>
  </w:style>
  <w:style w:type="paragraph" w:styleId="EndnoteText">
    <w:name w:val="endnote text"/>
    <w:basedOn w:val="Normal"/>
    <w:link w:val="Style10"/>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IndexHeading">
    <w:name w:val="index heading"/>
    <w:basedOn w:val="user3"/>
    <w:pPr/>
    <w:rPr/>
  </w:style>
  <w:style w:type="paragraph" w:styleId="TOCHeading">
    <w:name w:val="TOC Heading"/>
    <w:qFormat/>
    <w:pPr>
      <w:widowControl/>
      <w:suppressAutoHyphens w:val="true"/>
      <w:overflowPunct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link w:val="Style12"/>
    <w:pPr>
      <w:ind w:firstLine="709"/>
      <w:jc w:val="both"/>
    </w:pPr>
    <w:rPr>
      <w:rFonts w:eastAsia="Calibri"/>
      <w:lang w:val="en-US"/>
    </w:rPr>
  </w:style>
  <w:style w:type="paragraph" w:styleId="ConsPlusNormal1">
    <w:name w:val="ConsPlusNormal"/>
    <w:link w:val="ConsPlusNormal"/>
    <w:qFormat/>
    <w:pPr>
      <w:widowControl w:val="false"/>
      <w:suppressAutoHyphens w:val="true"/>
      <w:overflowPunct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overflowPunct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pPr>
      <w:tabs>
        <w:tab w:val="clear" w:pos="708"/>
        <w:tab w:val="center" w:pos="4677" w:leader="none"/>
        <w:tab w:val="right" w:pos="9355" w:leader="none"/>
      </w:tabs>
    </w:pPr>
    <w:rPr/>
  </w:style>
  <w:style w:type="paragraph" w:styleId="Footer">
    <w:name w:val="footer"/>
    <w:basedOn w:val="Normal"/>
    <w:link w:val="Style14"/>
    <w:pPr>
      <w:tabs>
        <w:tab w:val="clear" w:pos="708"/>
        <w:tab w:val="center" w:pos="4677" w:leader="none"/>
        <w:tab w:val="right" w:pos="9355" w:leader="none"/>
      </w:tabs>
    </w:pPr>
    <w:rPr/>
  </w:style>
  <w:style w:type="paragraph" w:styleId="CommentText">
    <w:name w:val="annotation text"/>
    <w:basedOn w:val="Normal"/>
    <w:link w:val="Style15"/>
    <w:pPr/>
    <w:rPr/>
  </w:style>
  <w:style w:type="paragraph" w:styleId="annotationsubject">
    <w:name w:val="annotation subject"/>
    <w:basedOn w:val="CommentText"/>
    <w:next w:val="CommentText"/>
    <w:link w:val="Style16"/>
    <w:qFormat/>
    <w:pPr/>
    <w:rPr>
      <w:b/>
      <w:bCs/>
    </w:rPr>
  </w:style>
  <w:style w:type="paragraph" w:styleId="BalloonText">
    <w:name w:val="Balloon Text"/>
    <w:basedOn w:val="Normal"/>
    <w:link w:val="Style17"/>
    <w:qFormat/>
    <w:pPr/>
    <w:rPr>
      <w:rFonts w:ascii="Tahoma" w:hAnsi="Tahoma" w:cs="Tahoma"/>
      <w:sz w:val="16"/>
      <w:szCs w:val="16"/>
    </w:rPr>
  </w:style>
  <w:style w:type="paragraph" w:styleId="NoSpacing">
    <w:name w:val="No Spacing"/>
    <w:link w:val="Style18"/>
    <w:qFormat/>
    <w:pPr>
      <w:widowControl/>
      <w:suppressAutoHyphens w:val="true"/>
      <w:overflowPunct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overflowPunct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overflowPunct w:val="true"/>
      <w:bidi w:val="0"/>
      <w:spacing w:before="0" w:after="0"/>
      <w:jc w:val="left"/>
    </w:pPr>
    <w:rPr>
      <w:rFonts w:ascii="Trebuchet MS" w:hAnsi="Trebuchet MS" w:eastAsia="Calibri" w:cs="Trebuchet MS"/>
      <w:color w:val="000000"/>
      <w:kern w:val="0"/>
      <w:sz w:val="24"/>
      <w:szCs w:val="24"/>
      <w:lang w:val="ru-RU" w:eastAsia="zh-CN" w:bidi="ar-SA"/>
    </w:rPr>
  </w:style>
  <w:style w:type="paragraph" w:styleId="Style23">
    <w:name w:val="Содержимое таблицы"/>
    <w:basedOn w:val="Normal"/>
    <w:qFormat/>
    <w:pPr>
      <w:widowControl w:val="false"/>
      <w:suppressLineNumbers/>
    </w:pPr>
    <w:rPr/>
  </w:style>
  <w:style w:type="numbering" w:styleId="user8">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228</TotalTime>
  <Application>LibreOffice/25.2.6.2$Linux_X86_64 LibreOffice_project/520$Build-2</Application>
  <AppVersion>15.0000</AppVersion>
  <Pages>8</Pages>
  <Words>3359</Words>
  <Characters>24050</Characters>
  <CharactersWithSpaces>27937</CharactersWithSpaces>
  <Paragraphs>202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2026-08-21T09:54:49Z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