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 №_______/__________</w:t>
      </w:r>
    </w:p>
    <w:p>
      <w:pPr>
        <w:spacing w:after="0"/>
        <w:jc w:val="center"/>
        <w:rPr>
          <w:rFonts w:ascii="Times New Roman" w:hAnsi="Times New Roman" w:cs="Times New Roman"/>
          <w:b/>
          <w:sz w:val="24"/>
          <w:szCs w:val="24"/>
        </w:rPr>
      </w:pPr>
      <w:r>
        <w:rPr>
          <w:rFonts w:ascii="Times New Roman" w:hAnsi="Times New Roman" w:cs="Times New Roman"/>
          <w:b/>
          <w:sz w:val="24"/>
          <w:szCs w:val="24"/>
        </w:rPr>
        <w:t>на поставку товаров</w:t>
      </w:r>
    </w:p>
    <w:p>
      <w:pPr>
        <w:spacing w:after="0"/>
        <w:rPr>
          <w:rFonts w:ascii="Times New Roman" w:hAnsi="Times New Roman" w:cs="Times New Roman"/>
          <w:b/>
          <w:sz w:val="24"/>
          <w:szCs w:val="24"/>
        </w:rPr>
      </w:pPr>
    </w:p>
    <w:p>
      <w:pPr>
        <w:spacing w:after="0"/>
        <w:rPr>
          <w:rFonts w:ascii="Times New Roman" w:hAnsi="Times New Roman" w:cs="Times New Roman"/>
          <w:b/>
          <w:sz w:val="24"/>
          <w:szCs w:val="24"/>
        </w:rPr>
      </w:pPr>
      <w:r>
        <w:rPr>
          <w:rFonts w:ascii="Times New Roman" w:hAnsi="Times New Roman" w:cs="Times New Roman"/>
          <w:b/>
          <w:sz w:val="24"/>
          <w:szCs w:val="24"/>
        </w:rPr>
        <w:t>г. Краснодар                                                                                       «___» ___________202_ г.</w:t>
      </w:r>
    </w:p>
    <w:p>
      <w:pPr>
        <w:spacing w:after="0"/>
        <w:rPr>
          <w:rFonts w:ascii="Times New Roman" w:hAnsi="Times New Roman" w:cs="Times New Roman"/>
          <w:sz w:val="24"/>
          <w:szCs w:val="24"/>
        </w:rPr>
      </w:pPr>
    </w:p>
    <w:p>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bCs/>
          <w:sz w:val="24"/>
          <w:szCs w:val="24"/>
        </w:rPr>
        <w:t>Федеральное государственное бюджетное научное учреждение «Федеральный научный центр биологической защиты растений» (сокращённое наименование - ФГБНУ ФНЦБЗР)</w:t>
      </w:r>
      <w:r>
        <w:rPr>
          <w:rFonts w:ascii="Times New Roman" w:hAnsi="Times New Roman" w:cs="Times New Roman"/>
          <w:sz w:val="24"/>
          <w:szCs w:val="24"/>
        </w:rPr>
        <w:t xml:space="preserve">, именуемое в дальнейшем «Заказчик», </w:t>
      </w:r>
      <w:bookmarkStart w:id="0" w:name="_Hlk221093238"/>
      <w:r>
        <w:rPr>
          <w:rFonts w:ascii="Times New Roman" w:hAnsi="Times New Roman" w:cs="Times New Roman"/>
          <w:sz w:val="24"/>
          <w:szCs w:val="24"/>
        </w:rPr>
        <w:t>в лице заместителя директора по административно-хозяйственной деятельности Анориной Натальи Леонидовны, действующего на основании Доверенности № 3/01 от 02.02.2026</w:t>
      </w:r>
      <w:bookmarkEnd w:id="0"/>
      <w:r>
        <w:rPr>
          <w:rFonts w:ascii="Times New Roman" w:hAnsi="Times New Roman" w:cs="Times New Roman"/>
          <w:sz w:val="24"/>
          <w:szCs w:val="24"/>
        </w:rPr>
        <w:t>, с одной стороны,</w:t>
      </w:r>
      <w:r>
        <w:rPr>
          <w:rFonts w:hint="default" w:ascii="Times New Roman" w:hAnsi="Times New Roman" w:cs="Times New Roman"/>
          <w:sz w:val="24"/>
          <w:szCs w:val="24"/>
          <w:lang w:val="ru-RU"/>
        </w:rPr>
        <w:t xml:space="preserve"> </w:t>
      </w:r>
      <w:r>
        <w:rPr>
          <w:rFonts w:ascii="Times New Roman" w:hAnsi="Times New Roman" w:cs="Times New Roman"/>
          <w:sz w:val="24"/>
          <w:szCs w:val="24"/>
        </w:rPr>
        <w:t xml:space="preserve">и </w:t>
      </w:r>
      <w:bookmarkStart w:id="8" w:name="_GoBack"/>
      <w:r>
        <w:rPr>
          <w:rFonts w:ascii="Times New Roman" w:hAnsi="Times New Roman" w:cs="Times New Roman"/>
          <w:sz w:val="24"/>
          <w:szCs w:val="24"/>
          <w:highlight w:val="none"/>
        </w:rPr>
        <w:t>_____________________________________________________________________</w:t>
      </w:r>
      <w:r>
        <w:rPr>
          <w:rStyle w:val="4"/>
          <w:rFonts w:ascii="Times New Roman" w:hAnsi="Times New Roman" w:cs="Times New Roman"/>
          <w:sz w:val="24"/>
          <w:szCs w:val="24"/>
          <w:highlight w:val="none"/>
        </w:rPr>
        <w:footnoteReference w:id="0"/>
      </w:r>
      <w:r>
        <w:rPr>
          <w:rFonts w:ascii="Times New Roman" w:hAnsi="Times New Roman" w:cs="Times New Roman"/>
          <w:sz w:val="24"/>
          <w:szCs w:val="24"/>
          <w:highlight w:val="none"/>
        </w:rPr>
        <w:t>,</w:t>
      </w:r>
      <w:r>
        <w:rPr>
          <w:rFonts w:hint="default" w:ascii="Times New Roman" w:hAnsi="Times New Roman" w:cs="Times New Roman"/>
          <w:sz w:val="24"/>
          <w:szCs w:val="24"/>
          <w:highlight w:val="none"/>
          <w:lang w:val="ru-RU"/>
        </w:rPr>
        <w:t xml:space="preserve"> </w:t>
      </w:r>
      <w:r>
        <w:rPr>
          <w:rFonts w:ascii="Times New Roman" w:hAnsi="Times New Roman" w:cs="Times New Roman"/>
          <w:sz w:val="24"/>
          <w:szCs w:val="24"/>
          <w:highlight w:val="none"/>
        </w:rPr>
        <w:t>именуемое в дальнейшем «Поставщик», в лице ___________________</w:t>
      </w:r>
      <w:r>
        <w:rPr>
          <w:rStyle w:val="4"/>
          <w:rFonts w:ascii="Times New Roman" w:hAnsi="Times New Roman" w:cs="Times New Roman"/>
          <w:sz w:val="24"/>
          <w:szCs w:val="24"/>
          <w:highlight w:val="none"/>
        </w:rPr>
        <w:footnoteReference w:id="1"/>
      </w:r>
      <w:r>
        <w:rPr>
          <w:rFonts w:ascii="Times New Roman" w:hAnsi="Times New Roman" w:cs="Times New Roman"/>
          <w:sz w:val="24"/>
          <w:szCs w:val="24"/>
          <w:highlight w:val="none"/>
        </w:rPr>
        <w:t>,</w:t>
      </w:r>
      <w:bookmarkEnd w:id="8"/>
      <w:r>
        <w:rPr>
          <w:rFonts w:ascii="Times New Roman" w:hAnsi="Times New Roman" w:cs="Times New Roman"/>
          <w:sz w:val="24"/>
          <w:szCs w:val="24"/>
        </w:rPr>
        <w:t xml:space="preserve"> действующего на основании Устава</w:t>
      </w:r>
      <w:r>
        <w:rPr>
          <w:rStyle w:val="4"/>
          <w:rFonts w:ascii="Times New Roman" w:hAnsi="Times New Roman" w:cs="Times New Roman"/>
          <w:sz w:val="24"/>
          <w:szCs w:val="24"/>
        </w:rPr>
        <w:footnoteReference w:id="2"/>
      </w:r>
      <w:r>
        <w:rPr>
          <w:rFonts w:ascii="Times New Roman" w:hAnsi="Times New Roman" w:cs="Times New Roman"/>
          <w:sz w:val="24"/>
          <w:szCs w:val="24"/>
        </w:rPr>
        <w:t xml:space="preserve">, с другой стороны, а вместе именуемые «Стороны», и каждый в отдельности «Сторона», в соответствии с требованиями Федерального закона от 18 июля 2011 г. № 223-ФЗ «О закупках товаров, работ, услуг отдельными видами юридических лиц», на основании пп. </w:t>
      </w:r>
      <w:r>
        <w:rPr>
          <w:rFonts w:hint="default" w:ascii="Times New Roman" w:hAnsi="Times New Roman" w:cs="Times New Roman"/>
          <w:sz w:val="24"/>
          <w:szCs w:val="24"/>
          <w:highlight w:val="none"/>
          <w:lang w:val="ru-RU"/>
        </w:rPr>
        <w:t>54</w:t>
      </w:r>
      <w:r>
        <w:rPr>
          <w:rFonts w:ascii="Times New Roman" w:hAnsi="Times New Roman" w:cs="Times New Roman"/>
          <w:sz w:val="24"/>
          <w:szCs w:val="24"/>
        </w:rPr>
        <w:t xml:space="preserve"> п. 1 раздела 2 главы </w:t>
      </w:r>
      <w:r>
        <w:rPr>
          <w:rFonts w:ascii="Times New Roman" w:hAnsi="Times New Roman" w:cs="Times New Roman"/>
          <w:sz w:val="24"/>
          <w:szCs w:val="24"/>
          <w:lang w:val="en-US"/>
        </w:rPr>
        <w:t>IV</w:t>
      </w:r>
      <w:r>
        <w:rPr>
          <w:rFonts w:ascii="Times New Roman" w:hAnsi="Times New Roman" w:cs="Times New Roman"/>
          <w:sz w:val="24"/>
          <w:szCs w:val="24"/>
        </w:rPr>
        <w:t xml:space="preserve"> Положения о закупке товаров, работ, услуг для нужд Федерального государственного бюджетного научного учреждения «Федеральный научный центр биологической защиты растений», утвержденного МИНОБРНАУКИ РОССИИ 27 апреля 2022 года, заключили настоящий Договор (далее - Договор) о нижеследующем</w:t>
      </w:r>
      <w:r>
        <w:rPr>
          <w:rFonts w:ascii="Times New Roman" w:hAnsi="Times New Roman" w:cs="Times New Roman"/>
          <w:b/>
          <w:sz w:val="24"/>
          <w:szCs w:val="24"/>
        </w:rPr>
        <w:t>:</w:t>
      </w:r>
    </w:p>
    <w:p>
      <w:pPr>
        <w:spacing w:after="0" w:line="240" w:lineRule="auto"/>
        <w:jc w:val="both"/>
        <w:rPr>
          <w:rFonts w:ascii="Times New Roman" w:hAnsi="Times New Roman" w:cs="Times New Roman"/>
          <w:b/>
          <w:sz w:val="24"/>
          <w:szCs w:val="24"/>
        </w:rPr>
      </w:pPr>
    </w:p>
    <w:p>
      <w:pPr>
        <w:jc w:val="center"/>
        <w:rPr>
          <w:rFonts w:ascii="Times New Roman" w:hAnsi="Times New Roman" w:cs="Times New Roman"/>
          <w:b/>
          <w:caps/>
          <w:sz w:val="24"/>
          <w:szCs w:val="24"/>
        </w:rPr>
      </w:pPr>
      <w:r>
        <w:rPr>
          <w:rFonts w:ascii="Times New Roman" w:hAnsi="Times New Roman" w:cs="Times New Roman"/>
          <w:b/>
          <w:caps/>
          <w:sz w:val="24"/>
          <w:szCs w:val="24"/>
        </w:rPr>
        <w:t>1. ПРЕДМЕТ ДОГОВОРА</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Поставщик обязуется в согласованные сроки передать в собственность Заказчику товар согласно Спецификации (Приложение), а Заказчик принять и оплатить товар, в соответствии с условиями Договора.</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Наименование, количество и описание товара определяется в Спецификации, являющейся неотъемлемой частью Договора.</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 Поставляемый товар должен быть новым, не использованным в качестве выставочного образца, не бывшим в употреблении, в ремонте, не восстановленным, у которого не была осуществлена замена составных частей, не были восстановлены потребительские свойства, с действующим сроком годности.</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Товар должен быть свободным от прав третьих лиц, не находящимся под арестом, не являющимся предметом спора или залога.</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 Товар доставляется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Стоимость упаковки (тары) включена в цену товара и возврату не подлежит.</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 Упаковка и маркировка должны соответствовать требованиям нормативно-технической документации для данного вида товара.</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 Товар, а также упаковка (тара), маркировка не должны иметь никаких повреждений, влияющих на дальнейшее хранение и использование товара, а также не должны иметь следов его предшествующего использования.</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pPr>
        <w:jc w:val="center"/>
        <w:rPr>
          <w:rFonts w:ascii="Times New Roman" w:hAnsi="Times New Roman" w:cs="Times New Roman"/>
          <w:b/>
          <w:caps/>
          <w:sz w:val="24"/>
          <w:szCs w:val="24"/>
        </w:rPr>
      </w:pPr>
      <w:r>
        <w:rPr>
          <w:rFonts w:ascii="Times New Roman" w:hAnsi="Times New Roman" w:cs="Times New Roman"/>
          <w:b/>
          <w:caps/>
          <w:sz w:val="24"/>
          <w:szCs w:val="24"/>
        </w:rPr>
        <w:t>2. Цена Договора и порядок расчетов</w:t>
      </w:r>
    </w:p>
    <w:p>
      <w:pPr>
        <w:pStyle w:val="8"/>
        <w:suppressAutoHyphens/>
        <w:ind w:left="0"/>
      </w:pPr>
      <w:r>
        <w:tab/>
      </w:r>
      <w:r>
        <w:t xml:space="preserve">2.1. </w:t>
      </w:r>
      <w:r>
        <w:rPr>
          <w:highlight w:val="none"/>
        </w:rPr>
        <w:t>Цена Договора составляет _________ (</w:t>
      </w:r>
      <w:r>
        <w:rPr>
          <w:i/>
          <w:iCs/>
          <w:sz w:val="20"/>
          <w:highlight w:val="none"/>
        </w:rPr>
        <w:t>сумма прописью</w:t>
      </w:r>
      <w:r>
        <w:rPr>
          <w:highlight w:val="none"/>
        </w:rPr>
        <w:t xml:space="preserve">) руб. ___ коп., включая НДС ___% </w:t>
      </w:r>
      <w:r>
        <w:rPr>
          <w:rStyle w:val="4"/>
          <w:highlight w:val="none"/>
        </w:rPr>
        <w:footnoteReference w:id="3"/>
      </w:r>
      <w:r>
        <w:rPr>
          <w:highlight w:val="none"/>
        </w:rPr>
        <w:t>_________ (</w:t>
      </w:r>
      <w:r>
        <w:rPr>
          <w:i/>
          <w:iCs/>
          <w:sz w:val="20"/>
          <w:highlight w:val="none"/>
        </w:rPr>
        <w:t>сумма прописью</w:t>
      </w:r>
      <w:r>
        <w:rPr>
          <w:highlight w:val="none"/>
        </w:rPr>
        <w:t xml:space="preserve">) руб. ___ коп. </w:t>
      </w:r>
      <w:r>
        <w:t xml:space="preserve"> </w:t>
      </w:r>
    </w:p>
    <w:p>
      <w:pPr>
        <w:pStyle w:val="8"/>
        <w:suppressAutoHyphens/>
        <w:ind w:left="0"/>
      </w:pPr>
      <w:r>
        <w:t xml:space="preserve"> </w:t>
      </w:r>
      <w:r>
        <w:tab/>
      </w:r>
      <w:r>
        <w:t>2.2. Цена Договора является твердой и не подлежит изменению на весь срок его действия.</w:t>
      </w:r>
    </w:p>
    <w:p>
      <w:pPr>
        <w:pStyle w:val="8"/>
        <w:suppressAutoHyphens/>
        <w:ind w:left="0"/>
      </w:pPr>
      <w:r>
        <w:tab/>
      </w:r>
      <w:r>
        <w:t>2.3. Цена Договора включает все расходы Поставщика, связанные с исполнением обязательств по Договору, в том числе 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p>
    <w:p>
      <w:pPr>
        <w:pStyle w:val="8"/>
        <w:suppressAutoHyphens/>
        <w:ind w:left="0"/>
        <w:rPr>
          <w:szCs w:val="24"/>
        </w:rPr>
      </w:pPr>
      <w:r>
        <w:tab/>
      </w:r>
      <w:r>
        <w:t>2.4.</w:t>
      </w:r>
      <w:r>
        <w:rPr>
          <w:szCs w:val="24"/>
        </w:rPr>
        <w:t xml:space="preserve"> Оплата по Договору Заказчиком производится в рублях Российской Федерации на расчетный счет Поставщика в срок не более 7 рабочих дней с даты подписания Заказчиком документа о приемке, указанного в пункте 3.7. Договора на основании предоставленного Поставщиком счета. </w:t>
      </w:r>
    </w:p>
    <w:p>
      <w:pPr>
        <w:pStyle w:val="8"/>
        <w:suppressAutoHyphens/>
        <w:ind w:left="0"/>
        <w:rPr>
          <w:szCs w:val="24"/>
        </w:rPr>
      </w:pPr>
      <w:r>
        <w:rPr>
          <w:szCs w:val="24"/>
        </w:rPr>
        <w:tab/>
      </w:r>
      <w:r>
        <w:rPr>
          <w:szCs w:val="24"/>
        </w:rPr>
        <w:t>2.5. В случае, если доставка товара будет осуществляться отдельными частями (партиями), указанный в п. 2.4. срок будет отсчитываться после доставки последней части товара.</w:t>
      </w:r>
    </w:p>
    <w:p>
      <w:pPr>
        <w:pStyle w:val="8"/>
        <w:suppressAutoHyphens/>
        <w:ind w:left="0" w:firstLine="708"/>
        <w:rPr>
          <w:szCs w:val="24"/>
        </w:rPr>
      </w:pPr>
      <w:r>
        <w:rPr>
          <w:szCs w:val="24"/>
        </w:rPr>
        <w:t>2.6.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8"/>
        <w:suppressAutoHyphens/>
        <w:ind w:left="0" w:firstLine="708"/>
        <w:rPr>
          <w:szCs w:val="24"/>
        </w:rPr>
      </w:pPr>
      <w:r>
        <w:rPr>
          <w:szCs w:val="24"/>
        </w:rPr>
        <w:t xml:space="preserve">2.7. Оплату по Договору отнести на счет </w:t>
      </w:r>
      <w:r>
        <w:rPr>
          <w:szCs w:val="24"/>
          <w:highlight w:val="none"/>
          <w:lang w:val="ru-RU"/>
        </w:rPr>
        <w:t>внебюджетных</w:t>
      </w:r>
      <w:r>
        <w:rPr>
          <w:rFonts w:hint="default"/>
          <w:szCs w:val="24"/>
          <w:highlight w:val="none"/>
          <w:lang w:val="ru-RU"/>
        </w:rPr>
        <w:t xml:space="preserve"> средств</w:t>
      </w:r>
      <w:r>
        <w:rPr>
          <w:szCs w:val="24"/>
        </w:rPr>
        <w:t>.</w:t>
      </w:r>
      <w:r>
        <w:rPr>
          <w:rStyle w:val="4"/>
          <w:szCs w:val="24"/>
        </w:rPr>
        <w:footnoteReference w:id="4"/>
      </w:r>
    </w:p>
    <w:p>
      <w:pPr>
        <w:pStyle w:val="8"/>
        <w:suppressAutoHyphens/>
        <w:ind w:left="0"/>
        <w:rPr>
          <w:b/>
          <w:caps/>
          <w:szCs w:val="24"/>
        </w:rPr>
      </w:pPr>
    </w:p>
    <w:p>
      <w:pPr>
        <w:pStyle w:val="8"/>
        <w:suppressAutoHyphens/>
        <w:ind w:left="0"/>
        <w:jc w:val="center"/>
        <w:rPr>
          <w:b/>
          <w:caps/>
          <w:szCs w:val="24"/>
        </w:rPr>
      </w:pPr>
      <w:r>
        <w:rPr>
          <w:b/>
          <w:caps/>
          <w:szCs w:val="24"/>
        </w:rPr>
        <w:t>3. Порядок поставки и приемки Товара</w:t>
      </w:r>
    </w:p>
    <w:p>
      <w:pPr>
        <w:pStyle w:val="8"/>
        <w:suppressAutoHyphens/>
        <w:ind w:left="0"/>
        <w:rPr>
          <w:szCs w:val="24"/>
        </w:rPr>
      </w:pPr>
    </w:p>
    <w:p>
      <w:pPr>
        <w:pStyle w:val="8"/>
        <w:suppressAutoHyphens/>
        <w:ind w:left="0"/>
        <w:rPr>
          <w:szCs w:val="24"/>
        </w:rPr>
      </w:pPr>
      <w:r>
        <w:rPr>
          <w:szCs w:val="24"/>
        </w:rPr>
        <w:tab/>
      </w:r>
      <w:r>
        <w:rPr>
          <w:szCs w:val="24"/>
        </w:rPr>
        <w:t xml:space="preserve">3.1. Досрочная поставка товара, поставка товара частями допускается по согласованию Сторон. </w:t>
      </w:r>
    </w:p>
    <w:p>
      <w:pPr>
        <w:pStyle w:val="8"/>
        <w:suppressAutoHyphens/>
        <w:ind w:left="0" w:firstLine="708"/>
        <w:rPr>
          <w:szCs w:val="24"/>
        </w:rPr>
      </w:pPr>
      <w:r>
        <w:rPr>
          <w:szCs w:val="24"/>
        </w:rPr>
        <w:t>3.2.</w:t>
      </w:r>
      <w:r>
        <w:rPr>
          <w:szCs w:val="24"/>
        </w:rPr>
        <w:tab/>
      </w:r>
      <w:r>
        <w:rPr>
          <w:szCs w:val="24"/>
        </w:rPr>
        <w:t xml:space="preserve">Место, сроки, иные условия поставки указываются в  Спецификации. </w:t>
      </w:r>
    </w:p>
    <w:p>
      <w:pPr>
        <w:pStyle w:val="8"/>
        <w:suppressAutoHyphens/>
        <w:ind w:left="0" w:firstLine="709"/>
        <w:rPr>
          <w:szCs w:val="24"/>
        </w:rPr>
      </w:pPr>
      <w:r>
        <w:rPr>
          <w:szCs w:val="24"/>
        </w:rPr>
        <w:t>3.3.</w:t>
      </w:r>
      <w:r>
        <w:rPr>
          <w:szCs w:val="24"/>
        </w:rPr>
        <w:tab/>
      </w:r>
      <w:r>
        <w:rPr>
          <w:szCs w:val="24"/>
        </w:rPr>
        <w:t xml:space="preserve">Право собственности на товар, риск случайной гибели или случайного повреждения товара переходит от Поставщика к Заказчику с момента передачи товара Заказчику. </w:t>
      </w:r>
    </w:p>
    <w:p>
      <w:pPr>
        <w:pStyle w:val="8"/>
        <w:suppressAutoHyphens/>
        <w:ind w:left="0"/>
        <w:rPr>
          <w:szCs w:val="24"/>
        </w:rPr>
      </w:pPr>
      <w:r>
        <w:rPr>
          <w:szCs w:val="24"/>
        </w:rPr>
        <w:tab/>
      </w:r>
      <w:r>
        <w:rPr>
          <w:szCs w:val="24"/>
        </w:rPr>
        <w:t>3.4. В случае если законодательством Российской Федерации предусмотрены требования, предъявляемые к лицам, доставляющим товар, то вышеуказанные лица должны соответствовать таким требованиям.</w:t>
      </w:r>
    </w:p>
    <w:p>
      <w:pPr>
        <w:pStyle w:val="8"/>
        <w:suppressAutoHyphens/>
        <w:ind w:left="0"/>
        <w:rPr>
          <w:szCs w:val="24"/>
        </w:rPr>
      </w:pPr>
      <w:r>
        <w:rPr>
          <w:szCs w:val="24"/>
        </w:rPr>
        <w:tab/>
      </w:r>
      <w:r>
        <w:rPr>
          <w:szCs w:val="24"/>
        </w:rPr>
        <w:t>3.5. 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w:t>
      </w:r>
      <w:r>
        <w:t xml:space="preserve"> а также </w:t>
      </w:r>
      <w:r>
        <w:rPr>
          <w:szCs w:val="24"/>
        </w:rPr>
        <w:t>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 Поставляемый товар должен соответствовать действующему законодательству Российской Федерации в части обязательной маркировки товара, включая требования системы «Честный знак» (применительно к соответствующим группам товаров). Условия о маркировке распространяются на поставку товара, включенного в перечень товаров, подлежащих обязательной маркировке средствами идентификации. Заказчик вправе отказаться от приемки товара при отсутствии маркировки либо несоответствии кодов.</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Риск наступления неблагоприятных для Заказчика последствий в связи с неисполнением настоящего пункта несет Поставщик; ущерб, причиненный Заказчику в случае привлечения его к ответственности, может быть взыскан с Поставщика.</w:t>
      </w:r>
    </w:p>
    <w:p>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3.7. По итогам приемки товара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Акт приемки формируется Заказчиком на основании данных документов, подтверждающих поставку товаров. </w:t>
      </w:r>
    </w:p>
    <w:p>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3.8. Участие в приемке товара представителя Поставщика или представителя незаинтересованной организации и подписание ими Акта приемки не является обязательным.</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проведения приемки товара в отсутствие Поставщика Акт приемки утверждается без подписи Поставщика.  Скан-копия акта приемки направляется Поставщику по его запросу. </w:t>
      </w:r>
    </w:p>
    <w:p>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3.9.</w:t>
      </w:r>
      <w:r>
        <w:rPr>
          <w:rFonts w:ascii="Times New Roman" w:hAnsi="Times New Roman" w:cs="Times New Roman"/>
          <w:sz w:val="24"/>
          <w:szCs w:val="24"/>
        </w:rPr>
        <w:tab/>
      </w:r>
      <w:r>
        <w:rPr>
          <w:rFonts w:ascii="Times New Roman" w:hAnsi="Times New Roman" w:cs="Times New Roman"/>
          <w:sz w:val="24"/>
          <w:szCs w:val="24"/>
        </w:rPr>
        <w:t>Для приемки товара Заказчик вправе провести экспертизу. Срок проведения экспертизы составляет не более 3-х рабочих дней со дня поставки товара и входит в срок приемки.</w:t>
      </w:r>
    </w:p>
    <w:p>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Экспертиза   товара проводится на предмет его соответствия условиям Договора. Экспертиза товара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3.11.</w:t>
      </w:r>
      <w:r>
        <w:rPr>
          <w:rFonts w:ascii="Times New Roman" w:hAnsi="Times New Roman" w:cs="Times New Roman"/>
          <w:sz w:val="24"/>
          <w:szCs w:val="24"/>
        </w:rPr>
        <w:tab/>
      </w:r>
      <w:r>
        <w:rPr>
          <w:rFonts w:ascii="Times New Roman" w:hAnsi="Times New Roman" w:cs="Times New Roman"/>
          <w:sz w:val="24"/>
          <w:szCs w:val="24"/>
        </w:rPr>
        <w:t xml:space="preserve">По решению Заказчика приемка товара может осуществляться приемочной комиссией. </w:t>
      </w:r>
    </w:p>
    <w:p>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3.12.</w:t>
      </w:r>
      <w:r>
        <w:rPr>
          <w:rFonts w:ascii="Times New Roman" w:hAnsi="Times New Roman" w:cs="Times New Roman"/>
          <w:sz w:val="24"/>
          <w:szCs w:val="24"/>
        </w:rPr>
        <w:tab/>
      </w:r>
      <w:r>
        <w:rPr>
          <w:rFonts w:ascii="Times New Roman" w:hAnsi="Times New Roman" w:cs="Times New Roman"/>
          <w:sz w:val="24"/>
          <w:szCs w:val="24"/>
        </w:rPr>
        <w:t>Приемка товара осуществляется в срок не более 5-ти рабочих дней со дня поставки товара и оформляется Актом приемки либо в те же сроки Заказчик направляет поставщику письменный мотивированный отказ от подписания такого документа.</w:t>
      </w:r>
    </w:p>
    <w:p>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3.13.</w:t>
      </w:r>
      <w:r>
        <w:rPr>
          <w:rFonts w:ascii="Times New Roman" w:hAnsi="Times New Roman" w:cs="Times New Roman"/>
          <w:sz w:val="24"/>
          <w:szCs w:val="24"/>
        </w:rPr>
        <w:tab/>
      </w:r>
      <w:r>
        <w:rPr>
          <w:rFonts w:ascii="Times New Roman" w:hAnsi="Times New Roman" w:cs="Times New Roman"/>
          <w:sz w:val="24"/>
          <w:szCs w:val="24"/>
        </w:rPr>
        <w:t>Заказчик отказывает в приемке товара в случае несоответствия товара условиям Договора, за исключением случая, если недостатки товара устранены поставщиком в приемлемый для Заказчика срок.</w:t>
      </w:r>
    </w:p>
    <w:p>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3.14. В случае поставки товара ненадлежащего качества Поставщик вправе предъявить Поставщику требования о:</w:t>
      </w:r>
    </w:p>
    <w:p>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соразмерном уменьшении покупной цены;</w:t>
      </w:r>
    </w:p>
    <w:p>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безвозмездном устранении недостатков товара в разумный срок;</w:t>
      </w:r>
    </w:p>
    <w:p>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возмещении своих расходов на устранение недостатков товара, 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pPr>
        <w:tabs>
          <w:tab w:val="left" w:pos="0"/>
        </w:tabs>
        <w:autoSpaceDE w:val="0"/>
        <w:autoSpaceDN w:val="0"/>
        <w:adjustRightInd w:val="0"/>
        <w:spacing w:after="0" w:line="240" w:lineRule="auto"/>
        <w:jc w:val="both"/>
        <w:rPr>
          <w:rFonts w:ascii="Times New Roman" w:hAnsi="Times New Roman" w:cs="Times New Roman"/>
          <w:sz w:val="24"/>
          <w:szCs w:val="24"/>
        </w:rPr>
      </w:pPr>
    </w:p>
    <w:p>
      <w:pPr>
        <w:tabs>
          <w:tab w:val="left" w:pos="0"/>
        </w:tabs>
        <w:autoSpaceDE w:val="0"/>
        <w:autoSpaceDN w:val="0"/>
        <w:adjustRightInd w:val="0"/>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4. Гарантии качества товара</w:t>
      </w:r>
    </w:p>
    <w:p>
      <w:pPr>
        <w:spacing w:after="0" w:line="240" w:lineRule="auto"/>
        <w:jc w:val="center"/>
        <w:rPr>
          <w:rFonts w:ascii="Times New Roman" w:hAnsi="Times New Roman" w:cs="Times New Roman"/>
          <w:b/>
          <w:caps/>
          <w:sz w:val="24"/>
          <w:szCs w:val="24"/>
        </w:rPr>
      </w:pP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Поставщик гарантирует:</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4.1.1. Соблюдение надлежащих условий хранения товара до его передачи Заказчику;</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4.1.2. Надлежащее выполнение контроля качества и безопасности, соблюдения требований нормативных правовых актов и технических документов к условиям изготовления и оборота товара;</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4.1.3. Наличие обязательных сертификатов на ввозимый на территорию Российской Федерации товар. Товар, поставляемый по Договору, на момент доставки должен иметь статус находящегося в свободном обращении на таможенной территории Евразийского экономического союза.</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4.1.4.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Гарантийный срок на поставленный товар устанавливается равным гарантийному сроку, предоставляемому изготовителем соответствующего товара, а если такой не установлен - не менее </w:t>
      </w:r>
      <w:r>
        <w:rPr>
          <w:rFonts w:ascii="Times New Roman" w:hAnsi="Times New Roman" w:cs="Times New Roman"/>
          <w:i/>
          <w:iCs/>
          <w:sz w:val="24"/>
          <w:szCs w:val="24"/>
        </w:rPr>
        <w:t>12</w:t>
      </w:r>
      <w:r>
        <w:rPr>
          <w:rStyle w:val="4"/>
          <w:rFonts w:ascii="Times New Roman" w:hAnsi="Times New Roman" w:cs="Times New Roman"/>
          <w:i/>
          <w:iCs/>
          <w:sz w:val="24"/>
          <w:szCs w:val="24"/>
        </w:rPr>
        <w:footnoteReference w:id="5"/>
      </w:r>
      <w:r>
        <w:rPr>
          <w:rFonts w:ascii="Times New Roman" w:hAnsi="Times New Roman" w:cs="Times New Roman"/>
          <w:sz w:val="24"/>
          <w:szCs w:val="24"/>
        </w:rPr>
        <w:t xml:space="preserve"> месяцев с даты</w:t>
      </w:r>
      <w:r>
        <w:rPr>
          <w:rFonts w:hint="default" w:ascii="Times New Roman" w:hAnsi="Times New Roman" w:cs="Times New Roman"/>
          <w:sz w:val="24"/>
          <w:szCs w:val="24"/>
          <w:lang w:val="ru-RU"/>
        </w:rPr>
        <w:t xml:space="preserve"> приемки товара Заказчиком</w:t>
      </w:r>
      <w:r>
        <w:rPr>
          <w:rStyle w:val="4"/>
          <w:rFonts w:ascii="Times New Roman" w:hAnsi="Times New Roman" w:cs="Times New Roman"/>
          <w:sz w:val="24"/>
          <w:szCs w:val="24"/>
        </w:rPr>
        <w:footnoteReference w:id="6"/>
      </w:r>
      <w:r>
        <w:rPr>
          <w:rFonts w:ascii="Times New Roman" w:hAnsi="Times New Roman" w:cs="Times New Roman"/>
          <w:sz w:val="24"/>
          <w:szCs w:val="24"/>
        </w:rPr>
        <w:t>.</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 Гарантия качества товара распространяется и на все составляющие его части (комплектующие изделия).</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4.6.  Если Заказчик лишен возможности использовать товар по обстоятельствам, зависящим от Поставщика, гарантийный срок не исчисляется до устранения соответствующих обстоятельств Поставщиком.</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4.7 Гарантийный срок продлевается на время, в течение которого Товар не мог использоваться из-за обнаруженных в нем недостатков, при условии направления извещения Поставщику о недостатках товара в срок не более 10 рабочих дней с даты составления акта о выявленных недостатках.</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4.8. Поставщик гарантирует полную комплектность документации на товар в случае ее необходимости. Поставщик не вправе ссылаться на нарушение Заказчиком условий хранения, использования товара в случае, если документы, регламентирующие условия хранения, использования товара (ТУ, паспорт и т.п.), не были представлены Заказчику Поставщиком вместе с товаром.</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4.9. Если в течение гарантийного срока Заказчик обнаружит дефекты/недостатки товара или его части, Заказчик должен письменно уведомить об этом Поставщика. Полномочный представитель Поставщика обязан прибыть к месту нахождения товара в течение 5-ти календарных дней с момента получения письменного уведомления Заказчика для составления акта о выявленных недостатках либо дать согласие на составление акта в одностороннем порядке. </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4.10. Сторона, несогласная с содержанием акта, обязана подписать акт о выявленных недостатках с оговоркой о несогласии и изложить своё мнение. </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4.11. Если в течение 3-х календарных дней с момента получения Поставщиком письменного уведомления Заказчика Поставщик не сообщит о своем участии в составлении акта о выявленных недостатках, либо по прибытии откажется от его подписания, Заказчик вправе составить акт о выявленных недостатках в одностороннем порядке. Заказчик также вправе привлечь к составлению акта о выявленных недостатках независимого эксперта с отнесением расходов на Поставщика, а Поставщик обязан возместить такие расходы в течение 10 рабочих дней с даты направления Заказчиком соответствующего требования.</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4.12. Поставщик должен устранить дефекты/недостатки товара в течение 5-ти рабочих дней, если иной срок не согласован Заказчиком. </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4.13. Вывоз забракованного товара и предоставление взамен надлежащего товара Поставщик осуществляет своими силами и за свой счет (включая, но не ограничиваясь: демонтаж/монтаж забракованного товара, погрузочно-разгрузочные работы, все транспортные расходы по перевозке забракованного товара, по доставке надлежащего товара к месту нахождения товара, иные платежи и сборы). В случае, если указанные действия (или какое-либо из действий, необходимых для замены некачественного товара) осуществляются Заказчиком, Поставщик возмещает Заказчику документально подтвержденные расходы в течение 5-ти рабочих дней с даты предъявления соответствующего требования Заказчика.</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4.14. Если Поставщик не устранит выявленные недостатки/дефекты или не заменит дефектный товар или его составляющие части в течение 5-ти рабочих дней, согласно п. 4.12 Договора,  если иной срок не согласован Заказчиком, Заказчик имеет право по своему выбору на совершение следующих действий:</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устранить/исправить дефекты самостоятельно, без ущерба для гарантии, и потребовать возмещения Поставщиком понесенных Заказчиком расходов на устранение/исправление дефектов. В этом случае Поставщик, по требованию Заказчика, обязан возместить Заказчику все понесенные последним расходы в течение 10-ти рабочих дней с даты направления соответствующего требования.</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отказаться от дефектного товара или составляющих его частей и потребовать возврата уплаченных за него денежных средств, при этом Поставщик обязан произвести возврат денег и распорядиться таким товаром в течение 10-ти рабочих дней с даты направления соответствующего требования.</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4.15.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даты передачи такого товара Заказчику.</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pPr>
        <w:jc w:val="center"/>
        <w:rPr>
          <w:rFonts w:ascii="Times New Roman" w:hAnsi="Times New Roman" w:cs="Times New Roman"/>
          <w:b/>
          <w:caps/>
          <w:sz w:val="24"/>
          <w:szCs w:val="24"/>
        </w:rPr>
      </w:pPr>
      <w:r>
        <w:rPr>
          <w:rFonts w:ascii="Times New Roman" w:hAnsi="Times New Roman" w:cs="Times New Roman"/>
          <w:b/>
          <w:caps/>
          <w:sz w:val="24"/>
          <w:szCs w:val="24"/>
        </w:rPr>
        <w:t>5. Ответственность Сторон</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rPr>
        <w:tab/>
      </w:r>
      <w:r>
        <w:rPr>
          <w:rFonts w:ascii="Times New Roman" w:hAnsi="Times New Roman" w:cs="Times New Roman"/>
          <w:sz w:val="24"/>
          <w:szCs w:val="24"/>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 Ни одна из сторон настоящего Договора не несет ответственности перед другой стороной за невыполнение обязательств, обусловленных форс-мажорными обстоятельствами.</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5.6.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но не менее 500 рублей.    </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размере 1000 рублей. Обязательствами, не имеющими стоимостного выражения являются непредставление документов, указанных в п. 3.5 настоящего Договора, иных документов, необходимых для эксплуатации товара. </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5.11. Поставщик обязуется уплатить Заказчику неустойку/другие суммы, оплата которых предусмотрена Договором, в течении 3-х рабочих дней с даты направления соответствующего требования Заказчика.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 </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5.12. Риск наступления неблагоприятных для Заказчика последствий в связи с ненадлежащим исполнением обязательств по настоящему Договору, несет Поставщик. Причиненный Заказчику в связи с этим ущерб, в случае привлечения его к ответственности органами власти, может быть взыскан с Поставщика.</w:t>
      </w:r>
    </w:p>
    <w:p>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r>
    </w:p>
    <w:p>
      <w:pPr>
        <w:jc w:val="center"/>
        <w:rPr>
          <w:rFonts w:ascii="Times New Roman" w:hAnsi="Times New Roman" w:cs="Times New Roman"/>
          <w:b/>
          <w:caps/>
          <w:sz w:val="24"/>
          <w:szCs w:val="24"/>
        </w:rPr>
      </w:pPr>
      <w:r>
        <w:rPr>
          <w:rFonts w:ascii="Times New Roman" w:hAnsi="Times New Roman" w:cs="Times New Roman"/>
          <w:b/>
          <w:caps/>
          <w:sz w:val="24"/>
          <w:szCs w:val="24"/>
        </w:rPr>
        <w:t>6. Антикоррупционная оговорка</w:t>
      </w:r>
    </w:p>
    <w:p>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6.1.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6.2.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6.1, в том числе со стороны руководства или работников Сторон, третьих лиц.</w:t>
      </w:r>
    </w:p>
    <w:p>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6.3.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6.4. Сторонам, их руководителям и работникам запрещается:</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совершать иные действия, нарушающие действующее антикоррупционное законодательство Российской Федерации.</w:t>
      </w:r>
    </w:p>
    <w:p>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6.5.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 Подтверждение должно быть направлено не позднее 5 (пяти) рабочих дней с даты получения письменного уведомления.</w:t>
      </w:r>
    </w:p>
    <w:p>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6.6.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6.7. В отношении третьих лиц Стороны обязуются:</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не привлекать их в качестве канала для совершения коррупционных действий;</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не осуществлять им выплат, превышающих размер соответствующего вознаграждения за оказываемые ими законные услуги.</w:t>
      </w:r>
    </w:p>
    <w:p>
      <w:pPr>
        <w:autoSpaceDE w:val="0"/>
        <w:autoSpaceDN w:val="0"/>
        <w:adjustRightInd w:val="0"/>
        <w:spacing w:after="0" w:line="240" w:lineRule="auto"/>
        <w:ind w:firstLine="709"/>
        <w:jc w:val="both"/>
        <w:rPr>
          <w:rFonts w:ascii="Times New Roman" w:hAnsi="Times New Roman" w:cs="Times New Roman"/>
          <w:bCs/>
          <w:sz w:val="24"/>
          <w:szCs w:val="24"/>
        </w:rPr>
      </w:pPr>
    </w:p>
    <w:p>
      <w:pPr>
        <w:jc w:val="center"/>
        <w:rPr>
          <w:rFonts w:ascii="Times New Roman" w:hAnsi="Times New Roman" w:cs="Times New Roman"/>
          <w:b/>
          <w:caps/>
          <w:sz w:val="24"/>
          <w:szCs w:val="24"/>
        </w:rPr>
      </w:pPr>
      <w:r>
        <w:rPr>
          <w:rFonts w:ascii="Times New Roman" w:hAnsi="Times New Roman" w:cs="Times New Roman"/>
          <w:b/>
          <w:caps/>
          <w:sz w:val="24"/>
          <w:szCs w:val="24"/>
        </w:rPr>
        <w:t>7. Порядок разрешения споров</w:t>
      </w:r>
    </w:p>
    <w:p>
      <w:pPr>
        <w:widowControl w:val="0"/>
        <w:autoSpaceDE w:val="0"/>
        <w:autoSpaceDN w:val="0"/>
        <w:adjustRightInd w:val="0"/>
        <w:spacing w:after="0" w:line="240" w:lineRule="auto"/>
        <w:ind w:firstLine="709"/>
        <w:jc w:val="both"/>
        <w:outlineLvl w:val="0"/>
        <w:rPr>
          <w:rFonts w:ascii="Times New Roman" w:hAnsi="Times New Roman" w:cs="Times New Roman"/>
          <w:b/>
          <w:color w:val="000000"/>
          <w:sz w:val="24"/>
          <w:szCs w:val="24"/>
        </w:rPr>
      </w:pPr>
      <w:r>
        <w:rPr>
          <w:rFonts w:ascii="Times New Roman" w:hAnsi="Times New Roman" w:cs="Times New Roman"/>
          <w:sz w:val="24"/>
          <w:szCs w:val="24"/>
        </w:rPr>
        <w:t>7.1. Споры и разногласия, которые могут возникнуть при исполнении Договора, стороны будут стремиться разрешить в досудебном (претензионном) порядке.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color w:val="000000" w:themeColor="text1"/>
          <w:sz w:val="24"/>
          <w:szCs w:val="24"/>
          <w14:textFill>
            <w14:solidFill>
              <w14:schemeClr w14:val="tx1"/>
            </w14:solidFill>
          </w14:textFill>
        </w:rPr>
      </w:pPr>
      <w:bookmarkStart w:id="1" w:name="dfaszab0sc"/>
      <w:bookmarkEnd w:id="1"/>
      <w:r>
        <w:rPr>
          <w:rFonts w:ascii="Times New Roman" w:hAnsi="Times New Roman" w:cs="Times New Roman"/>
          <w:sz w:val="24"/>
          <w:szCs w:val="24"/>
        </w:rPr>
        <w:t xml:space="preserve">7.2. </w:t>
      </w:r>
      <w:bookmarkStart w:id="2" w:name="dfasgg4tex"/>
      <w:bookmarkEnd w:id="2"/>
      <w:r>
        <w:rPr>
          <w:rFonts w:ascii="Times New Roman" w:hAnsi="Times New Roman" w:cs="Times New Roman"/>
          <w:color w:val="000000" w:themeColor="text1"/>
          <w:sz w:val="24"/>
          <w:szCs w:val="24"/>
          <w14:textFill>
            <w14:solidFill>
              <w14:schemeClr w14:val="tx1"/>
            </w14:solidFill>
          </w14:textFill>
        </w:rPr>
        <w:t>Претензия направляется</w:t>
      </w:r>
      <w:r>
        <w:rPr>
          <w:rFonts w:ascii="Times New Roman" w:hAnsi="Times New Roman" w:cs="Times New Roman"/>
          <w:b/>
          <w:i/>
          <w:color w:val="000000" w:themeColor="text1"/>
          <w:sz w:val="24"/>
          <w:szCs w:val="24"/>
          <w14:textFill>
            <w14:solidFill>
              <w14:schemeClr w14:val="tx1"/>
            </w14:solidFill>
          </w14:textFill>
        </w:rPr>
        <w:t xml:space="preserve"> </w:t>
      </w:r>
      <w:r>
        <w:rPr>
          <w:rStyle w:val="12"/>
          <w:rFonts w:ascii="Times New Roman" w:hAnsi="Times New Roman" w:cs="Times New Roman"/>
          <w:b w:val="0"/>
          <w:i w:val="0"/>
          <w:color w:val="000000" w:themeColor="text1"/>
          <w:sz w:val="24"/>
          <w:szCs w:val="24"/>
          <w14:textFill>
            <w14:solidFill>
              <w14:schemeClr w14:val="tx1"/>
            </w14:solidFill>
          </w14:textFill>
        </w:rPr>
        <w:t xml:space="preserve">по электронной почте, указанной в п. 9.4 Договора. </w:t>
      </w:r>
      <w:r>
        <w:rPr>
          <w:rFonts w:ascii="Times New Roman" w:hAnsi="Times New Roman" w:cs="Times New Roman"/>
          <w:color w:val="000000" w:themeColor="text1"/>
          <w:sz w:val="24"/>
          <w:szCs w:val="24"/>
          <w14:textFill>
            <w14:solidFill>
              <w14:schemeClr w14:val="tx1"/>
            </w14:solidFill>
          </w14:textFill>
        </w:rPr>
        <w:t xml:space="preserve">Датой получения претензии считается следующий рабочий </w:t>
      </w:r>
      <w:r>
        <w:rPr>
          <w:rStyle w:val="12"/>
          <w:rFonts w:ascii="Times New Roman" w:hAnsi="Times New Roman" w:cs="Times New Roman"/>
          <w:b w:val="0"/>
          <w:i w:val="0"/>
          <w:color w:val="000000" w:themeColor="text1"/>
          <w:sz w:val="24"/>
          <w:szCs w:val="24"/>
          <w14:textFill>
            <w14:solidFill>
              <w14:schemeClr w14:val="tx1"/>
            </w14:solidFill>
          </w14:textFill>
        </w:rPr>
        <w:t>день за днем направления по электронной почте</w:t>
      </w:r>
      <w:r>
        <w:rPr>
          <w:rFonts w:ascii="Times New Roman" w:hAnsi="Times New Roman" w:cs="Times New Roman"/>
          <w:b/>
          <w:i/>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Срок для ответа на претензию устанавливается</w:t>
      </w:r>
      <w:r>
        <w:rPr>
          <w:rFonts w:ascii="Times New Roman" w:hAnsi="Times New Roman" w:cs="Times New Roman"/>
          <w:i/>
          <w:color w:val="000000" w:themeColor="text1"/>
          <w:sz w:val="24"/>
          <w:szCs w:val="24"/>
          <w14:textFill>
            <w14:solidFill>
              <w14:schemeClr w14:val="tx1"/>
            </w14:solidFill>
          </w14:textFill>
        </w:rPr>
        <w:t xml:space="preserve"> </w:t>
      </w:r>
      <w:r>
        <w:rPr>
          <w:rStyle w:val="12"/>
          <w:rFonts w:ascii="Times New Roman" w:hAnsi="Times New Roman" w:cs="Times New Roman"/>
          <w:b w:val="0"/>
          <w:i w:val="0"/>
          <w:color w:val="000000" w:themeColor="text1"/>
          <w:sz w:val="24"/>
          <w:szCs w:val="24"/>
          <w14:textFill>
            <w14:solidFill>
              <w14:schemeClr w14:val="tx1"/>
            </w14:solidFill>
          </w14:textFill>
        </w:rPr>
        <w:t>5 рабочих дней с даты ее получения</w:t>
      </w:r>
      <w:r>
        <w:rPr>
          <w:rFonts w:ascii="Times New Roman" w:hAnsi="Times New Roman" w:cs="Times New Roman"/>
          <w:b/>
          <w:i/>
          <w:color w:val="000000" w:themeColor="text1"/>
          <w:sz w:val="24"/>
          <w:szCs w:val="24"/>
          <w14:textFill>
            <w14:solidFill>
              <w14:schemeClr w14:val="tx1"/>
            </w14:solidFill>
          </w14:textFill>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bookmarkStart w:id="3" w:name="dfasixmp78"/>
      <w:bookmarkEnd w:id="3"/>
      <w:r>
        <w:rPr>
          <w:rFonts w:ascii="Times New Roman" w:hAnsi="Times New Roman" w:cs="Times New Roman"/>
          <w:color w:val="000000" w:themeColor="text1"/>
          <w:sz w:val="24"/>
          <w:szCs w:val="24"/>
          <w14:textFill>
            <w14:solidFill>
              <w14:schemeClr w14:val="tx1"/>
            </w14:solidFill>
          </w14:textFill>
        </w:rPr>
        <w:t>В случае если в указанный в претензии срок претензионные требования не будут</w:t>
      </w:r>
      <w:r>
        <w:rPr>
          <w:rFonts w:ascii="Times New Roman" w:hAnsi="Times New Roman" w:cs="Times New Roman"/>
          <w:sz w:val="24"/>
          <w:szCs w:val="24"/>
        </w:rPr>
        <w:t xml:space="preserve"> удовлетворены, Сторона, право которой нарушено, вправе обратиться с исковым заявлением в суд.</w:t>
      </w:r>
    </w:p>
    <w:p>
      <w:pPr>
        <w:widowControl w:val="0"/>
        <w:tabs>
          <w:tab w:val="left" w:pos="1276"/>
        </w:tabs>
        <w:autoSpaceDE w:val="0"/>
        <w:autoSpaceDN w:val="0"/>
        <w:adjustRightInd w:val="0"/>
        <w:spacing w:after="0" w:line="240" w:lineRule="auto"/>
        <w:ind w:firstLine="709"/>
        <w:jc w:val="both"/>
        <w:rPr>
          <w:rFonts w:ascii="Times New Roman" w:hAnsi="Times New Roman" w:cs="Times New Roman"/>
          <w:color w:val="000000"/>
          <w:sz w:val="24"/>
          <w:szCs w:val="24"/>
        </w:rPr>
      </w:pPr>
      <w:bookmarkStart w:id="4" w:name="dfas3mdgcu"/>
      <w:bookmarkEnd w:id="4"/>
      <w:r>
        <w:rPr>
          <w:rFonts w:ascii="Times New Roman" w:hAnsi="Times New Roman" w:cs="Times New Roman"/>
          <w:color w:val="000000"/>
          <w:sz w:val="24"/>
          <w:szCs w:val="24"/>
        </w:rPr>
        <w:t>7.3.</w:t>
      </w:r>
      <w:r>
        <w:rPr>
          <w:rFonts w:ascii="Times New Roman" w:hAnsi="Times New Roman" w:cs="Times New Roman"/>
          <w:color w:val="000000"/>
          <w:sz w:val="24"/>
          <w:szCs w:val="24"/>
        </w:rPr>
        <w:tab/>
      </w:r>
      <w:r>
        <w:rPr>
          <w:rFonts w:ascii="Times New Roman" w:hAnsi="Times New Roman" w:cs="Times New Roman"/>
          <w:color w:val="000000"/>
          <w:sz w:val="24"/>
          <w:szCs w:val="24"/>
        </w:rPr>
        <w:t xml:space="preserve"> В случае недостижения взаимного согласия спор подлежит разрешению в Арбитражном суде Краснодарского края.</w:t>
      </w:r>
    </w:p>
    <w:p>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 ОГОВОРКА О ЗАЩИТЕ ПЕРСОНАЛЬНЫХ ДАННЫХ</w:t>
      </w:r>
    </w:p>
    <w:p>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8.1. Для целей исполнения Договора Стороны передают друг другу свои персональные данные, указанные в разделе 10 настоящего Договора, на срок необходимый для исполнения Договора.</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8.2. Стороны обязуются обеспечить безопасность и конфиденциальность персональных данных, в соответствии с требованиями Федерального закона от 27 июня 2006г.  № 152-ФЗ «О персональных данных».</w:t>
      </w:r>
    </w:p>
    <w:p>
      <w:pPr>
        <w:pStyle w:val="13"/>
        <w:shd w:val="clear" w:color="auto" w:fill="FFFFFF"/>
        <w:spacing w:after="0" w:afterAutospacing="0"/>
        <w:jc w:val="center"/>
        <w:rPr>
          <w:b/>
          <w:caps/>
          <w:color w:val="22272F"/>
        </w:rPr>
      </w:pPr>
      <w:r>
        <w:rPr>
          <w:b/>
          <w:color w:val="22272F"/>
        </w:rPr>
        <w:t xml:space="preserve">9. </w:t>
      </w:r>
      <w:r>
        <w:rPr>
          <w:b/>
          <w:caps/>
          <w:color w:val="22272F"/>
        </w:rPr>
        <w:t>Заключительные положения</w:t>
      </w:r>
    </w:p>
    <w:p>
      <w:pPr>
        <w:autoSpaceDE w:val="0"/>
        <w:autoSpaceDN w:val="0"/>
        <w:adjustRightInd w:val="0"/>
        <w:spacing w:after="0" w:line="240" w:lineRule="auto"/>
        <w:ind w:firstLine="709"/>
        <w:jc w:val="both"/>
        <w:rPr>
          <w:rFonts w:ascii="Times New Roman" w:hAnsi="Times New Roman" w:cs="Times New Roman"/>
          <w:bCs/>
          <w:sz w:val="24"/>
          <w:szCs w:val="24"/>
        </w:rPr>
      </w:pP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9.1. Договор вступает в силу с даты его подписания и действует до </w:t>
      </w:r>
      <w:r>
        <w:rPr>
          <w:rFonts w:hint="default" w:ascii="Times New Roman" w:hAnsi="Times New Roman" w:cs="Times New Roman"/>
          <w:bCs/>
          <w:sz w:val="24"/>
          <w:szCs w:val="24"/>
          <w:highlight w:val="none"/>
          <w:lang w:val="ru-RU"/>
        </w:rPr>
        <w:t>31.12.2026 г.</w:t>
      </w:r>
      <w:r>
        <w:rPr>
          <w:rFonts w:ascii="Times New Roman" w:hAnsi="Times New Roman" w:cs="Times New Roman"/>
          <w:bCs/>
          <w:sz w:val="24"/>
          <w:szCs w:val="24"/>
        </w:rPr>
        <w:t xml:space="preserve"> Срок Договора включает срок поставки, приемки и оплаты товара.</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данного вида обязательства.</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Решение об одностороннем отказе от исполнения Договора одной стороны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9.2.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Электронный адрес для получения запросов (уведомлений и т.д.) со стороны Заказчика является: vniibzr-zakupki@mail.ru, info@fncbzr.ru. </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Электронный адрес для получения запросов (уведомлений и т.д.) со стороны Поставщика является: </w:t>
      </w:r>
      <w:r>
        <w:rPr>
          <w:rFonts w:ascii="Times New Roman" w:hAnsi="Times New Roman" w:cs="Times New Roman"/>
          <w:bCs/>
          <w:sz w:val="24"/>
          <w:szCs w:val="24"/>
          <w:highlight w:val="none"/>
        </w:rPr>
        <w:t>____________________</w:t>
      </w:r>
      <w:r>
        <w:rPr>
          <w:rFonts w:ascii="Times New Roman" w:hAnsi="Times New Roman" w:cs="Times New Roman"/>
          <w:bCs/>
          <w:sz w:val="24"/>
          <w:szCs w:val="24"/>
        </w:rPr>
        <w:t>.</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9.3.</w:t>
      </w:r>
      <w:r>
        <w:rPr>
          <w:rFonts w:ascii="Times New Roman" w:hAnsi="Times New Roman" w:cs="Times New Roman"/>
          <w:bCs/>
          <w:sz w:val="24"/>
          <w:szCs w:val="24"/>
        </w:rPr>
        <w:tab/>
      </w:r>
      <w:r>
        <w:rPr>
          <w:rFonts w:ascii="Times New Roman" w:hAnsi="Times New Roman" w:cs="Times New Roman"/>
          <w:bCs/>
          <w:sz w:val="24"/>
          <w:szCs w:val="24"/>
        </w:rPr>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Договоре способом, надлежащим образом уполномоченными лицами и не вправе ссылаться на их неполучение. Стороны обязуются осуществлять просмотр почтовых ящиков, указанных в настоящем Договоре, ежедневно, в рабочие дни.</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Днем получения юридически значимого сообщения является:</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следующий рабочий день за датой отправки сообщения по электронной почте;</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дата вручения юридически значимого сообщения представителю стороны.</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случае направления юридически значимого сообщения несколькими способами отправки, днем его получения признается дата, наступившая ранее.</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  Поставщик заявляет и заверяет Заказчика о том, что на момент заключения Договора:</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9.4.1. Соответствует единым требованиям к участникам закупок, а именно:</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участник закупки – юридическое лицо не находится в стадии ликвидации и отсутствуют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деятельность участника закупки не приостановлена в порядке, предусмотренном Кодексом Российской Федерации об административных правонарушениях;</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у участника закупки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непогашенная или неснятая судимость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 применяются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между участником закупки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9.4.2. Не является иностранным агентом в соответствии с требованиями Федерального закона от 14.07.2022 № 255-ФЗ «О контроле за деятельностью лиц, находящихся под иностранным влиянием»;</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9.4.3. Обладает всеми полномочиями для заключения Договора и исполнения обязательств, принимаемых на себя по Договору;</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9.4.4.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Договора.</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9.4.5. Обладает достаточными ресурсами для исполнения обязательств по Договору.</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9.5. В случае расхождения сведений в тексте настоящего Договора и Спецификации, достоверными являются сведения, указанные в Спецификации.</w:t>
      </w:r>
    </w:p>
    <w:p>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9.6. Во всем остальном, что не предусмотрено Договором, Стороны руководствуются законодательством Российской Федерации.</w:t>
      </w:r>
    </w:p>
    <w:p>
      <w:pPr>
        <w:jc w:val="center"/>
        <w:rPr>
          <w:rFonts w:ascii="Times New Roman" w:hAnsi="Times New Roman" w:cs="Times New Roman"/>
          <w:b/>
          <w:caps/>
          <w:sz w:val="24"/>
          <w:szCs w:val="24"/>
        </w:rPr>
      </w:pPr>
    </w:p>
    <w:p>
      <w:pPr>
        <w:jc w:val="center"/>
        <w:rPr>
          <w:rFonts w:ascii="Times New Roman" w:hAnsi="Times New Roman" w:cs="Times New Roman"/>
          <w:b/>
          <w:caps/>
          <w:sz w:val="24"/>
          <w:szCs w:val="24"/>
        </w:rPr>
      </w:pPr>
      <w:r>
        <w:rPr>
          <w:rFonts w:ascii="Times New Roman" w:hAnsi="Times New Roman" w:cs="Times New Roman"/>
          <w:b/>
          <w:caps/>
          <w:sz w:val="24"/>
          <w:szCs w:val="24"/>
        </w:rPr>
        <w:t>10. Адреса и реквизиты Сторон</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85"/>
        <w:gridCol w:w="47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5" w:type="dxa"/>
          </w:tcPr>
          <w:p>
            <w:pPr>
              <w:spacing w:after="0" w:line="240" w:lineRule="auto"/>
              <w:jc w:val="both"/>
              <w:rPr>
                <w:rFonts w:ascii="Times New Roman" w:hAnsi="Times New Roman" w:cs="Times New Roman"/>
                <w:b/>
                <w:caps/>
                <w:sz w:val="24"/>
                <w:szCs w:val="24"/>
              </w:rPr>
            </w:pPr>
            <w:r>
              <w:rPr>
                <w:rFonts w:ascii="Times New Roman" w:hAnsi="Times New Roman" w:cs="Times New Roman"/>
                <w:b/>
                <w:sz w:val="24"/>
                <w:szCs w:val="24"/>
              </w:rPr>
              <w:t>Заказчик:</w:t>
            </w:r>
          </w:p>
        </w:tc>
        <w:tc>
          <w:tcPr>
            <w:tcW w:w="4786" w:type="dxa"/>
          </w:tcPr>
          <w:p>
            <w:pPr>
              <w:spacing w:after="0" w:line="240" w:lineRule="auto"/>
              <w:jc w:val="both"/>
              <w:rPr>
                <w:rFonts w:ascii="Times New Roman" w:hAnsi="Times New Roman" w:cs="Times New Roman"/>
                <w:b/>
                <w:caps/>
                <w:sz w:val="24"/>
                <w:szCs w:val="24"/>
              </w:rPr>
            </w:pPr>
            <w:r>
              <w:rPr>
                <w:rFonts w:ascii="Times New Roman" w:hAnsi="Times New Roman" w:cs="Times New Roman"/>
                <w:b/>
                <w:sz w:val="24"/>
                <w:szCs w:val="24"/>
              </w:rPr>
              <w:t>Поставщик: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5" w:type="dxa"/>
          </w:tcPr>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ФГБНУ ФНЦБЗР</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Юридический адрес: 350039, Россия, Краснодарский край, г. Краснодар, </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ул. им. Калинина, д. 62</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Почтовый адрес: 350039, Россия, Краснодарский край, г. Краснодар, п/о 39, а/я 5269.</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ИНН 2311014440/КПП 231101001</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ОГРН 1022301815249</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л/с 20186Х60640</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Банковские реквизиты:</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р/с 03214643000000013241</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УФК по Краснодарскому краю (ФГБНУ ФНЦБЗР, л/с 20186X60640)</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Банк: ОКЦ № 1 ВВГУ Банка России //УФК по Нижегородской области, г. Нижний Новгород</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Корреспондентский счет: 40102810745370000024</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БИК 012202102</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Телефон бухгалтерии: (861) 228-10-93</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Тел./факс: (861) 228-17-76;</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Юрисконсульт (861) 228-17-75 (доб. 402), 228-21-03</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Закупки (861) 228-17-75 (доб.403)</w:t>
            </w:r>
          </w:p>
          <w:p>
            <w:p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E-mail: info@fncbzr.ru</w:t>
            </w:r>
          </w:p>
        </w:tc>
        <w:tc>
          <w:tcPr>
            <w:tcW w:w="4786" w:type="dxa"/>
          </w:tcPr>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Юридический адрес: </w:t>
            </w: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Почтовый адрес: </w:t>
            </w: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ИНН </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КПП </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ОГРН </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Банковские реквизиты:</w:t>
            </w:r>
          </w:p>
          <w:p>
            <w:pPr>
              <w:tabs>
                <w:tab w:val="left" w:pos="0"/>
              </w:tabs>
              <w:spacing w:after="0" w:line="240" w:lineRule="auto"/>
              <w:rPr>
                <w:rFonts w:ascii="Times New Roman" w:hAnsi="Times New Roman" w:eastAsia="Times New Roman" w:cs="Times New Roman"/>
                <w:sz w:val="24"/>
                <w:szCs w:val="24"/>
              </w:rPr>
            </w:pP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Тел./факс: </w:t>
            </w:r>
          </w:p>
          <w:p>
            <w:pPr>
              <w:spacing w:after="0" w:line="240" w:lineRule="auto"/>
              <w:rPr>
                <w:rFonts w:ascii="Times New Roman" w:hAnsi="Times New Roman" w:cs="Times New Roman"/>
                <w:b/>
                <w:caps/>
                <w:sz w:val="24"/>
                <w:szCs w:val="24"/>
              </w:rPr>
            </w:pPr>
            <w:r>
              <w:rPr>
                <w:rFonts w:ascii="Times New Roman" w:hAnsi="Times New Roman" w:eastAsia="Times New Roman" w:cs="Times New Roman"/>
                <w:sz w:val="24"/>
                <w:szCs w:val="24"/>
              </w:rPr>
              <w:t xml:space="preserve">E-mail: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5"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Заместитель директора по административно-хозяйственной деятельности </w:t>
            </w:r>
          </w:p>
          <w:p>
            <w:pPr>
              <w:spacing w:after="0" w:line="240" w:lineRule="auto"/>
              <w:jc w:val="both"/>
              <w:rPr>
                <w:rFonts w:ascii="Times New Roman" w:hAnsi="Times New Roman" w:cs="Times New Roman"/>
                <w:b/>
                <w:caps/>
                <w:sz w:val="24"/>
                <w:szCs w:val="24"/>
              </w:rPr>
            </w:pPr>
          </w:p>
          <w:p>
            <w:pPr>
              <w:spacing w:after="0" w:line="240" w:lineRule="auto"/>
              <w:jc w:val="both"/>
              <w:rPr>
                <w:rFonts w:ascii="Times New Roman" w:hAnsi="Times New Roman" w:cs="Times New Roman"/>
                <w:b/>
                <w:caps/>
                <w:sz w:val="24"/>
                <w:szCs w:val="24"/>
              </w:rPr>
            </w:pPr>
            <w:r>
              <w:rPr>
                <w:rFonts w:ascii="Times New Roman" w:hAnsi="Times New Roman" w:cs="Times New Roman"/>
                <w:b/>
                <w:caps/>
                <w:sz w:val="24"/>
                <w:szCs w:val="24"/>
              </w:rPr>
              <w:t xml:space="preserve">____________________ Н.л. </w:t>
            </w:r>
            <w:r>
              <w:rPr>
                <w:rFonts w:ascii="Times New Roman" w:hAnsi="Times New Roman" w:cs="Times New Roman"/>
                <w:b/>
                <w:sz w:val="24"/>
                <w:szCs w:val="24"/>
              </w:rPr>
              <w:t>Анорина</w:t>
            </w:r>
          </w:p>
        </w:tc>
        <w:tc>
          <w:tcPr>
            <w:tcW w:w="4786" w:type="dxa"/>
          </w:tcPr>
          <w:p>
            <w:pPr>
              <w:spacing w:after="0" w:line="240" w:lineRule="auto"/>
              <w:jc w:val="both"/>
              <w:rPr>
                <w:rFonts w:ascii="Times New Roman" w:hAnsi="Times New Roman" w:cs="Times New Roman"/>
                <w:b/>
                <w:caps/>
                <w:sz w:val="24"/>
                <w:szCs w:val="24"/>
              </w:rPr>
            </w:pPr>
          </w:p>
          <w:p>
            <w:pPr>
              <w:spacing w:after="0" w:line="240" w:lineRule="auto"/>
              <w:jc w:val="both"/>
              <w:rPr>
                <w:rFonts w:ascii="Times New Roman" w:hAnsi="Times New Roman" w:cs="Times New Roman"/>
                <w:b/>
                <w:caps/>
                <w:sz w:val="24"/>
                <w:szCs w:val="24"/>
              </w:rPr>
            </w:pPr>
          </w:p>
          <w:p>
            <w:pPr>
              <w:spacing w:after="0" w:line="240" w:lineRule="auto"/>
              <w:jc w:val="both"/>
              <w:rPr>
                <w:rFonts w:ascii="Times New Roman" w:hAnsi="Times New Roman" w:cs="Times New Roman"/>
                <w:b/>
                <w:caps/>
                <w:sz w:val="24"/>
                <w:szCs w:val="24"/>
              </w:rPr>
            </w:pPr>
          </w:p>
          <w:p>
            <w:pPr>
              <w:spacing w:after="0" w:line="240" w:lineRule="auto"/>
              <w:jc w:val="both"/>
              <w:rPr>
                <w:rFonts w:ascii="Times New Roman" w:hAnsi="Times New Roman" w:cs="Times New Roman"/>
                <w:b/>
                <w:caps/>
                <w:sz w:val="24"/>
                <w:szCs w:val="24"/>
              </w:rPr>
            </w:pPr>
          </w:p>
          <w:p>
            <w:pPr>
              <w:spacing w:after="0" w:line="240" w:lineRule="auto"/>
              <w:jc w:val="both"/>
              <w:rPr>
                <w:rFonts w:ascii="Times New Roman" w:hAnsi="Times New Roman" w:cs="Times New Roman"/>
                <w:b/>
                <w:caps/>
                <w:sz w:val="24"/>
                <w:szCs w:val="24"/>
              </w:rPr>
            </w:pPr>
            <w:r>
              <w:rPr>
                <w:rFonts w:ascii="Times New Roman" w:hAnsi="Times New Roman" w:cs="Times New Roman"/>
                <w:b/>
                <w:caps/>
                <w:sz w:val="24"/>
                <w:szCs w:val="24"/>
              </w:rPr>
              <w:t>____________________</w:t>
            </w:r>
          </w:p>
        </w:tc>
      </w:tr>
    </w:tbl>
    <w:p>
      <w:pPr>
        <w:jc w:val="both"/>
        <w:rPr>
          <w:rFonts w:ascii="Times New Roman" w:hAnsi="Times New Roman" w:cs="Times New Roman"/>
          <w:b/>
          <w:caps/>
          <w:sz w:val="24"/>
          <w:szCs w:val="24"/>
        </w:rPr>
      </w:pPr>
    </w:p>
    <w:p>
      <w:pPr>
        <w:shd w:val="clear" w:color="auto" w:fill="FFFFFF"/>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Приложение</w:t>
      </w:r>
    </w:p>
    <w:p>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к договору на поставку товара</w:t>
      </w:r>
    </w:p>
    <w:p>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_</w:t>
      </w:r>
      <w:r>
        <w:rPr>
          <w:rFonts w:ascii="Times New Roman" w:hAnsi="Times New Roman" w:cs="Times New Roman"/>
          <w:color w:val="000000" w:themeColor="text1"/>
          <w:sz w:val="24"/>
          <w:szCs w:val="24"/>
          <w:lang w:val="en-US"/>
          <w14:textFill>
            <w14:solidFill>
              <w14:schemeClr w14:val="tx1"/>
            </w14:solidFill>
          </w14:textFill>
        </w:rPr>
        <w:t>___</w:t>
      </w:r>
      <w:r>
        <w:rPr>
          <w:rFonts w:ascii="Times New Roman" w:hAnsi="Times New Roman" w:cs="Times New Roman"/>
          <w:color w:val="000000" w:themeColor="text1"/>
          <w:sz w:val="24"/>
          <w:szCs w:val="24"/>
          <w14:textFill>
            <w14:solidFill>
              <w14:schemeClr w14:val="tx1"/>
            </w14:solidFill>
          </w14:textFill>
        </w:rPr>
        <w:t>_ от «__» ________ 202_ г.</w:t>
      </w:r>
    </w:p>
    <w:p>
      <w:pPr>
        <w:shd w:val="clear" w:color="auto" w:fill="FFFFFF"/>
        <w:autoSpaceDE w:val="0"/>
        <w:autoSpaceDN w:val="0"/>
        <w:adjustRightInd w:val="0"/>
        <w:spacing w:after="0" w:line="240" w:lineRule="auto"/>
        <w:jc w:val="center"/>
        <w:rPr>
          <w:rFonts w:ascii="Times New Roman" w:hAnsi="Times New Roman" w:cs="Times New Roman"/>
          <w:bCs/>
          <w:color w:val="FF0000"/>
          <w:sz w:val="24"/>
          <w:szCs w:val="24"/>
        </w:rPr>
      </w:pPr>
    </w:p>
    <w:p>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Спецификация </w:t>
      </w:r>
    </w:p>
    <w:p>
      <w:pPr>
        <w:shd w:val="clear" w:color="auto" w:fill="FFFFFF"/>
        <w:tabs>
          <w:tab w:val="left" w:pos="9091"/>
        </w:tabs>
        <w:autoSpaceDE w:val="0"/>
        <w:autoSpaceDN w:val="0"/>
        <w:adjustRightInd w:val="0"/>
        <w:spacing w:after="0" w:line="240" w:lineRule="auto"/>
        <w:jc w:val="right"/>
        <w:rPr>
          <w:rFonts w:ascii="Times New Roman" w:hAnsi="Times New Roman" w:cs="Times New Roman"/>
          <w:bCs/>
          <w:color w:val="000000"/>
          <w:sz w:val="24"/>
          <w:szCs w:val="24"/>
        </w:rPr>
      </w:pPr>
    </w:p>
    <w:tbl>
      <w:tblPr>
        <w:tblStyle w:val="3"/>
        <w:tblW w:w="9735" w:type="dxa"/>
        <w:tblInd w:w="40" w:type="dxa"/>
        <w:tblLayout w:type="fixed"/>
        <w:tblCellMar>
          <w:top w:w="0" w:type="dxa"/>
          <w:left w:w="40" w:type="dxa"/>
          <w:bottom w:w="0" w:type="dxa"/>
          <w:right w:w="40" w:type="dxa"/>
        </w:tblCellMar>
      </w:tblPr>
      <w:tblGrid>
        <w:gridCol w:w="377"/>
        <w:gridCol w:w="3405"/>
        <w:gridCol w:w="992"/>
        <w:gridCol w:w="709"/>
        <w:gridCol w:w="1040"/>
        <w:gridCol w:w="1369"/>
        <w:gridCol w:w="1843"/>
      </w:tblGrid>
      <w:tr>
        <w:tblPrEx>
          <w:tblCellMar>
            <w:top w:w="0" w:type="dxa"/>
            <w:left w:w="40" w:type="dxa"/>
            <w:bottom w:w="0" w:type="dxa"/>
            <w:right w:w="40" w:type="dxa"/>
          </w:tblCellMar>
        </w:tblPrEx>
        <w:trPr>
          <w:cantSplit/>
          <w:trHeight w:val="1970" w:hRule="atLeast"/>
        </w:trPr>
        <w:tc>
          <w:tcPr>
            <w:tcW w:w="377" w:type="dxa"/>
            <w:tcBorders>
              <w:top w:val="single" w:color="auto" w:sz="6" w:space="0"/>
              <w:left w:val="single" w:color="auto" w:sz="6" w:space="0"/>
              <w:bottom w:val="single" w:color="auto" w:sz="6" w:space="0"/>
              <w:right w:val="single" w:color="auto" w:sz="6" w:space="0"/>
            </w:tcBorders>
            <w:shd w:val="clear" w:color="auto" w:fill="FFFFFF"/>
            <w:vAlign w:val="center"/>
          </w:tcPr>
          <w:p>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w:t>
            </w:r>
          </w:p>
        </w:tc>
        <w:tc>
          <w:tcPr>
            <w:tcW w:w="3405" w:type="dxa"/>
            <w:tcBorders>
              <w:top w:val="single" w:color="auto" w:sz="6" w:space="0"/>
              <w:left w:val="single" w:color="auto" w:sz="6" w:space="0"/>
              <w:bottom w:val="single" w:color="auto" w:sz="6" w:space="0"/>
              <w:right w:val="single" w:color="auto" w:sz="6" w:space="0"/>
            </w:tcBorders>
            <w:shd w:val="clear" w:color="auto" w:fill="FFFFFF"/>
            <w:vAlign w:val="center"/>
          </w:tcPr>
          <w:p>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Наименование товара</w:t>
            </w:r>
          </w:p>
        </w:tc>
        <w:tc>
          <w:tcPr>
            <w:tcW w:w="992" w:type="dxa"/>
            <w:tcBorders>
              <w:top w:val="single" w:color="auto" w:sz="6" w:space="0"/>
              <w:left w:val="single" w:color="auto" w:sz="6" w:space="0"/>
              <w:bottom w:val="single" w:color="auto" w:sz="6" w:space="0"/>
              <w:right w:val="single" w:color="auto" w:sz="6" w:space="0"/>
            </w:tcBorders>
            <w:shd w:val="clear" w:color="auto" w:fill="FFFFFF"/>
            <w:textDirection w:val="btLr"/>
            <w:vAlign w:val="center"/>
          </w:tcPr>
          <w:p>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Страна происхождения товара</w:t>
            </w:r>
          </w:p>
        </w:tc>
        <w:tc>
          <w:tcPr>
            <w:tcW w:w="709" w:type="dxa"/>
            <w:tcBorders>
              <w:top w:val="single" w:color="auto" w:sz="6" w:space="0"/>
              <w:left w:val="single" w:color="auto" w:sz="6" w:space="0"/>
              <w:bottom w:val="single" w:color="auto" w:sz="6" w:space="0"/>
              <w:right w:val="single" w:color="auto" w:sz="6" w:space="0"/>
            </w:tcBorders>
            <w:shd w:val="clear" w:color="auto" w:fill="FFFFFF"/>
            <w:textDirection w:val="btLr"/>
            <w:vAlign w:val="center"/>
          </w:tcPr>
          <w:p>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Ед. изм.</w:t>
            </w:r>
          </w:p>
        </w:tc>
        <w:tc>
          <w:tcPr>
            <w:tcW w:w="1040" w:type="dxa"/>
            <w:tcBorders>
              <w:top w:val="single" w:color="auto" w:sz="6" w:space="0"/>
              <w:left w:val="single" w:color="auto" w:sz="6" w:space="0"/>
              <w:bottom w:val="single" w:color="auto" w:sz="6" w:space="0"/>
              <w:right w:val="single" w:color="auto" w:sz="6" w:space="0"/>
            </w:tcBorders>
            <w:shd w:val="clear" w:color="auto" w:fill="FFFFFF"/>
            <w:textDirection w:val="btLr"/>
            <w:vAlign w:val="center"/>
          </w:tcPr>
          <w:p>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Кол-во</w:t>
            </w:r>
          </w:p>
        </w:tc>
        <w:tc>
          <w:tcPr>
            <w:tcW w:w="1369" w:type="dxa"/>
            <w:tcBorders>
              <w:top w:val="single" w:color="auto" w:sz="6" w:space="0"/>
              <w:left w:val="single" w:color="auto" w:sz="6" w:space="0"/>
              <w:bottom w:val="single" w:color="auto" w:sz="6" w:space="0"/>
              <w:right w:val="single" w:color="auto" w:sz="6" w:space="0"/>
            </w:tcBorders>
            <w:shd w:val="clear" w:color="auto" w:fill="FFFFFF"/>
            <w:vAlign w:val="center"/>
          </w:tcPr>
          <w:p>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Цена, руб.</w:t>
            </w:r>
          </w:p>
        </w:tc>
        <w:tc>
          <w:tcPr>
            <w:tcW w:w="1843" w:type="dxa"/>
            <w:tcBorders>
              <w:top w:val="single" w:color="auto" w:sz="6" w:space="0"/>
              <w:left w:val="single" w:color="auto" w:sz="6" w:space="0"/>
              <w:bottom w:val="single" w:color="auto" w:sz="6" w:space="0"/>
              <w:right w:val="single" w:color="auto" w:sz="6" w:space="0"/>
            </w:tcBorders>
            <w:shd w:val="clear" w:color="auto" w:fill="FFFFFF"/>
            <w:vAlign w:val="center"/>
          </w:tcPr>
          <w:p>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Сумма, руб.</w:t>
            </w:r>
          </w:p>
        </w:tc>
      </w:tr>
      <w:tr>
        <w:tblPrEx>
          <w:tblCellMar>
            <w:top w:w="0" w:type="dxa"/>
            <w:left w:w="40" w:type="dxa"/>
            <w:bottom w:w="0" w:type="dxa"/>
            <w:right w:w="40" w:type="dxa"/>
          </w:tblCellMar>
        </w:tblPrEx>
        <w:trPr>
          <w:trHeight w:val="245" w:hRule="atLeast"/>
        </w:trPr>
        <w:tc>
          <w:tcPr>
            <w:tcW w:w="377" w:type="dxa"/>
            <w:tcBorders>
              <w:top w:val="single" w:color="auto" w:sz="6" w:space="0"/>
              <w:left w:val="single" w:color="auto" w:sz="6" w:space="0"/>
              <w:bottom w:val="single" w:color="auto" w:sz="6" w:space="0"/>
              <w:right w:val="single" w:color="auto" w:sz="6" w:space="0"/>
            </w:tcBorders>
            <w:shd w:val="clear" w:color="auto" w:fill="FFFFFF"/>
          </w:tcPr>
          <w:p>
            <w:pPr>
              <w:spacing w:after="0" w:line="240" w:lineRule="auto"/>
              <w:rPr>
                <w:rFonts w:ascii="Times New Roman" w:hAnsi="Times New Roman" w:cs="Times New Roman"/>
                <w:sz w:val="24"/>
                <w:szCs w:val="24"/>
              </w:rPr>
            </w:pPr>
          </w:p>
        </w:tc>
        <w:tc>
          <w:tcPr>
            <w:tcW w:w="3405" w:type="dxa"/>
            <w:tcBorders>
              <w:top w:val="single" w:color="auto" w:sz="6" w:space="0"/>
              <w:left w:val="single" w:color="auto" w:sz="6" w:space="0"/>
              <w:bottom w:val="single" w:color="auto" w:sz="6" w:space="0"/>
              <w:right w:val="single" w:color="auto" w:sz="6" w:space="0"/>
            </w:tcBorders>
            <w:shd w:val="clear" w:color="auto" w:fill="FFFFFF"/>
          </w:tcPr>
          <w:p>
            <w:pPr>
              <w:spacing w:after="0" w:line="240" w:lineRule="auto"/>
              <w:rPr>
                <w:rFonts w:ascii="Times New Roman" w:hAnsi="Times New Roman" w:cs="Times New Roman"/>
                <w:sz w:val="24"/>
                <w:szCs w:val="24"/>
              </w:rPr>
            </w:pP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snapToGrid w:val="0"/>
              <w:spacing w:after="0" w:line="240" w:lineRule="auto"/>
              <w:jc w:val="center"/>
              <w:rPr>
                <w:rFonts w:ascii="Times New Roman" w:hAnsi="Times New Roman" w:cs="Times New Roman"/>
                <w:sz w:val="24"/>
                <w:szCs w:val="24"/>
                <w:lang w:eastAsia="en-US"/>
              </w:rPr>
            </w:pPr>
          </w:p>
        </w:tc>
        <w:tc>
          <w:tcPr>
            <w:tcW w:w="709" w:type="dxa"/>
            <w:tcBorders>
              <w:top w:val="single" w:color="auto" w:sz="6" w:space="0"/>
              <w:left w:val="single" w:color="auto" w:sz="6" w:space="0"/>
              <w:bottom w:val="single" w:color="auto" w:sz="6" w:space="0"/>
              <w:right w:val="single" w:color="auto" w:sz="6" w:space="0"/>
            </w:tcBorders>
            <w:shd w:val="clear" w:color="auto" w:fill="FFFFFF"/>
            <w:vAlign w:val="center"/>
          </w:tcPr>
          <w:p>
            <w:pPr>
              <w:snapToGrid w:val="0"/>
              <w:spacing w:after="0" w:line="240" w:lineRule="auto"/>
              <w:jc w:val="center"/>
              <w:rPr>
                <w:rFonts w:ascii="Times New Roman" w:hAnsi="Times New Roman" w:cs="Times New Roman"/>
                <w:sz w:val="24"/>
                <w:szCs w:val="24"/>
                <w:lang w:eastAsia="en-US"/>
              </w:rPr>
            </w:pPr>
          </w:p>
        </w:tc>
        <w:tc>
          <w:tcPr>
            <w:tcW w:w="1040" w:type="dxa"/>
            <w:tcBorders>
              <w:top w:val="single" w:color="auto" w:sz="6" w:space="0"/>
              <w:left w:val="single" w:color="auto" w:sz="6" w:space="0"/>
              <w:bottom w:val="single" w:color="auto" w:sz="6" w:space="0"/>
              <w:right w:val="single" w:color="auto" w:sz="6" w:space="0"/>
            </w:tcBorders>
            <w:shd w:val="clear" w:color="auto" w:fill="FFFFFF"/>
            <w:vAlign w:val="center"/>
          </w:tcPr>
          <w:p>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color="auto" w:sz="6" w:space="0"/>
              <w:left w:val="single" w:color="auto" w:sz="6" w:space="0"/>
              <w:bottom w:val="single" w:color="auto" w:sz="6" w:space="0"/>
              <w:right w:val="single" w:color="auto" w:sz="6" w:space="0"/>
            </w:tcBorders>
            <w:shd w:val="clear" w:color="auto" w:fill="FFFFFF"/>
          </w:tcPr>
          <w:p>
            <w:pPr>
              <w:spacing w:after="0" w:line="240" w:lineRule="auto"/>
              <w:jc w:val="center"/>
              <w:rPr>
                <w:rFonts w:ascii="Times New Roman" w:hAnsi="Times New Roman"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shd w:val="clear" w:color="auto" w:fill="FFFFFF"/>
          </w:tcPr>
          <w:p>
            <w:pPr>
              <w:spacing w:after="0" w:line="240" w:lineRule="auto"/>
              <w:jc w:val="center"/>
              <w:rPr>
                <w:rFonts w:ascii="Times New Roman" w:hAnsi="Times New Roman" w:cs="Times New Roman"/>
                <w:sz w:val="24"/>
                <w:szCs w:val="24"/>
              </w:rPr>
            </w:pPr>
          </w:p>
        </w:tc>
      </w:tr>
      <w:tr>
        <w:tblPrEx>
          <w:tblCellMar>
            <w:top w:w="0" w:type="dxa"/>
            <w:left w:w="40" w:type="dxa"/>
            <w:bottom w:w="0" w:type="dxa"/>
            <w:right w:w="40" w:type="dxa"/>
          </w:tblCellMar>
        </w:tblPrEx>
        <w:trPr>
          <w:trHeight w:val="245" w:hRule="atLeast"/>
        </w:trPr>
        <w:tc>
          <w:tcPr>
            <w:tcW w:w="377" w:type="dxa"/>
            <w:tcBorders>
              <w:top w:val="single" w:color="auto" w:sz="6" w:space="0"/>
              <w:left w:val="single" w:color="auto" w:sz="6" w:space="0"/>
              <w:bottom w:val="single" w:color="auto" w:sz="6" w:space="0"/>
              <w:right w:val="single" w:color="auto" w:sz="6" w:space="0"/>
            </w:tcBorders>
            <w:shd w:val="clear" w:color="auto" w:fill="FFFFFF"/>
          </w:tcPr>
          <w:p>
            <w:pPr>
              <w:spacing w:after="0" w:line="240" w:lineRule="auto"/>
              <w:rPr>
                <w:rFonts w:ascii="Times New Roman" w:hAnsi="Times New Roman" w:cs="Times New Roman"/>
                <w:sz w:val="24"/>
                <w:szCs w:val="24"/>
              </w:rPr>
            </w:pPr>
          </w:p>
        </w:tc>
        <w:tc>
          <w:tcPr>
            <w:tcW w:w="3405" w:type="dxa"/>
            <w:tcBorders>
              <w:top w:val="single" w:color="auto" w:sz="6" w:space="0"/>
              <w:left w:val="single" w:color="auto" w:sz="6" w:space="0"/>
              <w:bottom w:val="single" w:color="auto" w:sz="6" w:space="0"/>
              <w:right w:val="single" w:color="auto" w:sz="6" w:space="0"/>
            </w:tcBorders>
            <w:shd w:val="clear" w:color="auto" w:fill="FFFFFF"/>
          </w:tcPr>
          <w:p>
            <w:pPr>
              <w:spacing w:after="0" w:line="240" w:lineRule="auto"/>
              <w:rPr>
                <w:rFonts w:ascii="Times New Roman" w:hAnsi="Times New Roman" w:cs="Times New Roman"/>
                <w:sz w:val="24"/>
                <w:szCs w:val="24"/>
              </w:rPr>
            </w:pPr>
          </w:p>
        </w:tc>
        <w:tc>
          <w:tcPr>
            <w:tcW w:w="992" w:type="dxa"/>
            <w:tcBorders>
              <w:top w:val="single" w:color="auto" w:sz="6" w:space="0"/>
              <w:left w:val="single" w:color="auto" w:sz="6" w:space="0"/>
              <w:bottom w:val="single" w:color="auto" w:sz="6" w:space="0"/>
              <w:right w:val="single" w:color="auto" w:sz="6" w:space="0"/>
            </w:tcBorders>
            <w:shd w:val="clear" w:color="auto" w:fill="FFFFFF"/>
          </w:tcPr>
          <w:p>
            <w:pPr>
              <w:snapToGrid w:val="0"/>
              <w:spacing w:after="0" w:line="240" w:lineRule="auto"/>
              <w:jc w:val="center"/>
              <w:rPr>
                <w:rFonts w:ascii="Times New Roman" w:hAnsi="Times New Roman" w:cs="Times New Roman"/>
                <w:sz w:val="24"/>
                <w:szCs w:val="24"/>
                <w:lang w:eastAsia="en-US"/>
              </w:rPr>
            </w:pPr>
          </w:p>
        </w:tc>
        <w:tc>
          <w:tcPr>
            <w:tcW w:w="709" w:type="dxa"/>
            <w:tcBorders>
              <w:top w:val="single" w:color="auto" w:sz="6" w:space="0"/>
              <w:left w:val="single" w:color="auto" w:sz="6" w:space="0"/>
              <w:bottom w:val="single" w:color="auto" w:sz="6" w:space="0"/>
              <w:right w:val="single" w:color="auto" w:sz="6" w:space="0"/>
            </w:tcBorders>
            <w:shd w:val="clear" w:color="auto" w:fill="FFFFFF"/>
            <w:vAlign w:val="center"/>
          </w:tcPr>
          <w:p>
            <w:pPr>
              <w:snapToGrid w:val="0"/>
              <w:spacing w:after="0" w:line="240" w:lineRule="auto"/>
              <w:jc w:val="center"/>
              <w:rPr>
                <w:rFonts w:ascii="Times New Roman" w:hAnsi="Times New Roman" w:cs="Times New Roman"/>
                <w:sz w:val="24"/>
                <w:szCs w:val="24"/>
                <w:lang w:eastAsia="en-US"/>
              </w:rPr>
            </w:pPr>
          </w:p>
        </w:tc>
        <w:tc>
          <w:tcPr>
            <w:tcW w:w="1040" w:type="dxa"/>
            <w:tcBorders>
              <w:top w:val="single" w:color="auto" w:sz="6" w:space="0"/>
              <w:left w:val="single" w:color="auto" w:sz="6" w:space="0"/>
              <w:bottom w:val="single" w:color="auto" w:sz="6" w:space="0"/>
              <w:right w:val="single" w:color="auto" w:sz="6" w:space="0"/>
            </w:tcBorders>
            <w:shd w:val="clear" w:color="auto" w:fill="FFFFFF"/>
            <w:vAlign w:val="center"/>
          </w:tcPr>
          <w:p>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color="auto" w:sz="6" w:space="0"/>
              <w:left w:val="single" w:color="auto" w:sz="6" w:space="0"/>
              <w:bottom w:val="single" w:color="auto" w:sz="6" w:space="0"/>
              <w:right w:val="single" w:color="auto" w:sz="6" w:space="0"/>
            </w:tcBorders>
            <w:shd w:val="clear" w:color="auto" w:fill="FFFFFF"/>
          </w:tcPr>
          <w:p>
            <w:pPr>
              <w:spacing w:after="0" w:line="240" w:lineRule="auto"/>
              <w:jc w:val="center"/>
              <w:rPr>
                <w:rFonts w:ascii="Times New Roman" w:hAnsi="Times New Roman"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shd w:val="clear" w:color="auto" w:fill="FFFFFF"/>
          </w:tcPr>
          <w:p>
            <w:pPr>
              <w:spacing w:after="0" w:line="240" w:lineRule="auto"/>
              <w:jc w:val="center"/>
              <w:rPr>
                <w:rFonts w:ascii="Times New Roman" w:hAnsi="Times New Roman" w:cs="Times New Roman"/>
                <w:sz w:val="24"/>
                <w:szCs w:val="24"/>
              </w:rPr>
            </w:pPr>
          </w:p>
        </w:tc>
      </w:tr>
      <w:tr>
        <w:tblPrEx>
          <w:tblCellMar>
            <w:top w:w="0" w:type="dxa"/>
            <w:left w:w="40" w:type="dxa"/>
            <w:bottom w:w="0" w:type="dxa"/>
            <w:right w:w="40" w:type="dxa"/>
          </w:tblCellMar>
        </w:tblPrEx>
        <w:trPr>
          <w:trHeight w:val="245" w:hRule="atLeast"/>
        </w:trPr>
        <w:tc>
          <w:tcPr>
            <w:tcW w:w="377" w:type="dxa"/>
            <w:tcBorders>
              <w:top w:val="single" w:color="auto" w:sz="6" w:space="0"/>
              <w:left w:val="single" w:color="auto" w:sz="6" w:space="0"/>
              <w:bottom w:val="single" w:color="auto" w:sz="4" w:space="0"/>
              <w:right w:val="single" w:color="auto" w:sz="6" w:space="0"/>
            </w:tcBorders>
            <w:shd w:val="clear" w:color="auto" w:fill="FFFFFF"/>
          </w:tcPr>
          <w:p>
            <w:pPr>
              <w:spacing w:after="0" w:line="240" w:lineRule="auto"/>
              <w:rPr>
                <w:rFonts w:ascii="Times New Roman" w:hAnsi="Times New Roman" w:cs="Times New Roman"/>
                <w:sz w:val="24"/>
                <w:szCs w:val="24"/>
              </w:rPr>
            </w:pPr>
          </w:p>
        </w:tc>
        <w:tc>
          <w:tcPr>
            <w:tcW w:w="3405" w:type="dxa"/>
            <w:tcBorders>
              <w:top w:val="single" w:color="auto" w:sz="6" w:space="0"/>
              <w:left w:val="single" w:color="auto" w:sz="6" w:space="0"/>
              <w:bottom w:val="single" w:color="auto" w:sz="4" w:space="0"/>
              <w:right w:val="single" w:color="auto" w:sz="6" w:space="0"/>
            </w:tcBorders>
            <w:shd w:val="clear" w:color="auto" w:fill="FFFFFF"/>
          </w:tcPr>
          <w:p>
            <w:pPr>
              <w:spacing w:after="0" w:line="240" w:lineRule="auto"/>
              <w:rPr>
                <w:rFonts w:ascii="Times New Roman" w:hAnsi="Times New Roman" w:cs="Times New Roman"/>
                <w:sz w:val="24"/>
                <w:szCs w:val="24"/>
              </w:rPr>
            </w:pPr>
            <w:r>
              <mc:AlternateContent>
                <mc:Choice Requires="wps">
                  <w:drawing>
                    <wp:anchor distT="0" distB="0" distL="114300" distR="114300" simplePos="0" relativeHeight="251659264" behindDoc="0" locked="0" layoutInCell="1" allowOverlap="1">
                      <wp:simplePos x="0" y="0"/>
                      <wp:positionH relativeFrom="column">
                        <wp:posOffset>2123440</wp:posOffset>
                      </wp:positionH>
                      <wp:positionV relativeFrom="paragraph">
                        <wp:posOffset>124460</wp:posOffset>
                      </wp:positionV>
                      <wp:extent cx="18415" cy="108585"/>
                      <wp:effectExtent l="0" t="635" r="127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8415" cy="108585"/>
                              </a:xfrm>
                            </wps:spPr>
                            <wps:bodyPr/>
                          </wps:wsp>
                        </a:graphicData>
                      </a:graphic>
                    </wp:anchor>
                  </w:drawing>
                </mc:Choice>
                <mc:Fallback>
                  <w:pict>
                    <v:shape id="Рукописный ввод 1" o:spid="_x0000_s1026" style="position:absolute;left:0pt;margin-left:167.2pt;margin-top:9.8pt;height:8.55pt;width:1.45pt;z-index:251659264;mso-width-relative:page;mso-height-relative:page;" filled="f" stroked="f" coordsize="21600,21600" o:gfxdata="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">
                      <v:fill on="f" focussize="0,0"/>
                      <v:stroke on="f"/>
                      <v:imagedata o:title=""/>
                      <o:lock v:ext="edit" aspectratio="t"/>
                    </v:shape>
                  </w:pict>
                </mc:Fallback>
              </mc:AlternateContent>
            </w:r>
          </w:p>
        </w:tc>
        <w:tc>
          <w:tcPr>
            <w:tcW w:w="992" w:type="dxa"/>
            <w:tcBorders>
              <w:top w:val="single" w:color="auto" w:sz="6" w:space="0"/>
              <w:left w:val="single" w:color="auto" w:sz="6" w:space="0"/>
              <w:bottom w:val="single" w:color="auto" w:sz="4" w:space="0"/>
              <w:right w:val="single" w:color="auto" w:sz="6" w:space="0"/>
            </w:tcBorders>
            <w:shd w:val="clear" w:color="auto" w:fill="FFFFFF"/>
          </w:tcPr>
          <w:p>
            <w:pPr>
              <w:snapToGrid w:val="0"/>
              <w:spacing w:after="0" w:line="240" w:lineRule="auto"/>
              <w:jc w:val="center"/>
              <w:rPr>
                <w:rFonts w:ascii="Times New Roman" w:hAnsi="Times New Roman" w:cs="Times New Roman"/>
                <w:sz w:val="24"/>
                <w:szCs w:val="24"/>
                <w:lang w:eastAsia="en-US"/>
              </w:rPr>
            </w:pPr>
          </w:p>
        </w:tc>
        <w:tc>
          <w:tcPr>
            <w:tcW w:w="709" w:type="dxa"/>
            <w:tcBorders>
              <w:top w:val="single" w:color="auto" w:sz="6" w:space="0"/>
              <w:left w:val="single" w:color="auto" w:sz="6" w:space="0"/>
              <w:bottom w:val="single" w:color="auto" w:sz="4" w:space="0"/>
              <w:right w:val="single" w:color="auto" w:sz="6" w:space="0"/>
            </w:tcBorders>
            <w:shd w:val="clear" w:color="auto" w:fill="FFFFFF"/>
            <w:vAlign w:val="center"/>
          </w:tcPr>
          <w:p>
            <w:pPr>
              <w:snapToGrid w:val="0"/>
              <w:spacing w:after="0" w:line="240" w:lineRule="auto"/>
              <w:jc w:val="center"/>
              <w:rPr>
                <w:rFonts w:ascii="Times New Roman" w:hAnsi="Times New Roman" w:cs="Times New Roman"/>
                <w:sz w:val="24"/>
                <w:szCs w:val="24"/>
                <w:lang w:eastAsia="en-US"/>
              </w:rPr>
            </w:pPr>
          </w:p>
        </w:tc>
        <w:tc>
          <w:tcPr>
            <w:tcW w:w="1040" w:type="dxa"/>
            <w:tcBorders>
              <w:top w:val="single" w:color="auto" w:sz="6" w:space="0"/>
              <w:left w:val="single" w:color="auto" w:sz="6" w:space="0"/>
              <w:bottom w:val="single" w:color="auto" w:sz="6" w:space="0"/>
              <w:right w:val="single" w:color="auto" w:sz="6" w:space="0"/>
            </w:tcBorders>
            <w:shd w:val="clear" w:color="auto" w:fill="FFFFFF"/>
            <w:vAlign w:val="center"/>
          </w:tcPr>
          <w:p>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color="auto" w:sz="6" w:space="0"/>
              <w:left w:val="single" w:color="auto" w:sz="6" w:space="0"/>
              <w:bottom w:val="single" w:color="auto" w:sz="6" w:space="0"/>
              <w:right w:val="single" w:color="auto" w:sz="6" w:space="0"/>
            </w:tcBorders>
            <w:shd w:val="clear" w:color="auto" w:fill="FFFFFF"/>
          </w:tcPr>
          <w:p>
            <w:pPr>
              <w:spacing w:after="0" w:line="240" w:lineRule="auto"/>
              <w:jc w:val="center"/>
              <w:rPr>
                <w:rFonts w:ascii="Times New Roman" w:hAnsi="Times New Roman"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shd w:val="clear" w:color="auto" w:fill="FFFFFF"/>
          </w:tcPr>
          <w:p>
            <w:pPr>
              <w:spacing w:after="0" w:line="240" w:lineRule="auto"/>
              <w:jc w:val="center"/>
              <w:rPr>
                <w:rFonts w:ascii="Times New Roman" w:hAnsi="Times New Roman" w:cs="Times New Roman"/>
                <w:sz w:val="24"/>
                <w:szCs w:val="24"/>
              </w:rPr>
            </w:pPr>
          </w:p>
        </w:tc>
      </w:tr>
      <w:tr>
        <w:tblPrEx>
          <w:tblCellMar>
            <w:top w:w="0" w:type="dxa"/>
            <w:left w:w="40" w:type="dxa"/>
            <w:bottom w:w="0" w:type="dxa"/>
            <w:right w:w="40" w:type="dxa"/>
          </w:tblCellMar>
        </w:tblPrEx>
        <w:trPr>
          <w:trHeight w:val="245" w:hRule="atLeast"/>
        </w:trPr>
        <w:tc>
          <w:tcPr>
            <w:tcW w:w="5483" w:type="dxa"/>
            <w:gridSpan w:val="4"/>
            <w:vMerge w:val="restart"/>
            <w:tcBorders>
              <w:top w:val="single" w:color="auto" w:sz="4" w:space="0"/>
              <w:left w:val="nil"/>
              <w:bottom w:val="nil"/>
              <w:right w:val="single" w:color="auto" w:sz="4" w:space="0"/>
            </w:tcBorders>
            <w:shd w:val="clear" w:color="auto" w:fill="FFFFFF"/>
          </w:tcPr>
          <w:p>
            <w:pPr>
              <w:snapToGrid w:val="0"/>
              <w:spacing w:after="0" w:line="240" w:lineRule="auto"/>
              <w:jc w:val="center"/>
              <w:rPr>
                <w:rFonts w:ascii="Times New Roman" w:hAnsi="Times New Roman" w:cs="Times New Roman"/>
                <w:bCs/>
                <w:sz w:val="24"/>
                <w:szCs w:val="24"/>
                <w:lang w:eastAsia="en-US"/>
              </w:rPr>
            </w:pPr>
          </w:p>
        </w:tc>
        <w:tc>
          <w:tcPr>
            <w:tcW w:w="2409" w:type="dxa"/>
            <w:gridSpan w:val="2"/>
            <w:tcBorders>
              <w:top w:val="single" w:color="auto" w:sz="4" w:space="0"/>
              <w:left w:val="single" w:color="auto" w:sz="4" w:space="0"/>
              <w:bottom w:val="single" w:color="auto" w:sz="6" w:space="0"/>
              <w:right w:val="single" w:color="auto" w:sz="4" w:space="0"/>
            </w:tcBorders>
            <w:shd w:val="clear" w:color="auto" w:fill="FFFFFF"/>
            <w:vAlign w:val="center"/>
          </w:tcPr>
          <w:p>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В том числе</w:t>
            </w:r>
          </w:p>
          <w:p>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НДС ___%</w:t>
            </w:r>
          </w:p>
        </w:tc>
        <w:tc>
          <w:tcPr>
            <w:tcW w:w="1843" w:type="dxa"/>
            <w:tcBorders>
              <w:top w:val="single" w:color="auto" w:sz="6" w:space="0"/>
              <w:left w:val="single" w:color="auto" w:sz="4" w:space="0"/>
              <w:bottom w:val="single" w:color="auto" w:sz="6" w:space="0"/>
              <w:right w:val="single" w:color="auto" w:sz="6" w:space="0"/>
            </w:tcBorders>
            <w:shd w:val="clear" w:color="auto" w:fill="FFFFFF"/>
          </w:tcPr>
          <w:p>
            <w:pPr>
              <w:spacing w:after="0" w:line="240" w:lineRule="auto"/>
              <w:jc w:val="center"/>
              <w:rPr>
                <w:rFonts w:ascii="Times New Roman" w:hAnsi="Times New Roman" w:cs="Times New Roman"/>
                <w:sz w:val="24"/>
                <w:szCs w:val="24"/>
              </w:rPr>
            </w:pPr>
          </w:p>
        </w:tc>
      </w:tr>
      <w:tr>
        <w:tblPrEx>
          <w:tblCellMar>
            <w:top w:w="0" w:type="dxa"/>
            <w:left w:w="40" w:type="dxa"/>
            <w:bottom w:w="0" w:type="dxa"/>
            <w:right w:w="40" w:type="dxa"/>
          </w:tblCellMar>
        </w:tblPrEx>
        <w:trPr>
          <w:trHeight w:val="245" w:hRule="atLeast"/>
        </w:trPr>
        <w:tc>
          <w:tcPr>
            <w:tcW w:w="5483" w:type="dxa"/>
            <w:gridSpan w:val="4"/>
            <w:vMerge w:val="continue"/>
            <w:tcBorders>
              <w:top w:val="single" w:color="auto" w:sz="4" w:space="0"/>
              <w:left w:val="nil"/>
              <w:bottom w:val="nil"/>
              <w:right w:val="single" w:color="auto" w:sz="4" w:space="0"/>
            </w:tcBorders>
            <w:vAlign w:val="center"/>
          </w:tcPr>
          <w:p>
            <w:pPr>
              <w:spacing w:after="0"/>
              <w:rPr>
                <w:rFonts w:ascii="Times New Roman" w:hAnsi="Times New Roman" w:cs="Times New Roman"/>
                <w:bCs/>
                <w:sz w:val="24"/>
                <w:szCs w:val="24"/>
                <w:lang w:eastAsia="en-US"/>
              </w:rPr>
            </w:pPr>
          </w:p>
        </w:tc>
        <w:tc>
          <w:tcPr>
            <w:tcW w:w="2409" w:type="dxa"/>
            <w:gridSpan w:val="2"/>
            <w:tcBorders>
              <w:top w:val="single" w:color="auto" w:sz="6" w:space="0"/>
              <w:left w:val="single" w:color="auto" w:sz="4" w:space="0"/>
              <w:bottom w:val="single" w:color="auto" w:sz="4" w:space="0"/>
              <w:right w:val="single" w:color="auto" w:sz="4" w:space="0"/>
            </w:tcBorders>
            <w:shd w:val="clear" w:color="auto" w:fill="FFFFFF"/>
            <w:vAlign w:val="center"/>
          </w:tcPr>
          <w:p>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Итого:</w:t>
            </w:r>
          </w:p>
        </w:tc>
        <w:tc>
          <w:tcPr>
            <w:tcW w:w="1843" w:type="dxa"/>
            <w:tcBorders>
              <w:top w:val="single" w:color="auto" w:sz="6" w:space="0"/>
              <w:left w:val="single" w:color="auto" w:sz="4" w:space="0"/>
              <w:bottom w:val="single" w:color="auto" w:sz="6" w:space="0"/>
              <w:right w:val="single" w:color="auto" w:sz="6" w:space="0"/>
            </w:tcBorders>
            <w:shd w:val="clear" w:color="auto" w:fill="FFFFFF"/>
          </w:tcPr>
          <w:p>
            <w:pPr>
              <w:spacing w:after="0" w:line="240" w:lineRule="auto"/>
              <w:jc w:val="center"/>
              <w:rPr>
                <w:rFonts w:ascii="Times New Roman" w:hAnsi="Times New Roman" w:cs="Times New Roman"/>
                <w:sz w:val="24"/>
                <w:szCs w:val="24"/>
              </w:rPr>
            </w:pPr>
          </w:p>
        </w:tc>
      </w:tr>
    </w:tbl>
    <w:p>
      <w:p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bookmarkStart w:id="5" w:name="_Hlk181177581"/>
      <w:bookmarkStart w:id="6" w:name="OLE_LINK1"/>
    </w:p>
    <w:p>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Комплектация</w:t>
      </w:r>
      <w:r>
        <w:rPr>
          <w:rFonts w:hint="default" w:ascii="Times New Roman" w:hAnsi="Times New Roman" w:cs="Times New Roman"/>
          <w:bCs/>
          <w:color w:val="000000"/>
          <w:sz w:val="24"/>
          <w:szCs w:val="24"/>
          <w:lang w:val="ru-RU"/>
        </w:rPr>
        <w:t>: в</w:t>
      </w:r>
      <w:r>
        <w:rPr>
          <w:rFonts w:ascii="Times New Roman" w:hAnsi="Times New Roman" w:cs="Times New Roman"/>
          <w:bCs/>
          <w:color w:val="000000"/>
          <w:sz w:val="24"/>
          <w:szCs w:val="24"/>
        </w:rPr>
        <w:t>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 а также 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u w:val="single"/>
        </w:rPr>
      </w:pPr>
    </w:p>
    <w:p>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Срок поставки: __________________________________________________________.</w:t>
      </w:r>
    </w:p>
    <w:p>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Место поставки (адрес доставки): 350039, Россия, Краснодарский край, г. Краснодар, </w:t>
      </w:r>
    </w:p>
    <w:p>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ул. им. Калинина, д. 62.</w:t>
      </w:r>
    </w:p>
    <w:p>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Приемка Товара осуществляется в рабочие дни.</w:t>
      </w:r>
    </w:p>
    <w:p>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Время приемки: пн – чт. - </w:t>
      </w:r>
      <w:bookmarkStart w:id="7" w:name="_Hlk178774778"/>
      <w:r>
        <w:rPr>
          <w:rFonts w:ascii="Times New Roman" w:hAnsi="Times New Roman" w:cs="Times New Roman"/>
          <w:bCs/>
          <w:color w:val="000000"/>
          <w:sz w:val="24"/>
          <w:szCs w:val="24"/>
        </w:rPr>
        <w:t>с 08.00 ч. по 17.00 ч., перерыв с 12.00 ч. по 13.00 ч.;</w:t>
      </w:r>
    </w:p>
    <w:bookmarkEnd w:id="7"/>
    <w:p>
      <w:pPr>
        <w:shd w:val="clear" w:color="auto" w:fill="FFFFFF"/>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 xml:space="preserve">     пт. -</w:t>
      </w:r>
      <w:r>
        <w:rPr>
          <w:rFonts w:ascii="Times New Roman" w:hAnsi="Times New Roman" w:cs="Times New Roman"/>
          <w:sz w:val="24"/>
          <w:szCs w:val="24"/>
        </w:rPr>
        <w:t xml:space="preserve"> </w:t>
      </w:r>
      <w:r>
        <w:rPr>
          <w:rFonts w:ascii="Times New Roman" w:hAnsi="Times New Roman" w:cs="Times New Roman"/>
          <w:bCs/>
          <w:sz w:val="24"/>
          <w:szCs w:val="24"/>
        </w:rPr>
        <w:t>с 08.00 ч. по 16.00 ч., перерыв с 12.00 ч. по 13.00 ч.</w:t>
      </w:r>
    </w:p>
    <w:p>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Условия поставки: </w:t>
      </w:r>
    </w:p>
    <w:p>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Гарантийный срок на товар: </w:t>
      </w:r>
      <w:r>
        <w:rPr>
          <w:rFonts w:hint="default" w:ascii="Times New Roman" w:hAnsi="Times New Roman" w:cs="Times New Roman"/>
          <w:bCs/>
          <w:color w:val="000000"/>
          <w:sz w:val="24"/>
          <w:szCs w:val="24"/>
          <w:lang w:val="ru-RU"/>
        </w:rPr>
        <w:t>12 месяцев</w:t>
      </w:r>
      <w:r>
        <w:rPr>
          <w:rFonts w:ascii="Times New Roman" w:hAnsi="Times New Roman" w:cs="Times New Roman"/>
          <w:bCs/>
          <w:color w:val="000000"/>
          <w:sz w:val="24"/>
          <w:szCs w:val="24"/>
        </w:rPr>
        <w:t>.</w:t>
      </w:r>
    </w:p>
    <w:p>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Иные условия поставки и характеристики товара: ____________________________</w:t>
      </w:r>
    </w:p>
    <w:p>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w:t>
      </w:r>
    </w:p>
    <w:p>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_______________________________________________________________________</w:t>
      </w:r>
    </w:p>
    <w:p>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37"/>
        <w:gridCol w:w="46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68" w:type="dxa"/>
          </w:tcPr>
          <w:p>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tc>
        <w:tc>
          <w:tcPr>
            <w:tcW w:w="5169" w:type="dxa"/>
          </w:tcPr>
          <w:p>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Поставщик: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68" w:type="dxa"/>
          </w:tcPr>
          <w:p>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ФГБНУ ФНЦБЗР</w:t>
            </w:r>
          </w:p>
          <w:p>
            <w:pPr>
              <w:autoSpaceDE w:val="0"/>
              <w:autoSpaceDN w:val="0"/>
              <w:adjustRightInd w:val="0"/>
              <w:spacing w:after="0" w:line="240" w:lineRule="auto"/>
              <w:jc w:val="both"/>
              <w:rPr>
                <w:rFonts w:ascii="Times New Roman" w:hAnsi="Times New Roman" w:cs="Times New Roman"/>
                <w:b/>
                <w:bCs/>
                <w:color w:val="000000"/>
                <w:sz w:val="24"/>
                <w:szCs w:val="24"/>
              </w:rPr>
            </w:pPr>
          </w:p>
          <w:p>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Заместитель директора по административно-хозяйственной деятельности</w:t>
            </w:r>
          </w:p>
          <w:p>
            <w:pPr>
              <w:autoSpaceDE w:val="0"/>
              <w:autoSpaceDN w:val="0"/>
              <w:adjustRightInd w:val="0"/>
              <w:spacing w:after="0" w:line="240" w:lineRule="auto"/>
              <w:jc w:val="both"/>
              <w:rPr>
                <w:rFonts w:ascii="Times New Roman" w:hAnsi="Times New Roman" w:cs="Times New Roman"/>
                <w:b/>
                <w:bCs/>
                <w:color w:val="000000"/>
                <w:sz w:val="24"/>
                <w:szCs w:val="24"/>
              </w:rPr>
            </w:pPr>
          </w:p>
          <w:p>
            <w:pPr>
              <w:autoSpaceDE w:val="0"/>
              <w:autoSpaceDN w:val="0"/>
              <w:adjustRightInd w:val="0"/>
              <w:spacing w:after="0" w:line="240" w:lineRule="auto"/>
              <w:jc w:val="both"/>
              <w:rPr>
                <w:rFonts w:ascii="Times New Roman" w:hAnsi="Times New Roman" w:cs="Times New Roman"/>
                <w:color w:val="000000"/>
                <w:sz w:val="24"/>
                <w:szCs w:val="24"/>
              </w:rPr>
            </w:pPr>
            <w:r>
              <w:rPr>
                <w:rFonts w:hint="default" w:ascii="Times New Roman" w:hAnsi="Times New Roman" w:cs="Times New Roman"/>
                <w:b/>
                <w:bCs/>
                <w:color w:val="000000"/>
                <w:sz w:val="24"/>
                <w:szCs w:val="24"/>
                <w:lang w:val="ru-RU"/>
              </w:rPr>
              <w:t>________________________</w:t>
            </w:r>
            <w:r>
              <w:rPr>
                <w:rFonts w:ascii="Times New Roman" w:hAnsi="Times New Roman" w:cs="Times New Roman"/>
                <w:b/>
                <w:bCs/>
                <w:color w:val="000000"/>
                <w:sz w:val="24"/>
                <w:szCs w:val="24"/>
              </w:rPr>
              <w:t>Н.Л. Анорина</w:t>
            </w:r>
            <w:r>
              <w:rPr>
                <w:rFonts w:ascii="Times New Roman" w:hAnsi="Times New Roman" w:cs="Times New Roman"/>
                <w:color w:val="000000"/>
                <w:sz w:val="24"/>
                <w:szCs w:val="24"/>
              </w:rPr>
              <w:t xml:space="preserve"> </w:t>
            </w:r>
          </w:p>
        </w:tc>
        <w:tc>
          <w:tcPr>
            <w:tcW w:w="5169" w:type="dxa"/>
          </w:tcPr>
          <w:p>
            <w:pPr>
              <w:autoSpaceDE w:val="0"/>
              <w:autoSpaceDN w:val="0"/>
              <w:adjustRightInd w:val="0"/>
              <w:spacing w:after="0" w:line="240" w:lineRule="auto"/>
              <w:jc w:val="both"/>
              <w:rPr>
                <w:rFonts w:ascii="Times New Roman" w:hAnsi="Times New Roman" w:cs="Times New Roman"/>
                <w:b/>
                <w:bCs/>
                <w:color w:val="000000"/>
                <w:sz w:val="24"/>
                <w:szCs w:val="24"/>
              </w:rPr>
            </w:pPr>
          </w:p>
        </w:tc>
      </w:tr>
      <w:bookmarkEnd w:id="5"/>
      <w:bookmarkEnd w:id="6"/>
    </w:tbl>
    <w:p>
      <w:pPr>
        <w:jc w:val="both"/>
        <w:rPr>
          <w:rFonts w:ascii="Times New Roman" w:hAnsi="Times New Roman" w:cs="Times New Roman"/>
          <w:b/>
          <w:caps/>
          <w:sz w:val="24"/>
          <w:szCs w:val="24"/>
        </w:rPr>
      </w:pPr>
    </w:p>
    <w:sectPr>
      <w:footerReference r:id="rId5" w:type="default"/>
      <w:pgSz w:w="11906" w:h="16838"/>
      <w:pgMar w:top="993" w:right="850" w:bottom="709"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Times New Roman"/>
    <w:panose1 w:val="00000000000000000000"/>
    <w:charset w:val="86"/>
    <w:family w:val="auto"/>
    <w:pitch w:val="default"/>
    <w:sig w:usb0="00000000" w:usb1="00000000" w:usb2="00000000" w:usb3="00000000" w:csb0="00000000" w:csb1="00000000"/>
  </w:font>
  <w:font w:name="Arial">
    <w:altName w:val="Times New Roman"/>
    <w:panose1 w:val="020B0604020202020204"/>
    <w:charset w:val="00"/>
    <w:family w:val="swiss"/>
    <w:pitch w:val="default"/>
    <w:sig w:usb0="E0002EFF" w:usb1="C0007843" w:usb2="00000009" w:usb3="00000000" w:csb0="400001FF" w:csb1="FFFF0000"/>
  </w:font>
  <w:font w:name="Courier New">
    <w:altName w:val="DejaVu Sans"/>
    <w:panose1 w:val="02070309020205020404"/>
    <w:charset w:val="00"/>
    <w:family w:val="modern"/>
    <w:pitch w:val="default"/>
    <w:sig w:usb0="E0002EFF" w:usb1="C0007843" w:usb2="00000009" w:usb3="00000000" w:csb0="400001FF" w:csb1="FFFF0000"/>
  </w:font>
  <w:font w:name="DejaVu Sans">
    <w:panose1 w:val="020B0606030804020204"/>
    <w:charset w:val="00"/>
    <w:family w:val="auto"/>
    <w:pitch w:val="default"/>
    <w:sig w:usb0="E7006EFF" w:usb1="D200FDFF" w:usb2="0A246029" w:usb3="0400200C" w:csb0="600001FF" w:csb1="DFFF0000"/>
  </w:font>
  <w:font w:name="黑体">
    <w:altName w:val="Times New Roman"/>
    <w:panose1 w:val="02010609060101010101"/>
    <w:charset w:val="00"/>
    <w:family w:val="modern"/>
    <w:pitch w:val="default"/>
    <w:sig w:usb0="800002BF" w:usb1="38CF7CFA" w:usb2="00000016" w:usb3="00000000" w:csb0="00040001" w:csb1="00000000"/>
  </w:font>
  <w:font w:name="Wingdings">
    <w:altName w:val="Arimo"/>
    <w:panose1 w:val="05000000000000000000"/>
    <w:charset w:val="00"/>
    <w:family w:val="auto"/>
    <w:pitch w:val="default"/>
    <w:sig w:usb0="00000000" w:usb1="00000000" w:usb2="00000000" w:usb3="00000000" w:csb0="80000000" w:csb1="00000000"/>
  </w:font>
  <w:font w:name="Arimo">
    <w:panose1 w:val="020B0604020202020204"/>
    <w:charset w:val="00"/>
    <w:family w:val="auto"/>
    <w:pitch w:val="default"/>
    <w:sig w:usb0="E0000AFF" w:usb1="500078FF" w:usb2="00000021" w:usb3="00000000" w:csb0="600001BF" w:csb1="DFF70000"/>
  </w:font>
  <w:font w:name="Calibri">
    <w:altName w:val="DejaVu Sans"/>
    <w:panose1 w:val="020F0502020204030204"/>
    <w:charset w:val="00"/>
    <w:family w:val="swiss"/>
    <w:pitch w:val="default"/>
    <w:sig w:usb0="00000000" w:usb1="00000000" w:usb2="00000001" w:usb3="00000000" w:csb0="0000019F" w:csb1="00000000"/>
  </w:font>
  <w:font w:name="SimSun">
    <w:altName w:val="Times New Roman"/>
    <w:panose1 w:val="02010600030101010101"/>
    <w:charset w:val="86"/>
    <w:family w:val="auto"/>
    <w:pitch w:val="default"/>
    <w:sig w:usb0="00000000" w:usb1="00000000" w:usb2="00000016" w:usb3="00000000" w:csb0="00040001" w:csb1="00000000"/>
  </w:font>
  <w:font w:name="Calibri">
    <w:altName w:val="DejaVu Sans"/>
    <w:panose1 w:val="020F0502020204030204"/>
    <w:charset w:val="CC"/>
    <w:family w:val="swiss"/>
    <w:pitch w:val="default"/>
    <w:sig w:usb0="00000000" w:usb1="00000000" w:usb2="00000009" w:usb3="00000000" w:csb0="000001FF" w:csb1="00000000"/>
  </w:font>
  <w:font w:name="Arial">
    <w:altName w:val="Times New Roman"/>
    <w:panose1 w:val="020B0604020202020204"/>
    <w:charset w:val="CC"/>
    <w:family w:val="swiss"/>
    <w:pitch w:val="default"/>
    <w:sig w:usb0="00000000" w:usb1="00000000" w:usb2="00000009" w:usb3="00000000" w:csb0="000001FF"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7"/>
          <w:jc w:val="center"/>
        </w:pPr>
        <w:r>
          <w:fldChar w:fldCharType="begin"/>
        </w:r>
        <w:r>
          <w:instrText xml:space="preserve">PAGE   \* MERGEFORMAT</w:instrText>
        </w:r>
        <w:r>
          <w:fldChar w:fldCharType="separate"/>
        </w:r>
        <w:r>
          <w:t>1</w:t>
        </w:r>
        <w:r>
          <w:fldChar w:fldCharType="end"/>
        </w:r>
      </w:p>
    </w:sdtContent>
  </w:sdt>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
    <w:p>
      <w:pPr>
        <w:spacing w:before="0" w:after="0" w:line="276" w:lineRule="auto"/>
      </w:pPr>
      <w:r>
        <w:separator/>
      </w:r>
    </w:p>
  </w:footnote>
  <w:footnote w:type="continuationSeparator" w:id="15">
    <w:p>
      <w:pPr>
        <w:spacing w:before="0" w:after="0" w:line="276" w:lineRule="auto"/>
      </w:pPr>
      <w:r>
        <w:continuationSeparator/>
      </w:r>
    </w:p>
  </w:footnote>
  <w:footnote w:id="0">
    <w:p>
      <w:pPr>
        <w:pStyle w:val="5"/>
        <w:rPr>
          <w:rFonts w:ascii="Times New Roman" w:hAnsi="Times New Roman" w:cs="Times New Roman"/>
        </w:rPr>
      </w:pPr>
      <w:r>
        <w:rPr>
          <w:rStyle w:val="4"/>
          <w:rFonts w:ascii="Times New Roman" w:hAnsi="Times New Roman" w:cs="Times New Roman"/>
        </w:rPr>
        <w:footnoteRef/>
      </w:r>
      <w:r>
        <w:rPr>
          <w:rFonts w:ascii="Times New Roman" w:hAnsi="Times New Roman" w:cs="Times New Roman"/>
        </w:rPr>
        <w:t xml:space="preserve"> Указывается полное и сокращенное наименование контрагента в соответствии с Уставом (для юридического лица); Ф.И.О. (полностью), указание на статус ИП, самозанятого (для физических лиц).</w:t>
      </w:r>
    </w:p>
  </w:footnote>
  <w:footnote w:id="1">
    <w:p>
      <w:pPr>
        <w:pStyle w:val="5"/>
        <w:rPr>
          <w:rFonts w:ascii="Times New Roman" w:hAnsi="Times New Roman" w:cs="Times New Roman"/>
        </w:rPr>
      </w:pPr>
      <w:r>
        <w:rPr>
          <w:rStyle w:val="4"/>
        </w:rPr>
        <w:footnoteRef/>
      </w:r>
      <w:r>
        <w:rPr>
          <w:rStyle w:val="4"/>
        </w:rPr>
        <w:t xml:space="preserve"> </w:t>
      </w:r>
      <w:r>
        <w:rPr>
          <w:rFonts w:ascii="Times New Roman" w:hAnsi="Times New Roman" w:cs="Times New Roman"/>
        </w:rPr>
        <w:t>Указывается должность, Ф.И.О. (полностью), действующего от имени Поставщика.</w:t>
      </w:r>
    </w:p>
  </w:footnote>
  <w:footnote w:id="2">
    <w:p>
      <w:pPr>
        <w:pStyle w:val="5"/>
        <w:jc w:val="both"/>
        <w:rPr>
          <w:rFonts w:ascii="Times New Roman" w:hAnsi="Times New Roman" w:cs="Times New Roman"/>
        </w:rPr>
      </w:pPr>
      <w:r>
        <w:rPr>
          <w:rStyle w:val="4"/>
        </w:rPr>
        <w:footnoteRef/>
      </w:r>
      <w:r>
        <w:t xml:space="preserve"> </w:t>
      </w:r>
      <w:r>
        <w:rPr>
          <w:rFonts w:ascii="Times New Roman" w:hAnsi="Times New Roman" w:cs="Times New Roman"/>
        </w:rPr>
        <w:t>В случае, если Договор заключается лицом, не указанным в ЕГРЮЛ, указывается номер и дата доверенности, выданной Поставщиком. В случае заключения Договора с ИП указывается номер записи в ЕГРИП; с самозанятым  - справка о постановке на учет в качестве плательщика налога на профессиональный доход (НПД) (налогоплательщик формирует самостоятельно).</w:t>
      </w:r>
    </w:p>
  </w:footnote>
  <w:footnote w:id="3">
    <w:p>
      <w:pPr>
        <w:pStyle w:val="5"/>
        <w:rPr>
          <w:rFonts w:ascii="Times New Roman" w:hAnsi="Times New Roman" w:cs="Times New Roman"/>
          <w:sz w:val="16"/>
          <w:szCs w:val="16"/>
        </w:rPr>
      </w:pPr>
      <w:r>
        <w:rPr>
          <w:rStyle w:val="4"/>
          <w:sz w:val="16"/>
          <w:szCs w:val="16"/>
        </w:rPr>
        <w:footnoteRef/>
      </w:r>
      <w:r>
        <w:rPr>
          <w:rStyle w:val="4"/>
          <w:sz w:val="16"/>
          <w:szCs w:val="16"/>
        </w:rPr>
        <w:t xml:space="preserve"> </w:t>
      </w:r>
      <w:r>
        <w:rPr>
          <w:rFonts w:ascii="Times New Roman" w:hAnsi="Times New Roman" w:cs="Times New Roman"/>
          <w:sz w:val="16"/>
          <w:szCs w:val="16"/>
        </w:rPr>
        <w:t>Указать ставку налога. В случае, если НДС не применяется, указывается «НДС не облагается» с указанием пункта и статьи Налогового кодекса РФ.</w:t>
      </w:r>
    </w:p>
  </w:footnote>
  <w:footnote w:id="4">
    <w:p>
      <w:pPr>
        <w:pStyle w:val="5"/>
        <w:rPr>
          <w:rFonts w:ascii="Times New Roman" w:hAnsi="Times New Roman" w:cs="Times New Roman"/>
          <w:sz w:val="16"/>
          <w:szCs w:val="16"/>
        </w:rPr>
      </w:pPr>
      <w:r>
        <w:rPr>
          <w:rFonts w:ascii="Times New Roman" w:hAnsi="Times New Roman" w:cs="Times New Roman"/>
          <w:sz w:val="16"/>
          <w:szCs w:val="16"/>
        </w:rPr>
        <w:footnoteRef/>
      </w:r>
      <w:r>
        <w:rPr>
          <w:rFonts w:ascii="Times New Roman" w:hAnsi="Times New Roman" w:cs="Times New Roman"/>
          <w:sz w:val="16"/>
          <w:szCs w:val="16"/>
        </w:rPr>
        <w:t xml:space="preserve"> Указать источник финансирования (грант, доходы от внебюджетной деятельности, пр.)</w:t>
      </w:r>
    </w:p>
  </w:footnote>
  <w:footnote w:id="5">
    <w:p>
      <w:pPr>
        <w:pStyle w:val="5"/>
        <w:rPr>
          <w:rFonts w:ascii="Times New Roman" w:hAnsi="Times New Roman" w:cs="Times New Roman"/>
          <w:sz w:val="16"/>
          <w:szCs w:val="16"/>
        </w:rPr>
      </w:pPr>
      <w:r>
        <w:rPr>
          <w:rStyle w:val="4"/>
          <w:rFonts w:ascii="Times New Roman" w:hAnsi="Times New Roman" w:cs="Times New Roman"/>
          <w:sz w:val="16"/>
          <w:szCs w:val="16"/>
        </w:rPr>
        <w:footnoteRef/>
      </w:r>
      <w:r>
        <w:rPr>
          <w:rFonts w:ascii="Times New Roman" w:hAnsi="Times New Roman" w:cs="Times New Roman"/>
          <w:sz w:val="16"/>
          <w:szCs w:val="16"/>
        </w:rPr>
        <w:t xml:space="preserve"> Указывается в зависимости от вида товара.</w:t>
      </w:r>
    </w:p>
  </w:footnote>
  <w:footnote w:id="6">
    <w:p>
      <w:pPr>
        <w:pStyle w:val="5"/>
        <w:rPr>
          <w:rFonts w:ascii="Times New Roman" w:hAnsi="Times New Roman" w:cs="Times New Roman"/>
          <w:sz w:val="16"/>
          <w:szCs w:val="16"/>
        </w:rPr>
      </w:pPr>
      <w:r>
        <w:rPr>
          <w:rStyle w:val="4"/>
          <w:rFonts w:ascii="Times New Roman" w:hAnsi="Times New Roman" w:cs="Times New Roman"/>
          <w:sz w:val="16"/>
          <w:szCs w:val="16"/>
        </w:rPr>
        <w:footnoteRef/>
      </w:r>
      <w:r>
        <w:rPr>
          <w:rFonts w:ascii="Times New Roman" w:hAnsi="Times New Roman" w:cs="Times New Roman"/>
          <w:sz w:val="16"/>
          <w:szCs w:val="16"/>
        </w:rPr>
        <w:t xml:space="preserve"> Выбрать нужное значение или указать иное.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ocumentProtection w:enforcement="0"/>
  <w:defaultTabStop w:val="708"/>
  <w:characterSpacingControl w:val="doNotCompress"/>
  <w:footnotePr>
    <w:footnote w:id="14"/>
    <w:footnote w:id="15"/>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FC0"/>
    <w:rsid w:val="00015AE2"/>
    <w:rsid w:val="000171D3"/>
    <w:rsid w:val="000234A5"/>
    <w:rsid w:val="000520EB"/>
    <w:rsid w:val="00053B21"/>
    <w:rsid w:val="00055CC9"/>
    <w:rsid w:val="0007397C"/>
    <w:rsid w:val="00074765"/>
    <w:rsid w:val="00077A61"/>
    <w:rsid w:val="000945A1"/>
    <w:rsid w:val="000C4755"/>
    <w:rsid w:val="000F346A"/>
    <w:rsid w:val="00112FC0"/>
    <w:rsid w:val="00115FAB"/>
    <w:rsid w:val="00156799"/>
    <w:rsid w:val="0018632F"/>
    <w:rsid w:val="00195FF8"/>
    <w:rsid w:val="001A0930"/>
    <w:rsid w:val="001A6C9E"/>
    <w:rsid w:val="001C1F7D"/>
    <w:rsid w:val="001C21E1"/>
    <w:rsid w:val="001C34C6"/>
    <w:rsid w:val="001C4A20"/>
    <w:rsid w:val="001C5DBB"/>
    <w:rsid w:val="001E0347"/>
    <w:rsid w:val="00207161"/>
    <w:rsid w:val="0021336E"/>
    <w:rsid w:val="0022420E"/>
    <w:rsid w:val="00235E8C"/>
    <w:rsid w:val="00237F29"/>
    <w:rsid w:val="00275269"/>
    <w:rsid w:val="0027665A"/>
    <w:rsid w:val="002948DD"/>
    <w:rsid w:val="002A34FE"/>
    <w:rsid w:val="002A46AC"/>
    <w:rsid w:val="002C1273"/>
    <w:rsid w:val="002D17B8"/>
    <w:rsid w:val="002D491C"/>
    <w:rsid w:val="002E4F0E"/>
    <w:rsid w:val="00317B62"/>
    <w:rsid w:val="00322568"/>
    <w:rsid w:val="00324BFC"/>
    <w:rsid w:val="003352D7"/>
    <w:rsid w:val="00380F06"/>
    <w:rsid w:val="0038394E"/>
    <w:rsid w:val="003B575C"/>
    <w:rsid w:val="003C3064"/>
    <w:rsid w:val="003F3EA3"/>
    <w:rsid w:val="004054C0"/>
    <w:rsid w:val="00422325"/>
    <w:rsid w:val="00436D7D"/>
    <w:rsid w:val="00451056"/>
    <w:rsid w:val="00455030"/>
    <w:rsid w:val="00476093"/>
    <w:rsid w:val="00496C81"/>
    <w:rsid w:val="004A1424"/>
    <w:rsid w:val="004B5CCB"/>
    <w:rsid w:val="004C14D1"/>
    <w:rsid w:val="00504842"/>
    <w:rsid w:val="0050669D"/>
    <w:rsid w:val="00506784"/>
    <w:rsid w:val="00524771"/>
    <w:rsid w:val="00532A1C"/>
    <w:rsid w:val="00535995"/>
    <w:rsid w:val="005474BF"/>
    <w:rsid w:val="005537A3"/>
    <w:rsid w:val="00556679"/>
    <w:rsid w:val="00563778"/>
    <w:rsid w:val="005655EC"/>
    <w:rsid w:val="00572252"/>
    <w:rsid w:val="0059707A"/>
    <w:rsid w:val="005B2D1F"/>
    <w:rsid w:val="005B33C8"/>
    <w:rsid w:val="005B347C"/>
    <w:rsid w:val="005B5A17"/>
    <w:rsid w:val="005C2505"/>
    <w:rsid w:val="005C2E3A"/>
    <w:rsid w:val="005F5A4B"/>
    <w:rsid w:val="006241DE"/>
    <w:rsid w:val="0062420E"/>
    <w:rsid w:val="00642F6A"/>
    <w:rsid w:val="00650E80"/>
    <w:rsid w:val="00657A79"/>
    <w:rsid w:val="0068160F"/>
    <w:rsid w:val="00687E35"/>
    <w:rsid w:val="00691FAC"/>
    <w:rsid w:val="006A43C1"/>
    <w:rsid w:val="006B4A82"/>
    <w:rsid w:val="006D34B0"/>
    <w:rsid w:val="0071227C"/>
    <w:rsid w:val="00712B1F"/>
    <w:rsid w:val="007207F9"/>
    <w:rsid w:val="00723631"/>
    <w:rsid w:val="00745D00"/>
    <w:rsid w:val="007525D5"/>
    <w:rsid w:val="007672D3"/>
    <w:rsid w:val="00773DD6"/>
    <w:rsid w:val="0077416C"/>
    <w:rsid w:val="00777F4E"/>
    <w:rsid w:val="00791854"/>
    <w:rsid w:val="00792FE1"/>
    <w:rsid w:val="00795650"/>
    <w:rsid w:val="00797BAA"/>
    <w:rsid w:val="007A0876"/>
    <w:rsid w:val="007A0912"/>
    <w:rsid w:val="007A6700"/>
    <w:rsid w:val="007C4DA1"/>
    <w:rsid w:val="007C73DC"/>
    <w:rsid w:val="007D00B7"/>
    <w:rsid w:val="007D2480"/>
    <w:rsid w:val="007D43C5"/>
    <w:rsid w:val="007E1AC4"/>
    <w:rsid w:val="007E374F"/>
    <w:rsid w:val="007F71F2"/>
    <w:rsid w:val="00805235"/>
    <w:rsid w:val="00812C06"/>
    <w:rsid w:val="00826F3A"/>
    <w:rsid w:val="008431F1"/>
    <w:rsid w:val="008517B5"/>
    <w:rsid w:val="00864586"/>
    <w:rsid w:val="00874064"/>
    <w:rsid w:val="008A2429"/>
    <w:rsid w:val="008C155A"/>
    <w:rsid w:val="008D1DCE"/>
    <w:rsid w:val="008D34D1"/>
    <w:rsid w:val="008D4316"/>
    <w:rsid w:val="008D4D84"/>
    <w:rsid w:val="008D5E58"/>
    <w:rsid w:val="008E32A0"/>
    <w:rsid w:val="009042BF"/>
    <w:rsid w:val="00912153"/>
    <w:rsid w:val="009123F6"/>
    <w:rsid w:val="00966E9E"/>
    <w:rsid w:val="009848D5"/>
    <w:rsid w:val="0098492B"/>
    <w:rsid w:val="00992A53"/>
    <w:rsid w:val="0099583A"/>
    <w:rsid w:val="0099690D"/>
    <w:rsid w:val="009B1729"/>
    <w:rsid w:val="009B4009"/>
    <w:rsid w:val="009B736D"/>
    <w:rsid w:val="009C2DFB"/>
    <w:rsid w:val="009C7E53"/>
    <w:rsid w:val="009D465D"/>
    <w:rsid w:val="009E0413"/>
    <w:rsid w:val="009E3FEA"/>
    <w:rsid w:val="00A12298"/>
    <w:rsid w:val="00A17E83"/>
    <w:rsid w:val="00A27694"/>
    <w:rsid w:val="00A27F8D"/>
    <w:rsid w:val="00A56952"/>
    <w:rsid w:val="00A7165E"/>
    <w:rsid w:val="00A77544"/>
    <w:rsid w:val="00A805C3"/>
    <w:rsid w:val="00A85865"/>
    <w:rsid w:val="00A95086"/>
    <w:rsid w:val="00A958EC"/>
    <w:rsid w:val="00AA0520"/>
    <w:rsid w:val="00AB5624"/>
    <w:rsid w:val="00AC5894"/>
    <w:rsid w:val="00AD68DA"/>
    <w:rsid w:val="00AD7A3C"/>
    <w:rsid w:val="00AF10CD"/>
    <w:rsid w:val="00B032C6"/>
    <w:rsid w:val="00B0504A"/>
    <w:rsid w:val="00B113E6"/>
    <w:rsid w:val="00B22F54"/>
    <w:rsid w:val="00B31DF1"/>
    <w:rsid w:val="00B4176F"/>
    <w:rsid w:val="00B74C12"/>
    <w:rsid w:val="00BA35AA"/>
    <w:rsid w:val="00BC2217"/>
    <w:rsid w:val="00BD282F"/>
    <w:rsid w:val="00BE170C"/>
    <w:rsid w:val="00BE6EFF"/>
    <w:rsid w:val="00BF14CB"/>
    <w:rsid w:val="00C13B72"/>
    <w:rsid w:val="00C17B0B"/>
    <w:rsid w:val="00C60DFA"/>
    <w:rsid w:val="00C77B87"/>
    <w:rsid w:val="00CB61B0"/>
    <w:rsid w:val="00CC1A06"/>
    <w:rsid w:val="00CC5F72"/>
    <w:rsid w:val="00CC7DAB"/>
    <w:rsid w:val="00CD67B0"/>
    <w:rsid w:val="00D020B4"/>
    <w:rsid w:val="00D03A30"/>
    <w:rsid w:val="00D2740E"/>
    <w:rsid w:val="00D33378"/>
    <w:rsid w:val="00D40FD6"/>
    <w:rsid w:val="00D449AA"/>
    <w:rsid w:val="00D51282"/>
    <w:rsid w:val="00D54082"/>
    <w:rsid w:val="00D6205F"/>
    <w:rsid w:val="00D762DF"/>
    <w:rsid w:val="00D8144D"/>
    <w:rsid w:val="00D83E80"/>
    <w:rsid w:val="00D84FC6"/>
    <w:rsid w:val="00DA2C94"/>
    <w:rsid w:val="00DB661B"/>
    <w:rsid w:val="00DC58BC"/>
    <w:rsid w:val="00DF6AF6"/>
    <w:rsid w:val="00E001F7"/>
    <w:rsid w:val="00E050EB"/>
    <w:rsid w:val="00E05A34"/>
    <w:rsid w:val="00E07312"/>
    <w:rsid w:val="00E11BE7"/>
    <w:rsid w:val="00E12777"/>
    <w:rsid w:val="00E179B8"/>
    <w:rsid w:val="00E522C9"/>
    <w:rsid w:val="00E75258"/>
    <w:rsid w:val="00E77AC0"/>
    <w:rsid w:val="00EA00B8"/>
    <w:rsid w:val="00EA27B5"/>
    <w:rsid w:val="00EA2EC8"/>
    <w:rsid w:val="00EA704D"/>
    <w:rsid w:val="00EB1E05"/>
    <w:rsid w:val="00EC73DB"/>
    <w:rsid w:val="00EF68C4"/>
    <w:rsid w:val="00F1128C"/>
    <w:rsid w:val="00F15A9F"/>
    <w:rsid w:val="00F24475"/>
    <w:rsid w:val="00F26ED6"/>
    <w:rsid w:val="00F40AE9"/>
    <w:rsid w:val="00F4324F"/>
    <w:rsid w:val="00F50C03"/>
    <w:rsid w:val="00F52996"/>
    <w:rsid w:val="00F7295E"/>
    <w:rsid w:val="00FA079B"/>
    <w:rsid w:val="00FA2551"/>
    <w:rsid w:val="00FC2E44"/>
    <w:rsid w:val="00FC2F74"/>
    <w:rsid w:val="00FC4AAB"/>
    <w:rsid w:val="00FE3831"/>
    <w:rsid w:val="00FF6A36"/>
    <w:rsid w:val="00FF74F0"/>
    <w:rsid w:val="4B7B556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basedOn w:val="2"/>
    <w:semiHidden/>
    <w:unhideWhenUsed/>
    <w:qFormat/>
    <w:uiPriority w:val="99"/>
    <w:rPr>
      <w:vertAlign w:val="superscript"/>
    </w:rPr>
  </w:style>
  <w:style w:type="paragraph" w:styleId="5">
    <w:name w:val="footnote text"/>
    <w:basedOn w:val="1"/>
    <w:link w:val="18"/>
    <w:semiHidden/>
    <w:unhideWhenUsed/>
    <w:qFormat/>
    <w:uiPriority w:val="99"/>
    <w:pPr>
      <w:spacing w:after="0" w:line="240" w:lineRule="auto"/>
    </w:pPr>
    <w:rPr>
      <w:sz w:val="20"/>
      <w:szCs w:val="20"/>
    </w:rPr>
  </w:style>
  <w:style w:type="paragraph" w:styleId="6">
    <w:name w:val="header"/>
    <w:basedOn w:val="1"/>
    <w:link w:val="19"/>
    <w:unhideWhenUsed/>
    <w:qFormat/>
    <w:uiPriority w:val="99"/>
    <w:pPr>
      <w:tabs>
        <w:tab w:val="center" w:pos="4677"/>
        <w:tab w:val="right" w:pos="9355"/>
      </w:tabs>
      <w:spacing w:after="0" w:line="240" w:lineRule="auto"/>
    </w:pPr>
  </w:style>
  <w:style w:type="paragraph" w:styleId="7">
    <w:name w:val="footer"/>
    <w:basedOn w:val="1"/>
    <w:link w:val="20"/>
    <w:unhideWhenUsed/>
    <w:qFormat/>
    <w:uiPriority w:val="99"/>
    <w:pPr>
      <w:tabs>
        <w:tab w:val="center" w:pos="4677"/>
        <w:tab w:val="right" w:pos="9355"/>
      </w:tabs>
      <w:spacing w:after="0" w:line="240" w:lineRule="auto"/>
    </w:pPr>
  </w:style>
  <w:style w:type="paragraph" w:styleId="8">
    <w:name w:val="Body Text Indent 2"/>
    <w:basedOn w:val="1"/>
    <w:link w:val="10"/>
    <w:semiHidden/>
    <w:qFormat/>
    <w:uiPriority w:val="0"/>
    <w:pPr>
      <w:spacing w:after="0" w:line="240" w:lineRule="auto"/>
      <w:ind w:left="567"/>
      <w:jc w:val="both"/>
    </w:pPr>
    <w:rPr>
      <w:rFonts w:ascii="Times New Roman" w:hAnsi="Times New Roman" w:eastAsia="Times New Roman" w:cs="Times New Roman"/>
      <w:sz w:val="24"/>
      <w:szCs w:val="20"/>
    </w:rPr>
  </w:style>
  <w:style w:type="table" w:styleId="9">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Основной текст с отступом 2 Знак"/>
    <w:basedOn w:val="2"/>
    <w:link w:val="8"/>
    <w:semiHidden/>
    <w:qFormat/>
    <w:uiPriority w:val="0"/>
    <w:rPr>
      <w:rFonts w:ascii="Times New Roman" w:hAnsi="Times New Roman" w:eastAsia="Times New Roman" w:cs="Times New Roman"/>
      <w:sz w:val="24"/>
      <w:szCs w:val="20"/>
    </w:rPr>
  </w:style>
  <w:style w:type="paragraph" w:customStyle="1" w:styleId="11">
    <w:name w:val="ConsNormal"/>
    <w:qFormat/>
    <w:uiPriority w:val="0"/>
    <w:pPr>
      <w:widowControl w:val="0"/>
      <w:autoSpaceDE w:val="0"/>
      <w:autoSpaceDN w:val="0"/>
      <w:adjustRightInd w:val="0"/>
      <w:spacing w:after="0" w:line="240" w:lineRule="auto"/>
      <w:ind w:right="19772" w:firstLine="720"/>
    </w:pPr>
    <w:rPr>
      <w:rFonts w:ascii="Arial" w:hAnsi="Arial" w:eastAsia="Times New Roman" w:cs="Arial"/>
      <w:sz w:val="20"/>
      <w:szCs w:val="20"/>
      <w:lang w:val="ru-RU" w:eastAsia="ru-RU" w:bidi="ar-SA"/>
    </w:rPr>
  </w:style>
  <w:style w:type="character" w:customStyle="1" w:styleId="12">
    <w:name w:val="fill"/>
    <w:basedOn w:val="2"/>
    <w:qFormat/>
    <w:uiPriority w:val="0"/>
    <w:rPr>
      <w:b/>
      <w:bCs/>
      <w:i/>
      <w:iCs/>
      <w:color w:val="FF0000"/>
    </w:rPr>
  </w:style>
  <w:style w:type="paragraph" w:customStyle="1" w:styleId="13">
    <w:name w:val="s_3"/>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4">
    <w:name w:val="s_1"/>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5">
    <w:name w:val="s_10"/>
    <w:basedOn w:val="2"/>
    <w:qFormat/>
    <w:uiPriority w:val="0"/>
  </w:style>
  <w:style w:type="character" w:customStyle="1" w:styleId="16">
    <w:name w:val="Font Style11"/>
    <w:qFormat/>
    <w:uiPriority w:val="99"/>
    <w:rPr>
      <w:rFonts w:ascii="Times New Roman" w:hAnsi="Times New Roman" w:cs="Times New Roman"/>
      <w:sz w:val="22"/>
      <w:szCs w:val="22"/>
    </w:rPr>
  </w:style>
  <w:style w:type="paragraph" w:customStyle="1" w:styleId="17">
    <w:name w:val="Style3"/>
    <w:basedOn w:val="1"/>
    <w:qFormat/>
    <w:uiPriority w:val="99"/>
    <w:pPr>
      <w:widowControl w:val="0"/>
      <w:autoSpaceDE w:val="0"/>
      <w:autoSpaceDN w:val="0"/>
      <w:adjustRightInd w:val="0"/>
      <w:spacing w:after="0" w:line="278" w:lineRule="exact"/>
    </w:pPr>
    <w:rPr>
      <w:rFonts w:ascii="Times New Roman" w:hAnsi="Times New Roman" w:eastAsia="Times New Roman" w:cs="Times New Roman"/>
      <w:sz w:val="24"/>
      <w:szCs w:val="24"/>
    </w:rPr>
  </w:style>
  <w:style w:type="character" w:customStyle="1" w:styleId="18">
    <w:name w:val="Текст сноски Знак"/>
    <w:basedOn w:val="2"/>
    <w:link w:val="5"/>
    <w:semiHidden/>
    <w:qFormat/>
    <w:uiPriority w:val="99"/>
    <w:rPr>
      <w:sz w:val="20"/>
      <w:szCs w:val="20"/>
    </w:rPr>
  </w:style>
  <w:style w:type="character" w:customStyle="1" w:styleId="19">
    <w:name w:val="Верхний колонтитул Знак"/>
    <w:basedOn w:val="2"/>
    <w:link w:val="6"/>
    <w:qFormat/>
    <w:uiPriority w:val="99"/>
  </w:style>
  <w:style w:type="character" w:customStyle="1" w:styleId="20">
    <w:name w:val="Нижний колонтитул Знак"/>
    <w:basedOn w:val="2"/>
    <w:link w:val="7"/>
    <w:qFormat/>
    <w:uiPriority w:val="99"/>
  </w:style>
  <w:style w:type="paragraph" w:customStyle="1" w:styleId="21">
    <w:name w:val="Revision"/>
    <w:hidden/>
    <w:semiHidden/>
    <w:qFormat/>
    <w:uiPriority w:val="99"/>
    <w:pPr>
      <w:spacing w:after="0" w:line="240" w:lineRule="auto"/>
    </w:pPr>
    <w:rPr>
      <w:rFonts w:asciiTheme="minorHAnsi" w:hAnsiTheme="minorHAnsi" w:eastAsiaTheme="minorEastAsia" w:cstheme="minorBidi"/>
      <w:sz w:val="22"/>
      <w:szCs w:val="22"/>
      <w:lang w:val="ru-RU" w:eastAsia="ru-RU"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Grizli777</Company>
  <Pages>12</Pages>
  <Words>4899</Words>
  <Characters>27928</Characters>
  <Lines>232</Lines>
  <Paragraphs>65</Paragraphs>
  <TotalTime>1</TotalTime>
  <ScaleCrop>false</ScaleCrop>
  <LinksUpToDate>false</LinksUpToDate>
  <CharactersWithSpaces>32762</CharactersWithSpaces>
  <Application>WPS Office_11.1.0.11723_F1E327BC-269C-435d-A152-05C5408002CA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2024-10-15T16:18:00Z</dcterms:created>
  <dc:creator>CBETLAHA</dc:creator>
  <cp:lastModifiedBy>vika</cp:lastModifiedBy>
  <cp:lastPrinted>2024-10-02T18:52:00Z</cp:lastPrinted>
  <dcterms:modified xsi:type="dcterms:W3CDTF">2026-08-18T16:23:53Z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1049-11.1.0.11723</vt:lpwstr>
  </property>
</Properties>
</file>