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widowControl w:val="false"/>
        <w:shd w:fill="FFFFFF" w:val="clear"/>
        <w:autoSpaceDE w:val="false"/>
        <w:jc w:val="center"/>
        <w:rPr>
          <w:b/>
          <w:bCs/>
          <w:iCs/>
        </w:rPr>
      </w:pPr>
      <w:r>
        <w:rPr>
          <w:b/>
          <w:bCs/>
          <w:iCs/>
        </w:rPr>
        <w:t>Техническое задание</w:t>
      </w:r>
    </w:p>
    <w:p>
      <w:pPr>
        <w:pStyle w:val="Normal"/>
        <w:shd w:fill="FFFFFF" w:val="clear"/>
        <w:jc w:val="center"/>
        <w:rPr>
          <w:b/>
          <w:bCs/>
          <w:iCs/>
          <w:color w:val="000000"/>
          <w:spacing w:val="4"/>
          <w:sz w:val="28"/>
          <w:szCs w:val="28"/>
        </w:rPr>
      </w:pPr>
      <w:r>
        <w:rPr/>
        <w:t>на оказание услуг по техническому обслуживанию и эксплуатации отопительных, водопроводных, канализационных внешних и внутренних систем, систем электроснабжения инженерного оборудования в помещениях Управления Федеральной службы государственной регистрации, кадастра и картографии по Волгоградской области по адресу: Волгоградская обл., г. Волгоград, ул. Калинина, д. 4.</w:t>
      </w:r>
    </w:p>
    <w:p>
      <w:pPr>
        <w:pStyle w:val="Normal"/>
        <w:widowControl w:val="false"/>
        <w:shd w:fill="FFFFFF" w:val="clear"/>
        <w:autoSpaceDE w:val="false"/>
        <w:jc w:val="center"/>
        <w:rPr>
          <w:b/>
          <w:bCs/>
          <w:iCs/>
          <w:color w:val="000000"/>
          <w:spacing w:val="4"/>
          <w:sz w:val="28"/>
          <w:szCs w:val="28"/>
        </w:rPr>
      </w:pPr>
      <w:r>
        <w:rPr>
          <w:b/>
          <w:bCs/>
          <w:iCs/>
          <w:color w:val="000000"/>
          <w:spacing w:val="4"/>
          <w:sz w:val="28"/>
          <w:szCs w:val="28"/>
        </w:rPr>
      </w:r>
    </w:p>
    <w:p>
      <w:pPr>
        <w:pStyle w:val="Normal"/>
        <w:jc w:val="both"/>
        <w:rPr>
          <w:b/>
        </w:rPr>
      </w:pPr>
      <w:r>
        <w:rPr>
          <w:b/>
          <w:bCs/>
          <w:color w:val="000000"/>
        </w:rPr>
        <w:t xml:space="preserve">1. Наименование услуг: </w:t>
      </w:r>
      <w:r>
        <w:rPr>
          <w:color w:val="000000"/>
        </w:rPr>
        <w:t>техническое обслуживание и эксплуатация отопительных, водопроводных и канализационных внешних и внутренних систем, систем электроснабжения инженерного оборудования Управления.</w:t>
      </w:r>
    </w:p>
    <w:p>
      <w:pPr>
        <w:pStyle w:val="Normal"/>
        <w:jc w:val="both"/>
        <w:rPr>
          <w:b/>
          <w:bCs/>
        </w:rPr>
      </w:pPr>
      <w:r>
        <w:rPr>
          <w:b/>
        </w:rPr>
        <w:t>2. Сроки оказания услуг</w:t>
      </w:r>
      <w:r>
        <w:rPr/>
        <w:t>: с даты заключения контракта по 31.12.2026 года.</w:t>
      </w:r>
    </w:p>
    <w:p>
      <w:pPr>
        <w:pStyle w:val="Normal"/>
        <w:jc w:val="both"/>
        <w:rPr>
          <w:b/>
          <w:bCs/>
        </w:rPr>
      </w:pPr>
      <w:r>
        <w:rPr>
          <w:b/>
          <w:bCs/>
        </w:rPr>
        <w:t>ОКПД2: 81.10.10.000</w:t>
      </w:r>
    </w:p>
    <w:p>
      <w:pPr>
        <w:pStyle w:val="Normal"/>
        <w:jc w:val="both"/>
        <w:rPr/>
      </w:pPr>
      <w:r>
        <w:rPr>
          <w:b/>
          <w:bCs/>
        </w:rPr>
        <w:t xml:space="preserve">1.2. Место нахождения объекта: </w:t>
      </w:r>
      <w:r>
        <w:rPr/>
        <w:t>Волгоградская обл., г. Волгоград, ул. Калинина, д. 4. (основное здание и здание пристройки).</w:t>
      </w:r>
    </w:p>
    <w:p>
      <w:pPr>
        <w:pStyle w:val="Normal"/>
        <w:jc w:val="both"/>
        <w:rPr/>
      </w:pPr>
      <w:r>
        <w:rPr/>
        <w:t>Площадь, занимаемая Управлением составляет:</w:t>
      </w:r>
    </w:p>
    <w:p>
      <w:pPr>
        <w:pStyle w:val="Normal"/>
        <w:jc w:val="both"/>
        <w:rPr/>
      </w:pPr>
      <w:r>
        <w:rPr/>
        <w:t>Основное здание – 1 449,30 кв.м.;</w:t>
      </w:r>
    </w:p>
    <w:p>
      <w:pPr>
        <w:pStyle w:val="Normal"/>
        <w:jc w:val="both"/>
        <w:rPr>
          <w:b/>
          <w:bCs/>
        </w:rPr>
      </w:pPr>
      <w:r>
        <w:rPr/>
        <w:t>Здание пристройки – 2 236,70 кв.м.</w:t>
      </w:r>
    </w:p>
    <w:p>
      <w:pPr>
        <w:pStyle w:val="Normal"/>
        <w:jc w:val="both"/>
        <w:rPr>
          <w:b w:val="false"/>
          <w:bCs w:val="false"/>
          <w:iCs/>
        </w:rPr>
      </w:pPr>
      <w:r>
        <w:rPr>
          <w:b/>
          <w:bCs/>
        </w:rPr>
        <w:t xml:space="preserve">1.4. </w:t>
      </w:r>
      <w:r>
        <w:rPr>
          <w:b w:val="false"/>
          <w:bCs w:val="false"/>
          <w:iCs/>
        </w:rPr>
        <w:t>Приемка оказанных услуг осуществляется согласно требованиям действующего законодательства РФ, включая проведение экспертизы оказанных услуг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Normal"/>
        <w:jc w:val="both"/>
        <w:rPr>
          <w:rFonts w:ascii="Times New Roman" w:hAnsi="Times New Roman" w:cs="Times New Roman"/>
          <w:sz w:val="26"/>
          <w:szCs w:val="26"/>
        </w:rPr>
      </w:pPr>
      <w:r>
        <w:rPr>
          <w:b w:val="false"/>
          <w:bCs w:val="false"/>
          <w:iCs/>
        </w:rPr>
        <w:tab/>
        <w:t>Исполнитель не позднее 5 числа месяца следующего за отчетным предоставляет Заказчику документы о приемке: акт оказанных услуг в 2-х экземплярах, счет на оплату,</w:t>
      </w:r>
      <w:r>
        <w:rPr>
          <w:rFonts w:cs="Times New Roman" w:ascii="Times New Roman" w:hAnsi="Times New Roman"/>
          <w:b w:val="false"/>
          <w:bCs w:val="false"/>
          <w:iCs/>
          <w:sz w:val="26"/>
          <w:szCs w:val="26"/>
        </w:rPr>
        <w:t xml:space="preserve"> счета-фактуры (при наличии) и (или) унифицированного передаточного документа (при наличии)</w:t>
      </w:r>
      <w:r>
        <w:rPr>
          <w:b w:val="false"/>
          <w:bCs w:val="false"/>
          <w:iCs/>
        </w:rPr>
        <w:t>. Документы о приемке за декабрь 2026 Исполнитель предоставляет Заказчику до 20 декабря 2026.</w:t>
      </w:r>
    </w:p>
    <w:p>
      <w:pPr>
        <w:pStyle w:val="NoSpacing"/>
        <w:widowControl/>
        <w:suppressAutoHyphens w:val="true"/>
        <w:spacing w:lineRule="auto" w:line="240" w:before="0" w:after="0"/>
        <w:ind w:firstLine="567" w:end="0"/>
        <w:jc w:val="both"/>
        <w:rPr>
          <w:b/>
          <w:bCs/>
        </w:rPr>
      </w:pPr>
      <w:r>
        <w:rPr>
          <w:rFonts w:cs="Times New Roman" w:ascii="Times New Roman" w:hAnsi="Times New Roman"/>
          <w:sz w:val="26"/>
          <w:szCs w:val="26"/>
        </w:rPr>
        <w:t>Заказчик в течение 2 (двух) рабочих дней со дня получения от Исполнителя соответствующего Акта оказанных услуг в двух экземплярах, а также счета, счета-фактуры (при наличии) и (или) унифицированного передаточного документа (при наличии), рассматривает представленные документы, подписывает Акт оказанных услуг и передает один его экземпляр Исполнителю либо направляет Исполнителю письменный мотивированный отказ от подписания Акта оказанных услуг.</w:t>
      </w:r>
    </w:p>
    <w:p>
      <w:pPr>
        <w:pStyle w:val="Normal"/>
        <w:jc w:val="both"/>
        <w:rPr>
          <w:b/>
          <w:bCs/>
          <w:iCs/>
        </w:rPr>
      </w:pPr>
      <w:r>
        <w:rPr>
          <w:b/>
          <w:bCs/>
        </w:rPr>
        <w:t xml:space="preserve">1.5. Сроки и условия оплаты оказанных услуг: </w:t>
      </w:r>
      <w:r>
        <w:rPr>
          <w:iCs/>
        </w:rPr>
        <w:t xml:space="preserve">Оплата осуществляется </w:t>
      </w:r>
      <w:r>
        <w:rPr/>
        <w:t xml:space="preserve">в течение 7 (семи) рабочих дней, после подписания счета и акта оказанных услуг, </w:t>
      </w:r>
      <w:r>
        <w:rPr>
          <w:iCs/>
        </w:rPr>
        <w:t xml:space="preserve">предъявленных </w:t>
      </w:r>
      <w:r>
        <w:rPr/>
        <w:t>Исполнителем</w:t>
      </w:r>
      <w:r>
        <w:rPr>
          <w:iCs/>
        </w:rPr>
        <w:t xml:space="preserve">. В стоимость оказания услуг должны входить все расходы и затраты связанные с оказанием услуг, обязательные платежи и материалы. </w:t>
      </w:r>
    </w:p>
    <w:p>
      <w:pPr>
        <w:pStyle w:val="Normal"/>
        <w:shd w:fill="FFFFFF" w:val="clear"/>
        <w:jc w:val="both"/>
        <w:rPr>
          <w:b/>
          <w:iCs/>
        </w:rPr>
      </w:pPr>
      <w:r>
        <w:rPr>
          <w:b/>
          <w:bCs/>
          <w:iCs/>
        </w:rPr>
        <w:t xml:space="preserve">1.6. Срок действия контракта: </w:t>
      </w:r>
      <w:r>
        <w:rPr>
          <w:iCs/>
        </w:rPr>
        <w:t>31.12.2026 г.</w:t>
      </w:r>
    </w:p>
    <w:p>
      <w:pPr>
        <w:pStyle w:val="Normal"/>
        <w:shd w:fill="FFFFFF" w:val="clear"/>
        <w:jc w:val="both"/>
        <w:rPr>
          <w:b/>
          <w:bCs/>
          <w:color w:val="000000"/>
        </w:rPr>
      </w:pPr>
      <w:r>
        <w:rPr>
          <w:b/>
          <w:iCs/>
        </w:rPr>
        <w:t xml:space="preserve">Источник финансирования: </w:t>
      </w:r>
      <w:r>
        <w:rPr>
          <w:rFonts w:eastAsia="Calibri"/>
          <w:iCs/>
          <w:lang w:eastAsia="en-US"/>
        </w:rPr>
        <w:t>Финансирование расходов осуществляется за счет средств федерального бюджета в рамках выделенных лимитов на 2026 г..</w:t>
      </w:r>
    </w:p>
    <w:p>
      <w:pPr>
        <w:pStyle w:val="Normal"/>
        <w:jc w:val="both"/>
        <w:rPr>
          <w:bCs/>
        </w:rPr>
      </w:pPr>
      <w:r>
        <w:rPr>
          <w:b/>
          <w:bCs/>
          <w:color w:val="000000"/>
        </w:rPr>
        <w:t>3. Место оказания услуг и характеристики помещений.</w:t>
      </w:r>
    </w:p>
    <w:tbl>
      <w:tblPr>
        <w:tblW w:w="10093" w:type="dxa"/>
        <w:jc w:val="start"/>
        <w:tblInd w:w="-176" w:type="dxa"/>
        <w:tblLayout w:type="fixed"/>
        <w:tblCellMar>
          <w:top w:w="0" w:type="dxa"/>
          <w:start w:w="108" w:type="dxa"/>
          <w:bottom w:w="0" w:type="dxa"/>
          <w:end w:w="108" w:type="dxa"/>
        </w:tblCellMar>
      </w:tblPr>
      <w:tblGrid>
        <w:gridCol w:w="1798"/>
        <w:gridCol w:w="1796"/>
        <w:gridCol w:w="6499"/>
      </w:tblGrid>
      <w:tr>
        <w:trPr>
          <w:trHeight w:val="618" w:hRule="atLeast"/>
        </w:trPr>
        <w:tc>
          <w:tcPr>
            <w:tcW w:w="1798" w:type="dxa"/>
            <w:vMerge w:val="restart"/>
            <w:tcBorders>
              <w:top w:val="single" w:sz="4" w:space="0" w:color="000000"/>
              <w:start w:val="single" w:sz="4" w:space="0" w:color="000000"/>
              <w:end w:val="single" w:sz="4" w:space="0" w:color="000000"/>
            </w:tcBorders>
          </w:tcPr>
          <w:p>
            <w:pPr>
              <w:pStyle w:val="Normal"/>
              <w:widowControl w:val="false"/>
              <w:rPr>
                <w:bCs/>
              </w:rPr>
            </w:pPr>
            <w:r>
              <w:rPr>
                <w:bCs/>
              </w:rPr>
              <w:t>1. Место оказания услуг и его краткая характеристика</w:t>
            </w:r>
          </w:p>
        </w:tc>
        <w:tc>
          <w:tcPr>
            <w:tcW w:w="1796" w:type="dxa"/>
            <w:tcBorders>
              <w:top w:val="single" w:sz="4" w:space="0" w:color="000000"/>
              <w:start w:val="single" w:sz="4" w:space="0" w:color="000000"/>
              <w:bottom w:val="single" w:sz="4" w:space="0" w:color="000000"/>
              <w:end w:val="single" w:sz="4" w:space="0" w:color="000000"/>
            </w:tcBorders>
          </w:tcPr>
          <w:p>
            <w:pPr>
              <w:pStyle w:val="Normal"/>
              <w:widowControl w:val="false"/>
              <w:rPr>
                <w:bCs/>
              </w:rPr>
            </w:pPr>
            <w:r>
              <w:rPr>
                <w:bCs/>
              </w:rPr>
              <w:t>Наименование и адрес объекта</w:t>
            </w:r>
          </w:p>
        </w:tc>
        <w:tc>
          <w:tcPr>
            <w:tcW w:w="6499"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bCs/>
              </w:rPr>
            </w:pPr>
            <w:r>
              <w:rPr>
                <w:bCs/>
              </w:rPr>
              <w:t>Краткая характеристика</w:t>
            </w:r>
          </w:p>
        </w:tc>
      </w:tr>
      <w:tr>
        <w:trPr>
          <w:trHeight w:val="617" w:hRule="atLeast"/>
        </w:trPr>
        <w:tc>
          <w:tcPr>
            <w:tcW w:w="1798" w:type="dxa"/>
            <w:vMerge w:val="continue"/>
            <w:tcBorders>
              <w:top w:val="single" w:sz="4" w:space="0" w:color="000000"/>
              <w:start w:val="single" w:sz="4" w:space="0" w:color="000000"/>
              <w:end w:val="single" w:sz="4" w:space="0" w:color="000000"/>
            </w:tcBorders>
          </w:tcPr>
          <w:p>
            <w:pPr>
              <w:pStyle w:val="Normal"/>
              <w:widowControl w:val="false"/>
              <w:snapToGrid w:val="false"/>
              <w:rPr>
                <w:bCs/>
              </w:rPr>
            </w:pPr>
            <w:r>
              <w:rPr>
                <w:bCs/>
              </w:rPr>
            </w:r>
          </w:p>
        </w:tc>
        <w:tc>
          <w:tcPr>
            <w:tcW w:w="179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both"/>
              <w:rPr/>
            </w:pPr>
            <w:r>
              <w:rPr/>
              <w:t>Нежилые помещения по адресу: Волгоградская обл., г. Волгоград, ул. Калинина, д. 4. (основное здание и здание пристройки).</w:t>
            </w:r>
          </w:p>
        </w:tc>
        <w:tc>
          <w:tcPr>
            <w:tcW w:w="6499" w:type="dxa"/>
            <w:tcBorders>
              <w:top w:val="single" w:sz="4" w:space="0" w:color="000000"/>
              <w:start w:val="single" w:sz="4" w:space="0" w:color="000000"/>
              <w:bottom w:val="single" w:sz="4" w:space="0" w:color="000000"/>
              <w:end w:val="single" w:sz="4" w:space="0" w:color="000000"/>
            </w:tcBorders>
            <w:vAlign w:val="center"/>
          </w:tcPr>
          <w:p>
            <w:pPr>
              <w:pStyle w:val="Normal"/>
              <w:jc w:val="both"/>
              <w:rPr/>
            </w:pPr>
            <w:r>
              <w:rPr/>
              <w:t>Помещения в основном здании – 1 449,30 кв.м.;</w:t>
            </w:r>
          </w:p>
          <w:p>
            <w:pPr>
              <w:pStyle w:val="Normal"/>
              <w:jc w:val="both"/>
              <w:rPr/>
            </w:pPr>
            <w:r>
              <w:rPr/>
              <w:t xml:space="preserve">Здание пристройки – 2 236,70 кв.м. - четырехэтажное административное здание с техническим этажом и подвалом, строительный объём 2 236,70м³; </w:t>
            </w:r>
          </w:p>
          <w:p>
            <w:pPr>
              <w:pStyle w:val="Normal"/>
              <w:jc w:val="both"/>
              <w:rPr/>
            </w:pPr>
            <w:r>
              <w:rPr/>
              <w:t>- помещения Управления запитаны от городских сетей через кабельную сборку на наружной стене с вводом в собственную электрощитовую на 0-м этаже. Основными потребителями являются серверы, лифт, АРМы, кондиционеры, водонагреватели, освещение с учётом семи счётчиков- здание имеет центральное теплоснабжение от городских сетей, общую для здания внутреннюю систему отопления стоячную однотрубную с верхней разводкой из стальных труб и чугунных ребристых батарей с подачей из подвального теплового пункта, находящегося на балансе Управления, с учётом через общий теплосчётчик. Обязанность по ежегодному гидравлическому испытанию общей внутренней системы отопления здания возложена на Управление;</w:t>
            </w:r>
          </w:p>
          <w:p>
            <w:pPr>
              <w:pStyle w:val="Normal"/>
              <w:jc w:val="both"/>
              <w:rPr/>
            </w:pPr>
            <w:r>
              <w:rPr/>
              <w:t>- здание имеет централизованное водоснабжение, совмещённое с внутренним противопожарным водопроводом (ВПВ) по стоякам из стальных труб, горячая вода подаётся от бытовых накопительных электронагревателей к каждому смесителю;</w:t>
            </w:r>
          </w:p>
          <w:p>
            <w:pPr>
              <w:pStyle w:val="Normal"/>
              <w:jc w:val="both"/>
              <w:rPr/>
            </w:pPr>
            <w:r>
              <w:rPr/>
              <w:t>- отвод сточных вод производится по двум стоякам из чугунных труб в два приёмных колодца дворовой сети с отводом в магистральный коллектор;</w:t>
            </w:r>
          </w:p>
          <w:p>
            <w:pPr>
              <w:pStyle w:val="Normal"/>
              <w:widowControl w:val="false"/>
              <w:rPr/>
            </w:pPr>
            <w:r>
              <w:rPr/>
              <w:t>- высота расположения светильников на тросах в актовом зале - 4м;</w:t>
            </w:r>
          </w:p>
        </w:tc>
      </w:tr>
      <w:tr>
        <w:trPr>
          <w:trHeight w:val="1241" w:hRule="atLeast"/>
        </w:trPr>
        <w:tc>
          <w:tcPr>
            <w:tcW w:w="1798" w:type="dxa"/>
            <w:tcBorders>
              <w:top w:val="single" w:sz="4" w:space="0" w:color="000000"/>
              <w:start w:val="single" w:sz="4" w:space="0" w:color="000000"/>
              <w:bottom w:val="single" w:sz="4" w:space="0" w:color="000000"/>
              <w:end w:val="single" w:sz="4" w:space="0" w:color="000000"/>
            </w:tcBorders>
          </w:tcPr>
          <w:p>
            <w:pPr>
              <w:pStyle w:val="Normal"/>
              <w:widowControl w:val="false"/>
              <w:rPr>
                <w:bCs/>
              </w:rPr>
            </w:pPr>
            <w:r>
              <w:rPr>
                <w:bCs/>
              </w:rPr>
              <w:t>2. Определения</w:t>
            </w:r>
          </w:p>
        </w:tc>
        <w:tc>
          <w:tcPr>
            <w:tcW w:w="829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both"/>
              <w:rPr/>
            </w:pPr>
            <w:r>
              <w:rPr/>
              <w:t xml:space="preserve">Услуги </w:t>
            </w:r>
            <w:r>
              <w:rPr>
                <w:b/>
                <w:bCs/>
              </w:rPr>
              <w:t>по техническому обслуживанию и эксплуатации отопительных, водопроводных и канализационных внешних и внутренних систем, систем электроснабжения инженерного оборудования Управления</w:t>
            </w:r>
            <w:r>
              <w:rPr/>
              <w:t>, находящихся на балансе Управления, это:</w:t>
            </w:r>
          </w:p>
          <w:p>
            <w:pPr>
              <w:pStyle w:val="Normal"/>
              <w:widowControl w:val="false"/>
              <w:ind w:firstLine="34" w:end="0"/>
              <w:jc w:val="both"/>
              <w:rPr/>
            </w:pPr>
            <w:r>
              <w:rPr/>
              <w:t xml:space="preserve">  – </w:t>
            </w:r>
            <w:r>
              <w:rPr/>
              <w:t>содержание в исправном состоянии внутренних инженерных систем (отопления, холодного и горячего водоснабжения, осветительных и силовых электросетей, канализации).</w:t>
            </w:r>
          </w:p>
        </w:tc>
      </w:tr>
      <w:tr>
        <w:trPr>
          <w:trHeight w:val="1950" w:hRule="atLeast"/>
        </w:trPr>
        <w:tc>
          <w:tcPr>
            <w:tcW w:w="1798" w:type="dxa"/>
            <w:tcBorders>
              <w:top w:val="single" w:sz="4" w:space="0" w:color="000000"/>
              <w:start w:val="single" w:sz="4" w:space="0" w:color="000000"/>
              <w:bottom w:val="single" w:sz="4" w:space="0" w:color="000000"/>
              <w:end w:val="single" w:sz="4" w:space="0" w:color="000000"/>
            </w:tcBorders>
          </w:tcPr>
          <w:p>
            <w:pPr>
              <w:pStyle w:val="Normal"/>
              <w:widowControl w:val="false"/>
              <w:rPr>
                <w:bCs/>
              </w:rPr>
            </w:pPr>
            <w:r>
              <w:rPr>
                <w:bCs/>
              </w:rPr>
              <w:t>3. Цена контракта</w:t>
            </w:r>
          </w:p>
        </w:tc>
        <w:tc>
          <w:tcPr>
            <w:tcW w:w="829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 xml:space="preserve">Цена Контракта составляет _____________ включает в себя все расходы, связанные с выполнением Исполнителем обязательств по Контракту, включая стоимость всех затрат, издержек и иных расходов Исполнителя, стоимость расходных материалов и комплектующих, применяемых Исполнителем при оказании услуг, в том числе налоги, сборы и другие обязательные платежи, связанные с исполнением Контракта включая НДС. </w:t>
            </w:r>
          </w:p>
          <w:p>
            <w:pPr>
              <w:pStyle w:val="Normal"/>
              <w:jc w:val="both"/>
              <w:rPr/>
            </w:pPr>
            <w:r>
              <w:rPr/>
              <w:t>(устанавливаемы приборы и оборудование приобретаются Заказчиком)</w:t>
            </w:r>
          </w:p>
        </w:tc>
      </w:tr>
      <w:tr>
        <w:trPr>
          <w:trHeight w:val="127" w:hRule="atLeast"/>
        </w:trPr>
        <w:tc>
          <w:tcPr>
            <w:tcW w:w="1798" w:type="dxa"/>
            <w:tcBorders>
              <w:top w:val="single" w:sz="4" w:space="0" w:color="000000"/>
              <w:start w:val="single" w:sz="4" w:space="0" w:color="000000"/>
              <w:bottom w:val="single" w:sz="4" w:space="0" w:color="000000"/>
              <w:end w:val="single" w:sz="4" w:space="0" w:color="000000"/>
            </w:tcBorders>
          </w:tcPr>
          <w:p>
            <w:pPr>
              <w:pStyle w:val="Normal"/>
              <w:widowControl w:val="false"/>
              <w:ind w:hanging="6" w:start="6" w:end="0"/>
              <w:rPr>
                <w:bCs/>
              </w:rPr>
            </w:pPr>
            <w:r>
              <w:rPr>
                <w:bCs/>
              </w:rPr>
              <w:t>4. Виды оказываемых услуг</w:t>
            </w:r>
          </w:p>
        </w:tc>
        <w:tc>
          <w:tcPr>
            <w:tcW w:w="829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both"/>
              <w:rPr>
                <w:bCs/>
              </w:rPr>
            </w:pPr>
            <w:r>
              <w:rPr>
                <w:bCs/>
              </w:rPr>
              <w:t>В соответствии с Приложением № 1 к настоящему Техническому заданию</w:t>
            </w:r>
          </w:p>
        </w:tc>
      </w:tr>
      <w:tr>
        <w:trPr>
          <w:trHeight w:val="127" w:hRule="atLeast"/>
        </w:trPr>
        <w:tc>
          <w:tcPr>
            <w:tcW w:w="1798" w:type="dxa"/>
            <w:tcBorders>
              <w:top w:val="single" w:sz="4" w:space="0" w:color="000000"/>
              <w:start w:val="single" w:sz="4" w:space="0" w:color="000000"/>
              <w:bottom w:val="single" w:sz="4" w:space="0" w:color="000000"/>
              <w:end w:val="single" w:sz="4" w:space="0" w:color="000000"/>
            </w:tcBorders>
          </w:tcPr>
          <w:p>
            <w:pPr>
              <w:pStyle w:val="Normal"/>
              <w:widowControl w:val="false"/>
              <w:rPr>
                <w:bCs/>
              </w:rPr>
            </w:pPr>
            <w:r>
              <w:rPr>
                <w:bCs/>
              </w:rPr>
              <w:t>5. Сроки оказания услуг</w:t>
            </w:r>
          </w:p>
        </w:tc>
        <w:tc>
          <w:tcPr>
            <w:tcW w:w="829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both"/>
              <w:rPr>
                <w:bCs/>
              </w:rPr>
            </w:pPr>
            <w:r>
              <w:rPr>
                <w:bCs/>
              </w:rPr>
              <w:t>С даты заключения контракта по 31.12.2026 г.</w:t>
            </w:r>
          </w:p>
          <w:p>
            <w:pPr>
              <w:pStyle w:val="Normal"/>
              <w:widowControl w:val="false"/>
              <w:jc w:val="both"/>
              <w:rPr>
                <w:bCs/>
              </w:rPr>
            </w:pPr>
            <w:r>
              <w:rPr>
                <w:bCs/>
              </w:rPr>
            </w:r>
          </w:p>
          <w:p>
            <w:pPr>
              <w:pStyle w:val="Normal"/>
              <w:widowControl w:val="false"/>
              <w:jc w:val="both"/>
              <w:rPr>
                <w:bCs/>
              </w:rPr>
            </w:pPr>
            <w:r>
              <w:rPr>
                <w:bCs/>
              </w:rPr>
            </w:r>
          </w:p>
        </w:tc>
      </w:tr>
      <w:tr>
        <w:trPr>
          <w:trHeight w:val="127" w:hRule="atLeast"/>
        </w:trPr>
        <w:tc>
          <w:tcPr>
            <w:tcW w:w="1798" w:type="dxa"/>
            <w:tcBorders>
              <w:top w:val="single" w:sz="4" w:space="0" w:color="000000"/>
              <w:start w:val="single" w:sz="4" w:space="0" w:color="000000"/>
              <w:bottom w:val="single" w:sz="4" w:space="0" w:color="000000"/>
              <w:end w:val="single" w:sz="4" w:space="0" w:color="000000"/>
            </w:tcBorders>
          </w:tcPr>
          <w:p>
            <w:pPr>
              <w:pStyle w:val="Normal"/>
              <w:widowControl w:val="false"/>
              <w:ind w:hanging="6" w:start="6" w:end="0"/>
              <w:rPr>
                <w:bCs/>
              </w:rPr>
            </w:pPr>
            <w:r>
              <w:rPr>
                <w:bCs/>
              </w:rPr>
              <w:t>7. Условия оказания услуг</w:t>
            </w:r>
          </w:p>
        </w:tc>
        <w:tc>
          <w:tcPr>
            <w:tcW w:w="829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both"/>
              <w:rPr>
                <w:bCs/>
              </w:rPr>
            </w:pPr>
            <w:r>
              <w:rPr>
                <w:bCs/>
              </w:rPr>
              <w:t>Исполнитель обязан:</w:t>
            </w:r>
          </w:p>
          <w:p>
            <w:pPr>
              <w:pStyle w:val="Normal"/>
              <w:widowControl w:val="false"/>
              <w:jc w:val="both"/>
              <w:rPr>
                <w:bCs/>
              </w:rPr>
            </w:pPr>
            <w:r>
              <w:rPr>
                <w:bCs/>
              </w:rPr>
              <w:t>- оказывать услуги только в отведённой для них зоне;</w:t>
            </w:r>
          </w:p>
          <w:p>
            <w:pPr>
              <w:pStyle w:val="Normal"/>
              <w:widowControl w:val="false"/>
              <w:jc w:val="both"/>
              <w:rPr>
                <w:bCs/>
              </w:rPr>
            </w:pPr>
            <w:r>
              <w:rPr>
                <w:bCs/>
              </w:rPr>
              <w:t>- содержать зону оказания услуг в течение всего времени оказания услуг в строгом соответствии с требованиями безопасности;</w:t>
            </w:r>
          </w:p>
          <w:p>
            <w:pPr>
              <w:pStyle w:val="Normal"/>
              <w:widowControl w:val="false"/>
              <w:jc w:val="both"/>
              <w:rPr>
                <w:bCs/>
              </w:rPr>
            </w:pPr>
            <w:r>
              <w:rPr>
                <w:bCs/>
              </w:rPr>
              <w:t>- после оказания услуг осуществлять уборку рабочей зоны и вывоз строительного мусора;</w:t>
            </w:r>
          </w:p>
          <w:p>
            <w:pPr>
              <w:pStyle w:val="Normal"/>
              <w:widowControl w:val="false"/>
              <w:jc w:val="both"/>
              <w:rPr>
                <w:bCs/>
              </w:rPr>
            </w:pPr>
            <w:r>
              <w:rPr>
                <w:bCs/>
              </w:rPr>
              <w:t>- выполнять требования к содержанию, срокам и качеству услуг в согласованные с начальником отдела материально-технического обеспечения Управления сроки;</w:t>
            </w:r>
          </w:p>
          <w:p>
            <w:pPr>
              <w:pStyle w:val="Normal"/>
              <w:widowControl w:val="false"/>
              <w:jc w:val="both"/>
              <w:rPr>
                <w:bCs/>
              </w:rPr>
            </w:pPr>
            <w:r>
              <w:rPr>
                <w:bCs/>
              </w:rPr>
              <w:t>- оказывать услуги в условиях действующего предприятия;</w:t>
            </w:r>
          </w:p>
          <w:p>
            <w:pPr>
              <w:pStyle w:val="Normal"/>
              <w:widowControl w:val="false"/>
              <w:jc w:val="both"/>
              <w:rPr>
                <w:bCs/>
              </w:rPr>
            </w:pPr>
            <w:r>
              <w:rPr>
                <w:bCs/>
              </w:rPr>
              <w:t>- выполнять аварийные услуги 7 дней в неделю, 24 часа в сутки;</w:t>
            </w:r>
          </w:p>
        </w:tc>
      </w:tr>
      <w:tr>
        <w:trPr>
          <w:trHeight w:val="2696" w:hRule="atLeast"/>
        </w:trPr>
        <w:tc>
          <w:tcPr>
            <w:tcW w:w="1798" w:type="dxa"/>
            <w:tcBorders>
              <w:top w:val="single" w:sz="4" w:space="0" w:color="000000"/>
              <w:start w:val="single" w:sz="4" w:space="0" w:color="000000"/>
              <w:bottom w:val="single" w:sz="4" w:space="0" w:color="000000"/>
              <w:end w:val="single" w:sz="4" w:space="0" w:color="000000"/>
            </w:tcBorders>
          </w:tcPr>
          <w:p>
            <w:pPr>
              <w:pStyle w:val="Normal"/>
              <w:widowControl w:val="false"/>
              <w:ind w:start="6" w:end="0"/>
              <w:rPr>
                <w:bCs/>
              </w:rPr>
            </w:pPr>
            <w:r>
              <w:rPr>
                <w:bCs/>
              </w:rPr>
              <w:t>8.  Общие требования к оказанию услуг</w:t>
            </w:r>
          </w:p>
        </w:tc>
        <w:tc>
          <w:tcPr>
            <w:tcW w:w="829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both"/>
              <w:rPr>
                <w:b/>
              </w:rPr>
            </w:pPr>
            <w:r>
              <w:rPr>
                <w:bCs/>
              </w:rPr>
              <w:t>Исполнитель</w:t>
            </w:r>
            <w:r>
              <w:rPr/>
              <w:t xml:space="preserve"> обязан:</w:t>
            </w:r>
          </w:p>
          <w:p>
            <w:pPr>
              <w:pStyle w:val="Normal"/>
              <w:widowControl w:val="false"/>
              <w:jc w:val="both"/>
              <w:rPr>
                <w:b/>
              </w:rPr>
            </w:pPr>
            <w:r>
              <w:rPr>
                <w:b/>
              </w:rPr>
              <w:t>1. В срок не позднее дня подписания контракта со своей стороны, предоставить Заказчику:</w:t>
            </w:r>
          </w:p>
          <w:p>
            <w:pPr>
              <w:pStyle w:val="Normal"/>
              <w:widowControl w:val="false"/>
              <w:jc w:val="both"/>
              <w:rPr/>
            </w:pPr>
            <w:r>
              <w:rPr/>
              <w:t>- документы, удостоверяющие наличие соответствующего персонала и его право на производство работ, оказания услуг, в том числе на производство работ повышенной опасности. В случае изменения состава привлекаемого персонала Исполнитель обязан незамедлительно предоставить Заказчику вышеперечисленные документы на своих сотрудников и/или сотрудников соисполнителя;</w:t>
            </w:r>
          </w:p>
          <w:p>
            <w:pPr>
              <w:pStyle w:val="Normal"/>
              <w:widowControl w:val="false"/>
              <w:jc w:val="both"/>
              <w:rPr/>
            </w:pPr>
            <w:r>
              <w:rPr/>
              <w:t>- копию приказа о назначении ответственных лиц за охрану труда, пожарную безопасность, электробезопасность;</w:t>
            </w:r>
          </w:p>
          <w:p>
            <w:pPr>
              <w:pStyle w:val="Normal"/>
              <w:widowControl w:val="false"/>
              <w:jc w:val="both"/>
              <w:rPr>
                <w:b/>
              </w:rPr>
            </w:pPr>
            <w:r>
              <w:rPr/>
              <w:t>- копию приказа о назначении ответственного лица за проведение инструктажей (первичный, повторный, внеплановый, целевой) по охране труда, пожарной безопасности, электробезопасности вместе с копиями удостоверений, подтверждающими право на проведение инструктажей;</w:t>
            </w:r>
          </w:p>
          <w:p>
            <w:pPr>
              <w:pStyle w:val="Normal"/>
              <w:widowControl w:val="false"/>
              <w:jc w:val="both"/>
              <w:rPr/>
            </w:pPr>
            <w:r>
              <w:rPr>
                <w:b/>
              </w:rPr>
              <w:t>2. До начала оказания услуг</w:t>
            </w:r>
            <w:r>
              <w:rPr/>
              <w:t xml:space="preserve"> </w:t>
            </w:r>
            <w:r>
              <w:rPr>
                <w:b/>
              </w:rPr>
              <w:t>предоставить Заказчику</w:t>
            </w:r>
            <w:r>
              <w:rPr/>
              <w:t xml:space="preserve"> </w:t>
            </w:r>
            <w:r>
              <w:rPr>
                <w:b/>
              </w:rPr>
              <w:t>на своих работников и/или работников соисполнителя:</w:t>
            </w:r>
          </w:p>
          <w:p>
            <w:pPr>
              <w:pStyle w:val="Normal"/>
              <w:widowControl w:val="false"/>
              <w:jc w:val="both"/>
              <w:rPr/>
            </w:pPr>
            <w:r>
              <w:rPr/>
              <w:t xml:space="preserve">- список сотрудников для организации допуска в здание Управления; </w:t>
            </w:r>
          </w:p>
          <w:p>
            <w:pPr>
              <w:pStyle w:val="Normal"/>
              <w:widowControl w:val="false"/>
              <w:jc w:val="both"/>
              <w:rPr/>
            </w:pPr>
            <w:r>
              <w:rPr/>
              <w:t>- удостоверяющие личность документы;</w:t>
            </w:r>
          </w:p>
          <w:p>
            <w:pPr>
              <w:pStyle w:val="Normal"/>
              <w:widowControl w:val="false"/>
              <w:jc w:val="both"/>
              <w:rPr/>
            </w:pPr>
            <w:r>
              <w:rPr/>
              <w:t>- документы, подтверждающие профессию и квалификацию, соответствующие указанным в списке работникам Исполнителя (основным и совмещаемым: электромонтер, электрогазосварщик, стропальщик, слесарь и др.);</w:t>
            </w:r>
          </w:p>
          <w:p>
            <w:pPr>
              <w:pStyle w:val="Normal"/>
              <w:widowControl w:val="false"/>
              <w:jc w:val="both"/>
              <w:rPr/>
            </w:pPr>
            <w:r>
              <w:rPr/>
              <w:t>- документы, подтверждающие прохождение проверок знаний по охране труда по основной и совмещаемым профессиям (должностям), а также по видам работ, в том числе работам повышенной опасности, которые предстоит выполнять в рамках действующего договора на территории объектов Управления (удостоверения или копии протоколов проверок знаний требований охраны труда, удостоверения о проверке знаний правил работы в электроустановках, о проверке знаний правил технической эксплуатации тепловых энергоустановок, о допуске к работам на высоте и т.д.). Для работ на опасных производственных объектах дополнительно – документы, оформленные в соответствии с требованиями Ростехнадзора (удостоверения или копии протоколов аттестаций с участием представителей Ростехнадзора, в случае прохождения рабочими проверок знаний в комиссии Исполнителя необходимо представить копии протоколов аттестаций членов экзаменационной комиссии с участием представителей Ростехнадзора);</w:t>
            </w:r>
          </w:p>
          <w:p>
            <w:pPr>
              <w:pStyle w:val="Normal"/>
              <w:widowControl w:val="false"/>
              <w:jc w:val="both"/>
              <w:rPr/>
            </w:pPr>
            <w:r>
              <w:rPr/>
              <w:t>3. Проводить работы повышенной опасности на выделенных по акту-допуску участках с оформлением разрешительной документации в соответствии с порядком, установленным в организации Исполнителя, и с соблюдением требований, предъявляемым к данному объекту;</w:t>
            </w:r>
          </w:p>
          <w:p>
            <w:pPr>
              <w:pStyle w:val="Normal"/>
              <w:widowControl w:val="false"/>
              <w:jc w:val="both"/>
              <w:rPr/>
            </w:pPr>
            <w:r>
              <w:rPr/>
              <w:t>4. При проведении работ повышенной опасности (работы в электроустановках, в тепоустановках, электросварочные, газосварочные работы, работы на высоте и др.) на территории действующего выделенного по акту-допуску объекта Управления должен быть оформлен наряд-допуск, который оформляется Исполнителем в соответствии с утвержденным порядком организации данного вида работ;</w:t>
            </w:r>
          </w:p>
          <w:p>
            <w:pPr>
              <w:pStyle w:val="Normal"/>
              <w:widowControl w:val="false"/>
              <w:jc w:val="both"/>
              <w:rPr/>
            </w:pPr>
            <w:r>
              <w:rPr/>
              <w:t xml:space="preserve">5. В случае выполнения работ повышенной опасности (работы в электроустановках, в тепоустановках, электросварочные, газосварочные работы, работы на высоте и др.) на территории сторонней организации оформить акт-допуск (наряд-допуск) у сторонней организации; </w:t>
            </w:r>
          </w:p>
          <w:p>
            <w:pPr>
              <w:pStyle w:val="Normal"/>
              <w:widowControl w:val="false"/>
              <w:jc w:val="both"/>
              <w:rPr/>
            </w:pPr>
            <w:r>
              <w:rPr/>
              <w:t>6. Приостановить работы в случае получения письменного уведомления о выявлении нарушений вышеуказанных требований. Заказчик на основании уведомления имеет право расторгнуть с Исполнителем контракт;</w:t>
            </w:r>
          </w:p>
          <w:p>
            <w:pPr>
              <w:pStyle w:val="Normal"/>
              <w:widowControl w:val="false"/>
              <w:jc w:val="both"/>
              <w:rPr/>
            </w:pPr>
            <w:r>
              <w:rPr/>
              <w:t>7. За счет своих средств в соответствии с установленными нормами обеспечить своевременную выдачу своим работникам, осуществляющим деятельность на объектах Заказчика, инструмента, оборудования, приспособлений, расходных материалов и специальной одежды, специальной обуви и других средств индивидуальной защиты, а также смывающих и (или) обезвреживающих средств, прошедших обязательную сертификацию или декларирование соответствия.</w:t>
            </w:r>
          </w:p>
          <w:p>
            <w:pPr>
              <w:pStyle w:val="Normal"/>
              <w:widowControl w:val="false"/>
              <w:jc w:val="both"/>
              <w:rPr/>
            </w:pPr>
            <w:r>
              <w:rPr/>
              <w:t>8. Нести ответственность за состояние условий труда на рабочих местах, за использование инструментов, оборудования, приспособлений, расходных материалов, соответствующих установленным нормам и требованиям в области пожарной безопасности и санитарно-гигиеническим требованиям, за наличие на них сертификатов и разрешений для использования их на территории Российской Федерации, в случае, если действующим законодательством Российской Федерации установлено требование о наличии таких сертификатов или разрешений.</w:t>
            </w:r>
          </w:p>
          <w:p>
            <w:pPr>
              <w:pStyle w:val="Normal"/>
              <w:widowControl w:val="false"/>
              <w:jc w:val="both"/>
              <w:rPr/>
            </w:pPr>
            <w:r>
              <w:rPr/>
              <w:t>9. Нести ответственность за любые увечья, травмы (в том числе повлекшие смерть), ущерб или повреждение имущества, любые другие потери, издержки и расходы, которые могут иметь место при исполнении Исполнителем своих обязательств;</w:t>
            </w:r>
          </w:p>
          <w:p>
            <w:pPr>
              <w:pStyle w:val="Normal"/>
              <w:widowControl w:val="false"/>
              <w:tabs>
                <w:tab w:val="clear" w:pos="709"/>
                <w:tab w:val="left" w:pos="0" w:leader="none"/>
              </w:tabs>
              <w:spacing w:before="0" w:after="0"/>
              <w:contextualSpacing/>
              <w:jc w:val="both"/>
              <w:rPr/>
            </w:pPr>
            <w:r>
              <w:rPr/>
              <w:t>10. При выполнении работ все материалы и комплектующие должны быть новыми, (которые не были в употреблении, в том числе, которые не были восстановлены, у которых не были восстановлены потребительские свойства), надлежащего качества, не иметь дефектов и повреждений.</w:t>
            </w:r>
          </w:p>
        </w:tc>
      </w:tr>
      <w:tr>
        <w:trPr>
          <w:trHeight w:val="5702" w:hRule="atLeast"/>
        </w:trPr>
        <w:tc>
          <w:tcPr>
            <w:tcW w:w="1798" w:type="dxa"/>
            <w:tcBorders>
              <w:top w:val="single" w:sz="4" w:space="0" w:color="000000"/>
              <w:start w:val="single" w:sz="4" w:space="0" w:color="000000"/>
              <w:bottom w:val="single" w:sz="4" w:space="0" w:color="000000"/>
              <w:end w:val="single" w:sz="4" w:space="0" w:color="000000"/>
            </w:tcBorders>
          </w:tcPr>
          <w:p>
            <w:pPr>
              <w:pStyle w:val="Normal"/>
              <w:widowControl w:val="false"/>
              <w:rPr>
                <w:bCs/>
              </w:rPr>
            </w:pPr>
            <w:r>
              <w:rPr>
                <w:bCs/>
              </w:rPr>
              <w:t>9. Обязанности Исполнителя при оказании услуг</w:t>
            </w:r>
          </w:p>
        </w:tc>
        <w:tc>
          <w:tcPr>
            <w:tcW w:w="829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both"/>
              <w:rPr>
                <w:bCs/>
              </w:rPr>
            </w:pPr>
            <w:r>
              <w:rPr>
                <w:bCs/>
              </w:rPr>
              <w:t>Исполнитель</w:t>
            </w:r>
            <w:r>
              <w:rPr/>
              <w:t xml:space="preserve"> обязан:</w:t>
            </w:r>
          </w:p>
          <w:p>
            <w:pPr>
              <w:pStyle w:val="Normal"/>
              <w:widowControl w:val="false"/>
              <w:ind w:firstLine="15" w:start="-15" w:end="0"/>
              <w:jc w:val="both"/>
              <w:rPr/>
            </w:pPr>
            <w:r>
              <w:rPr>
                <w:bCs/>
              </w:rPr>
              <w:t xml:space="preserve">1. </w:t>
            </w:r>
            <w:r>
              <w:rPr/>
              <w:t>обеспечить в рамках оказания услуг по обслуживанию проведение обследования технического состояния сетей и помещений с подготовкой рекомендаций по своевременному текущему либо капитальному ремонту помещений, сетей и замене оборудования, оформленных в виде</w:t>
            </w:r>
            <w:r>
              <w:rPr>
                <w:bCs/>
              </w:rPr>
              <w:t xml:space="preserve"> дефектной ведомости ;</w:t>
            </w:r>
          </w:p>
          <w:p>
            <w:pPr>
              <w:pStyle w:val="Normal"/>
              <w:widowControl w:val="false"/>
              <w:jc w:val="both"/>
              <w:rPr/>
            </w:pPr>
            <w:r>
              <w:rPr/>
              <w:t xml:space="preserve"> </w:t>
            </w:r>
            <w:r>
              <w:rPr/>
              <w:t xml:space="preserve">Недобросовестное выполнение обязанностей по мониторингу помещений, сетей повлекшее за собой материальный ущерб Заказчику либо третьему лицу, доказанное независимой экспертизой, позволяет Заказчику требовать от </w:t>
            </w:r>
            <w:r>
              <w:rPr>
                <w:bCs/>
              </w:rPr>
              <w:t>Исполнителя</w:t>
            </w:r>
            <w:r>
              <w:rPr/>
              <w:t xml:space="preserve"> полного возмещения причинённого ущерба;</w:t>
            </w:r>
          </w:p>
          <w:p>
            <w:pPr>
              <w:pStyle w:val="Normal"/>
              <w:widowControl w:val="false"/>
              <w:ind w:firstLine="15" w:start="-15" w:end="0"/>
              <w:jc w:val="both"/>
              <w:rPr/>
            </w:pPr>
            <w:r>
              <w:rPr/>
              <w:t xml:space="preserve">2. обеспечить круглосуточную аварийную поддержку работы обслуживаемых сетей, в том числе в рабочие, праздничные и выходные дни, по вызову Заказчика. Вызов от представителя Заказчика на аварийное техническое обслуживание принимается дежурным представителем </w:t>
            </w:r>
            <w:r>
              <w:rPr>
                <w:bCs/>
              </w:rPr>
              <w:t>Исполнителя</w:t>
            </w:r>
            <w:r>
              <w:rPr/>
              <w:t xml:space="preserve"> круглосуточно по номеру телефона Исполнителя, указанному в контракте. Прибытие представителей </w:t>
            </w:r>
            <w:r>
              <w:rPr>
                <w:bCs/>
              </w:rPr>
              <w:t>Исполнителя</w:t>
            </w:r>
            <w:r>
              <w:rPr/>
              <w:t xml:space="preserve"> для устранения аварии на обслуживаемых сетях - в течение одного часа со времени вызова в любое время суток. При превышении Исполнителем установленного срока Заказчик привлекает для устранения аварии третьих лиц.</w:t>
            </w:r>
          </w:p>
        </w:tc>
      </w:tr>
      <w:tr>
        <w:trPr>
          <w:trHeight w:val="1976" w:hRule="atLeast"/>
        </w:trPr>
        <w:tc>
          <w:tcPr>
            <w:tcW w:w="1798" w:type="dxa"/>
            <w:tcBorders>
              <w:top w:val="single" w:sz="4" w:space="0" w:color="000000"/>
              <w:start w:val="single" w:sz="4" w:space="0" w:color="000000"/>
              <w:bottom w:val="single" w:sz="4" w:space="0" w:color="000000"/>
              <w:end w:val="single" w:sz="4" w:space="0" w:color="000000"/>
            </w:tcBorders>
          </w:tcPr>
          <w:p>
            <w:pPr>
              <w:pStyle w:val="Normal"/>
              <w:widowControl w:val="false"/>
              <w:rPr/>
            </w:pPr>
            <w:r>
              <w:rPr>
                <w:bCs/>
              </w:rPr>
              <w:t xml:space="preserve">10. Требования к качеству и безопасности </w:t>
            </w:r>
            <w:r>
              <w:rPr/>
              <w:t>оказанных услуг</w:t>
            </w:r>
          </w:p>
        </w:tc>
        <w:tc>
          <w:tcPr>
            <w:tcW w:w="829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both"/>
              <w:rPr>
                <w:bCs/>
              </w:rPr>
            </w:pPr>
            <w:r>
              <w:rPr/>
              <w:t xml:space="preserve">Оказание услуг </w:t>
            </w:r>
            <w:r>
              <w:rPr>
                <w:bCs/>
              </w:rPr>
              <w:t xml:space="preserve">по </w:t>
            </w:r>
            <w:r>
              <w:rPr/>
              <w:t xml:space="preserve">обслуживанию </w:t>
            </w:r>
            <w:r>
              <w:rPr>
                <w:bCs/>
              </w:rPr>
              <w:t>инженерных сетей, помещений Управления, общего имущества осуществляется в соответствии с требованиями:</w:t>
            </w:r>
          </w:p>
          <w:p>
            <w:pPr>
              <w:pStyle w:val="Normal"/>
              <w:widowControl w:val="false"/>
              <w:shd w:fill="FFFFFF" w:val="clear"/>
              <w:jc w:val="both"/>
              <w:rPr/>
            </w:pPr>
            <w:r>
              <w:rPr>
                <w:bCs/>
              </w:rPr>
              <w:t xml:space="preserve">- </w:t>
            </w:r>
            <w:r>
              <w:rPr/>
              <w:t>Федерального закона от 22.07.2008 № 123-ФЗ «Технический регламент о требованиях пожарной безопасности»);</w:t>
            </w:r>
          </w:p>
          <w:p>
            <w:pPr>
              <w:pStyle w:val="Normal"/>
              <w:widowControl w:val="false"/>
              <w:jc w:val="both"/>
              <w:rPr/>
            </w:pPr>
            <w:r>
              <w:rPr/>
              <w:t>–</w:t>
            </w:r>
            <w:r>
              <w:rPr>
                <w:bCs/>
              </w:rPr>
              <w:t xml:space="preserve"> </w:t>
            </w:r>
            <w:r>
              <w:rPr>
                <w:bCs/>
              </w:rPr>
              <w:t>«Правил технической эксплуатации электроустановок потребителей электрической энергии», утвержденными приказом Минэнерго РФ от 12.08.2022 N 811;</w:t>
            </w:r>
          </w:p>
          <w:p>
            <w:pPr>
              <w:pStyle w:val="Normal"/>
              <w:widowControl w:val="false"/>
              <w:jc w:val="both"/>
              <w:rPr/>
            </w:pPr>
            <w:r>
              <w:rPr/>
              <w:t>–</w:t>
            </w:r>
            <w:r>
              <w:rPr>
                <w:bCs/>
              </w:rPr>
              <w:t xml:space="preserve"> </w:t>
            </w:r>
            <w:r>
              <w:rPr>
                <w:bCs/>
              </w:rPr>
              <w:t xml:space="preserve">«Правил устройств электроустановок», утвержденными приказом Минэнерго РФ от 08.07.2002 № 204; </w:t>
            </w:r>
          </w:p>
          <w:p>
            <w:pPr>
              <w:pStyle w:val="Normal"/>
              <w:widowControl w:val="false"/>
              <w:ind w:hanging="33" w:end="0"/>
              <w:jc w:val="both"/>
              <w:rPr/>
            </w:pPr>
            <w:r>
              <w:rPr/>
              <w:t>–</w:t>
            </w:r>
            <w:r>
              <w:rPr>
                <w:bCs/>
              </w:rPr>
              <w:t xml:space="preserve"> </w:t>
            </w:r>
            <w:r>
              <w:rPr>
                <w:bCs/>
              </w:rPr>
              <w:t xml:space="preserve">«Правил по охране труда при эксплуатации электроустановок», утвержденными Приказом Минтруда РФ от 15.12.2020 № 903н; </w:t>
            </w:r>
          </w:p>
          <w:p>
            <w:pPr>
              <w:pStyle w:val="Normal"/>
              <w:widowControl w:val="false"/>
              <w:jc w:val="both"/>
              <w:rPr>
                <w:bCs/>
              </w:rPr>
            </w:pPr>
            <w:r>
              <w:rPr/>
              <w:t>–</w:t>
            </w:r>
            <w:r>
              <w:rPr>
                <w:bCs/>
              </w:rPr>
              <w:t xml:space="preserve"> </w:t>
            </w:r>
            <w:r>
              <w:rPr>
                <w:bCs/>
              </w:rPr>
              <w:t>СП 124.13330.2012 Тепловые сети. Актуализированная редакция СНиП 41-02-2003;</w:t>
            </w:r>
          </w:p>
          <w:p>
            <w:pPr>
              <w:pStyle w:val="Normal"/>
              <w:widowControl w:val="false"/>
              <w:jc w:val="both"/>
              <w:rPr>
                <w:bCs/>
              </w:rPr>
            </w:pPr>
            <w:r>
              <w:rPr>
                <w:bCs/>
              </w:rPr>
              <w:t>- Постановлением Правительства РФ от 16.09.2020 № 1479 «Об утверждении Правил противопожарного режима в Российской Федерации».</w:t>
            </w:r>
          </w:p>
          <w:p>
            <w:pPr>
              <w:pStyle w:val="Normal"/>
              <w:widowControl w:val="false"/>
              <w:jc w:val="both"/>
              <w:rPr/>
            </w:pPr>
            <w:r>
              <w:rPr>
                <w:bCs/>
              </w:rPr>
              <w:t xml:space="preserve">- </w:t>
            </w:r>
            <w:r>
              <w:rPr/>
              <w:t>Постановлением Правительства РФ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pPr>
              <w:pStyle w:val="Normal"/>
              <w:shd w:fill="FFFFFF" w:val="clear"/>
              <w:jc w:val="both"/>
              <w:rPr/>
            </w:pPr>
            <w:r>
              <w:rPr/>
              <w:t xml:space="preserve">Техническое обслуживание инженерной инфраструктуры здания осуществляется в соответствии с ГОСТ, а, также, следующими правилами, инструкциями и нормативными документами: </w:t>
            </w:r>
          </w:p>
          <w:p>
            <w:pPr>
              <w:pStyle w:val="Normal"/>
              <w:shd w:fill="FFFFFF" w:val="clear"/>
              <w:jc w:val="both"/>
              <w:rPr/>
            </w:pPr>
            <w:r>
              <w:rPr/>
              <w:t xml:space="preserve">- «Правилами технической эксплуатации тепловых энергоустановок», введенными в действие приказом Минэнерго Российской Федерации от 24.03.2003 № 115; </w:t>
            </w:r>
          </w:p>
          <w:p>
            <w:pPr>
              <w:pStyle w:val="Normal"/>
              <w:shd w:fill="FFFFFF" w:val="clear"/>
              <w:jc w:val="both"/>
              <w:rPr/>
            </w:pPr>
            <w:r>
              <w:rPr/>
              <w:t xml:space="preserve">- «Типовой инструкцией по технической эксплуатации тепловых сетей систем коммунального теплоснабжения» № МДК 4-02.2001, утвержденной приказом Госстроя Российской Федерации от 13.12.2000 № 285; </w:t>
            </w:r>
          </w:p>
          <w:p>
            <w:pPr>
              <w:pStyle w:val="Normal"/>
              <w:shd w:fill="FFFFFF" w:val="clear"/>
              <w:jc w:val="both"/>
              <w:rPr/>
            </w:pPr>
            <w:r>
              <w:rPr/>
              <w:t>- Приказом Министерства энергетики Российской Федерации (Минэнерго России) от 12 марта 2013 г. N 103 "Об утверждении Правил оценки готовности к отопительному периоду";</w:t>
            </w:r>
          </w:p>
          <w:p>
            <w:pPr>
              <w:pStyle w:val="Normal"/>
              <w:shd w:fill="FFFFFF" w:val="clear"/>
              <w:jc w:val="both"/>
              <w:rPr/>
            </w:pPr>
            <w:r>
              <w:rPr/>
              <w:t xml:space="preserve">- СП 60.13330.2020 "СНиП 41-01-2003* Отопление, вентиляция и кондиционирование воздуха" -  СНиП 41-02-2003 «Тепловые сети» (приняты и введены в действие постановлением Госстроя РФ от 24 июня 2003 г. N 110); </w:t>
            </w:r>
          </w:p>
          <w:p>
            <w:pPr>
              <w:pStyle w:val="Normal"/>
              <w:numPr>
                <w:ilvl w:val="0"/>
                <w:numId w:val="0"/>
              </w:numPr>
              <w:autoSpaceDE w:val="false"/>
              <w:ind w:hanging="0" w:start="0"/>
              <w:jc w:val="both"/>
              <w:outlineLvl w:val="0"/>
              <w:rPr/>
            </w:pPr>
            <w:r>
              <w:rPr/>
              <w:t>-  СП 61.13330.2012 «Тепловая изоляция оборудования и трубопроводов» (Утвержден приказом Минрегиона России от 27 декабря 2011 г. N 608, в ред. Изменения N 1, утв. Приказом Минстроя России от 03.12.2016 N 882/пр);</w:t>
            </w:r>
          </w:p>
          <w:p>
            <w:pPr>
              <w:pStyle w:val="Normal"/>
              <w:shd w:fill="FFFFFF" w:val="clear"/>
              <w:jc w:val="both"/>
              <w:rPr>
                <w:bCs/>
              </w:rPr>
            </w:pPr>
            <w:r>
              <w:rPr/>
              <w:t xml:space="preserve">- регламентными требованиями технических паспортов на установленное оборудование Заказчика. </w:t>
            </w:r>
          </w:p>
          <w:p>
            <w:pPr>
              <w:pStyle w:val="Normal"/>
              <w:widowControl w:val="false"/>
              <w:jc w:val="both"/>
              <w:rPr>
                <w:bCs/>
              </w:rPr>
            </w:pPr>
            <w:r>
              <w:rPr>
                <w:bCs/>
              </w:rPr>
              <w:t xml:space="preserve">Качество </w:t>
            </w:r>
            <w:r>
              <w:rPr/>
              <w:t xml:space="preserve">оказанных услуг </w:t>
            </w:r>
            <w:r>
              <w:rPr>
                <w:bCs/>
              </w:rPr>
              <w:t>подтверждается проведением тестирования системы, для чего Исполнитель в присутствии представителя Заказчика производит проверку работоспособности системы.</w:t>
            </w:r>
          </w:p>
          <w:p>
            <w:pPr>
              <w:pStyle w:val="Normal"/>
              <w:widowControl w:val="false"/>
              <w:jc w:val="both"/>
              <w:rPr>
                <w:bCs/>
              </w:rPr>
            </w:pPr>
            <w:r>
              <w:rPr>
                <w:bCs/>
              </w:rPr>
              <w:t>Скрытые работы принимаются Заказчиком поэтапно, с подписанием акта на скрытые работы.</w:t>
            </w:r>
          </w:p>
          <w:p>
            <w:pPr>
              <w:pStyle w:val="Normal"/>
              <w:widowControl w:val="false"/>
              <w:jc w:val="both"/>
              <w:rPr>
                <w:bCs/>
              </w:rPr>
            </w:pPr>
            <w:r>
              <w:rPr>
                <w:bCs/>
              </w:rPr>
              <w:t>Все работники должны быть обеспечены Исполнителем спецодеждой и средствами индивидуальной защиты.</w:t>
            </w:r>
          </w:p>
          <w:p>
            <w:pPr>
              <w:pStyle w:val="Normal"/>
              <w:widowControl w:val="false"/>
              <w:jc w:val="both"/>
              <w:rPr>
                <w:bCs/>
              </w:rPr>
            </w:pPr>
            <w:r>
              <w:rPr>
                <w:bCs/>
              </w:rPr>
              <w:t xml:space="preserve">К оказанию </w:t>
            </w:r>
            <w:r>
              <w:rPr/>
              <w:t xml:space="preserve">оказанных услуг </w:t>
            </w:r>
            <w:r>
              <w:rPr>
                <w:bCs/>
              </w:rPr>
              <w:t>должны быть допущены лица, прошедшие инструктаж по охране труда.</w:t>
            </w:r>
          </w:p>
          <w:p>
            <w:pPr>
              <w:pStyle w:val="Normal"/>
              <w:widowControl w:val="false"/>
              <w:jc w:val="both"/>
              <w:rPr>
                <w:bCs/>
              </w:rPr>
            </w:pPr>
            <w:r>
              <w:rPr>
                <w:bCs/>
              </w:rPr>
              <w:t>При проведении газопламенных работ руководствоваться «Об утверждении Правил по охране труда при выполнении электро- и газосварочных работ», утверждённых приказом Минтруда РФ 11.12.2020 № 884н;</w:t>
            </w:r>
          </w:p>
          <w:p>
            <w:pPr>
              <w:pStyle w:val="Normal"/>
              <w:widowControl w:val="false"/>
              <w:jc w:val="both"/>
              <w:rPr>
                <w:bCs/>
              </w:rPr>
            </w:pPr>
            <w:r>
              <w:rPr>
                <w:bCs/>
              </w:rPr>
              <w:t>К выполнению электромонтажных работ привлекать лиц, обученных, имеющих допуск и удостоверение, подтверждающее квалификацию;</w:t>
            </w:r>
          </w:p>
          <w:p>
            <w:pPr>
              <w:pStyle w:val="Normal"/>
              <w:widowControl w:val="false"/>
              <w:jc w:val="both"/>
              <w:rPr>
                <w:bCs/>
              </w:rPr>
            </w:pPr>
            <w:r>
              <w:rPr>
                <w:bCs/>
              </w:rPr>
              <w:t>К оказанию услуг на высоте привлекать лиц, обученных, имеющих допуск и удостоверение, разрешающее работу на высоте;</w:t>
            </w:r>
          </w:p>
          <w:p>
            <w:pPr>
              <w:pStyle w:val="Normal"/>
              <w:widowControl w:val="false"/>
              <w:jc w:val="both"/>
              <w:rPr>
                <w:bCs/>
              </w:rPr>
            </w:pPr>
            <w:r>
              <w:rPr>
                <w:bCs/>
              </w:rPr>
              <w:t>К оказанию услуг по эксплуатации тепловых энергоустановок и тепловых сетей привлекать лиц, обученных, имеющих допуск и удостоверение, подтверждающее квалификацию.</w:t>
            </w:r>
          </w:p>
        </w:tc>
      </w:tr>
      <w:tr>
        <w:trPr>
          <w:trHeight w:val="1096" w:hRule="atLeast"/>
        </w:trPr>
        <w:tc>
          <w:tcPr>
            <w:tcW w:w="1798" w:type="dxa"/>
            <w:tcBorders>
              <w:top w:val="single" w:sz="4" w:space="0" w:color="000000"/>
              <w:start w:val="single" w:sz="4" w:space="0" w:color="000000"/>
              <w:bottom w:val="single" w:sz="4" w:space="0" w:color="000000"/>
              <w:end w:val="single" w:sz="4" w:space="0" w:color="000000"/>
            </w:tcBorders>
          </w:tcPr>
          <w:p>
            <w:pPr>
              <w:pStyle w:val="Normal"/>
              <w:widowControl w:val="false"/>
              <w:rPr>
                <w:bCs/>
              </w:rPr>
            </w:pPr>
            <w:r>
              <w:rPr>
                <w:bCs/>
              </w:rPr>
              <w:t>11. График оказания услуг</w:t>
            </w:r>
          </w:p>
        </w:tc>
        <w:tc>
          <w:tcPr>
            <w:tcW w:w="829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both"/>
              <w:rPr/>
            </w:pPr>
            <w:r>
              <w:rPr/>
              <w:t>Обслуживание инженерных сетей, помещений Управления, общего имущества осуществляется по режиму работы Управления:</w:t>
            </w:r>
          </w:p>
          <w:tbl>
            <w:tblPr>
              <w:tblW w:w="5089" w:type="dxa"/>
              <w:jc w:val="start"/>
              <w:tblInd w:w="980" w:type="dxa"/>
              <w:tblLayout w:type="fixed"/>
              <w:tblCellMar>
                <w:top w:w="0" w:type="dxa"/>
                <w:start w:w="108" w:type="dxa"/>
                <w:bottom w:w="0" w:type="dxa"/>
                <w:end w:w="108" w:type="dxa"/>
              </w:tblCellMar>
            </w:tblPr>
            <w:tblGrid>
              <w:gridCol w:w="1452"/>
              <w:gridCol w:w="1181"/>
              <w:gridCol w:w="1228"/>
              <w:gridCol w:w="1228"/>
            </w:tblGrid>
            <w:tr>
              <w:trPr>
                <w:trHeight w:val="478" w:hRule="atLeast"/>
              </w:trPr>
              <w:tc>
                <w:tcPr>
                  <w:tcW w:w="1452"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pPr>
                  <w:r>
                    <w:rPr/>
                    <w:t>понедельник</w:t>
                  </w:r>
                </w:p>
              </w:tc>
              <w:tc>
                <w:tcPr>
                  <w:tcW w:w="1181"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pPr>
                  <w:r>
                    <w:rPr/>
                    <w:t>9.00-18.00</w:t>
                  </w:r>
                </w:p>
              </w:tc>
              <w:tc>
                <w:tcPr>
                  <w:tcW w:w="1228"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pPr>
                  <w:r>
                    <w:rPr/>
                    <w:t>четверг</w:t>
                  </w:r>
                </w:p>
              </w:tc>
              <w:tc>
                <w:tcPr>
                  <w:tcW w:w="1228"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pPr>
                  <w:r>
                    <w:rPr/>
                    <w:t>9.00-18.00</w:t>
                  </w:r>
                </w:p>
              </w:tc>
            </w:tr>
            <w:tr>
              <w:trPr>
                <w:trHeight w:val="491" w:hRule="atLeast"/>
              </w:trPr>
              <w:tc>
                <w:tcPr>
                  <w:tcW w:w="1452"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pPr>
                  <w:r>
                    <w:rPr/>
                    <w:t>вторник</w:t>
                  </w:r>
                </w:p>
              </w:tc>
              <w:tc>
                <w:tcPr>
                  <w:tcW w:w="1181"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pPr>
                  <w:r>
                    <w:rPr/>
                    <w:t>9.00-18.00</w:t>
                  </w:r>
                </w:p>
              </w:tc>
              <w:tc>
                <w:tcPr>
                  <w:tcW w:w="1228"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pPr>
                  <w:r>
                    <w:rPr/>
                    <w:t>пятница</w:t>
                  </w:r>
                </w:p>
              </w:tc>
              <w:tc>
                <w:tcPr>
                  <w:tcW w:w="1228"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pPr>
                  <w:r>
                    <w:rPr/>
                    <w:t>9.00-16.45</w:t>
                  </w:r>
                </w:p>
              </w:tc>
            </w:tr>
            <w:tr>
              <w:trPr>
                <w:trHeight w:val="491" w:hRule="atLeast"/>
              </w:trPr>
              <w:tc>
                <w:tcPr>
                  <w:tcW w:w="1452"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pPr>
                  <w:r>
                    <w:rPr/>
                    <w:t>среда</w:t>
                  </w:r>
                </w:p>
              </w:tc>
              <w:tc>
                <w:tcPr>
                  <w:tcW w:w="1181"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pPr>
                  <w:r>
                    <w:rPr/>
                    <w:t>9.00-18.00</w:t>
                  </w:r>
                </w:p>
              </w:tc>
              <w:tc>
                <w:tcPr>
                  <w:tcW w:w="1228" w:type="dxa"/>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both"/>
                    <w:rPr/>
                  </w:pPr>
                  <w:r>
                    <w:rPr/>
                  </w:r>
                </w:p>
              </w:tc>
              <w:tc>
                <w:tcPr>
                  <w:tcW w:w="1228" w:type="dxa"/>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both"/>
                    <w:rPr/>
                  </w:pPr>
                  <w:r>
                    <w:rPr/>
                  </w:r>
                </w:p>
              </w:tc>
            </w:tr>
          </w:tbl>
          <w:p>
            <w:pPr>
              <w:pStyle w:val="Normal"/>
              <w:widowControl w:val="false"/>
              <w:jc w:val="both"/>
              <w:rPr>
                <w:bCs/>
              </w:rPr>
            </w:pPr>
            <w:r>
              <w:rPr>
                <w:bCs/>
              </w:rPr>
            </w:r>
          </w:p>
        </w:tc>
      </w:tr>
      <w:tr>
        <w:trPr>
          <w:trHeight w:val="2204" w:hRule="atLeast"/>
        </w:trPr>
        <w:tc>
          <w:tcPr>
            <w:tcW w:w="1798" w:type="dxa"/>
            <w:tcBorders>
              <w:top w:val="single" w:sz="4" w:space="0" w:color="000000"/>
              <w:start w:val="single" w:sz="4" w:space="0" w:color="000000"/>
              <w:bottom w:val="single" w:sz="4" w:space="0" w:color="000000"/>
              <w:end w:val="single" w:sz="4" w:space="0" w:color="000000"/>
            </w:tcBorders>
          </w:tcPr>
          <w:p>
            <w:pPr>
              <w:pStyle w:val="Normal"/>
              <w:widowControl w:val="false"/>
              <w:rPr>
                <w:bCs/>
              </w:rPr>
            </w:pPr>
            <w:r>
              <w:rPr>
                <w:bCs/>
              </w:rPr>
              <w:t xml:space="preserve">12. Требования к объёму гарантий качества услуг </w:t>
            </w:r>
          </w:p>
        </w:tc>
        <w:tc>
          <w:tcPr>
            <w:tcW w:w="829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both"/>
              <w:rPr>
                <w:bCs/>
              </w:rPr>
            </w:pPr>
            <w:r>
              <w:rPr>
                <w:bCs/>
              </w:rPr>
              <w:t>Подрядчик гарантирует:</w:t>
            </w:r>
          </w:p>
          <w:p>
            <w:pPr>
              <w:pStyle w:val="Normal"/>
              <w:widowControl w:val="false"/>
              <w:jc w:val="both"/>
              <w:rPr>
                <w:bCs/>
              </w:rPr>
            </w:pPr>
            <w:r>
              <w:rPr>
                <w:bCs/>
              </w:rPr>
              <w:t xml:space="preserve">- качество </w:t>
            </w:r>
            <w:r>
              <w:rPr/>
              <w:t>оказанных услуг</w:t>
            </w:r>
            <w:r>
              <w:rPr>
                <w:bCs/>
              </w:rPr>
              <w:t xml:space="preserve"> в соответствии с ГОСТ и техническими регламентами;</w:t>
            </w:r>
          </w:p>
          <w:p>
            <w:pPr>
              <w:pStyle w:val="Normal"/>
              <w:widowControl w:val="false"/>
              <w:jc w:val="both"/>
              <w:rPr>
                <w:bCs/>
              </w:rPr>
            </w:pPr>
            <w:r>
              <w:rPr>
                <w:bCs/>
              </w:rPr>
              <w:t>- качество применённых материалов в течение 12 месяцев;</w:t>
            </w:r>
          </w:p>
          <w:p>
            <w:pPr>
              <w:pStyle w:val="Normal"/>
              <w:widowControl w:val="false"/>
              <w:jc w:val="both"/>
              <w:rPr>
                <w:bCs/>
              </w:rPr>
            </w:pPr>
            <w:r>
              <w:rPr>
                <w:bCs/>
              </w:rPr>
              <w:t>- обеспечение бесперебойной работы инженерных сетей в период срока действия контракта;</w:t>
            </w:r>
          </w:p>
          <w:p>
            <w:pPr>
              <w:pStyle w:val="Normal"/>
              <w:widowControl w:val="false"/>
              <w:jc w:val="both"/>
              <w:rPr>
                <w:bCs/>
              </w:rPr>
            </w:pPr>
            <w:r>
              <w:rPr>
                <w:bCs/>
              </w:rPr>
              <w:t>- устранение за свой счёт недостатков в работах и дефектов материалов, выявленных в период гарантийного срока;</w:t>
            </w:r>
          </w:p>
          <w:p>
            <w:pPr>
              <w:pStyle w:val="Normal"/>
              <w:widowControl w:val="false"/>
              <w:jc w:val="both"/>
              <w:rPr>
                <w:bCs/>
              </w:rPr>
            </w:pPr>
            <w:r>
              <w:rPr>
                <w:bCs/>
              </w:rPr>
              <w:t>- выезд на объект для устранения возможных дефектов в гарантийный период.</w:t>
            </w:r>
          </w:p>
        </w:tc>
      </w:tr>
    </w:tbl>
    <w:p>
      <w:pPr>
        <w:pStyle w:val="Normal"/>
        <w:jc w:val="both"/>
        <w:rPr>
          <w:bCs/>
        </w:rPr>
      </w:pPr>
      <w:r>
        <w:rPr>
          <w:b/>
          <w:bCs/>
        </w:rPr>
        <w:t>Приложение:</w:t>
      </w:r>
    </w:p>
    <w:p>
      <w:pPr>
        <w:pStyle w:val="Normal"/>
        <w:ind w:end="424"/>
        <w:jc w:val="both"/>
        <w:rPr>
          <w:color w:val="000000"/>
          <w:spacing w:val="5"/>
          <w:sz w:val="28"/>
          <w:szCs w:val="28"/>
        </w:rPr>
      </w:pPr>
      <w:r>
        <w:rPr>
          <w:bCs/>
        </w:rPr>
        <w:t xml:space="preserve">1. </w:t>
      </w:r>
      <w:r>
        <w:rPr/>
        <w:t>Перечень и виды услуг по техническому обслуживанию и эксплуатации отопительных, водопроводных и канализационных внешних и внутренних систем, систем электроснабжения, инженерного оборудования Управления;</w:t>
      </w:r>
    </w:p>
    <w:p>
      <w:pPr>
        <w:pStyle w:val="Normal"/>
        <w:jc w:val="both"/>
        <w:rPr>
          <w:color w:val="000000"/>
          <w:spacing w:val="5"/>
          <w:sz w:val="28"/>
          <w:szCs w:val="28"/>
        </w:rPr>
      </w:pPr>
      <w:r>
        <w:rPr>
          <w:color w:val="000000"/>
          <w:spacing w:val="5"/>
          <w:sz w:val="28"/>
          <w:szCs w:val="28"/>
        </w:rPr>
      </w:r>
    </w:p>
    <w:p>
      <w:pPr>
        <w:pStyle w:val="Normal"/>
        <w:ind w:end="424"/>
        <w:jc w:val="end"/>
        <w:rPr>
          <w:color w:val="000000"/>
          <w:spacing w:val="5"/>
          <w:sz w:val="18"/>
          <w:szCs w:val="18"/>
        </w:rPr>
      </w:pPr>
      <w:r>
        <w:rPr>
          <w:color w:val="000000"/>
          <w:spacing w:val="5"/>
          <w:sz w:val="18"/>
          <w:szCs w:val="18"/>
        </w:rPr>
      </w:r>
    </w:p>
    <w:p>
      <w:pPr>
        <w:pStyle w:val="Normal"/>
        <w:ind w:end="424"/>
        <w:jc w:val="end"/>
        <w:rPr>
          <w:color w:val="000000"/>
          <w:spacing w:val="5"/>
          <w:sz w:val="18"/>
          <w:szCs w:val="18"/>
        </w:rPr>
      </w:pPr>
      <w:r>
        <w:rPr>
          <w:color w:val="000000"/>
          <w:spacing w:val="5"/>
          <w:sz w:val="18"/>
          <w:szCs w:val="18"/>
        </w:rPr>
      </w:r>
    </w:p>
    <w:p>
      <w:pPr>
        <w:pStyle w:val="Normal"/>
        <w:ind w:end="424"/>
        <w:jc w:val="end"/>
        <w:rPr>
          <w:sz w:val="18"/>
          <w:szCs w:val="18"/>
        </w:rPr>
      </w:pPr>
      <w:r>
        <w:rPr>
          <w:sz w:val="18"/>
          <w:szCs w:val="18"/>
        </w:rPr>
      </w:r>
    </w:p>
    <w:p>
      <w:pPr>
        <w:pStyle w:val="Normal"/>
        <w:ind w:end="424"/>
        <w:jc w:val="end"/>
        <w:rPr>
          <w:sz w:val="18"/>
          <w:szCs w:val="18"/>
        </w:rPr>
      </w:pPr>
      <w:r>
        <w:rPr>
          <w:sz w:val="18"/>
          <w:szCs w:val="18"/>
        </w:rPr>
      </w:r>
    </w:p>
    <w:p>
      <w:pPr>
        <w:pStyle w:val="Normal"/>
        <w:ind w:end="424"/>
        <w:jc w:val="end"/>
        <w:rPr>
          <w:sz w:val="18"/>
          <w:szCs w:val="18"/>
        </w:rPr>
      </w:pPr>
      <w:r>
        <w:rPr>
          <w:sz w:val="18"/>
          <w:szCs w:val="18"/>
        </w:rPr>
      </w:r>
    </w:p>
    <w:p>
      <w:pPr>
        <w:pStyle w:val="Normal"/>
        <w:ind w:end="424"/>
        <w:jc w:val="end"/>
        <w:rPr>
          <w:sz w:val="18"/>
          <w:szCs w:val="18"/>
        </w:rPr>
      </w:pPr>
      <w:r>
        <w:rPr>
          <w:sz w:val="18"/>
          <w:szCs w:val="18"/>
        </w:rPr>
      </w:r>
    </w:p>
    <w:p>
      <w:pPr>
        <w:pStyle w:val="Normal"/>
        <w:ind w:end="424"/>
        <w:jc w:val="end"/>
        <w:rPr>
          <w:sz w:val="18"/>
          <w:szCs w:val="18"/>
        </w:rPr>
      </w:pPr>
      <w:r>
        <w:rPr>
          <w:sz w:val="18"/>
          <w:szCs w:val="18"/>
        </w:rPr>
      </w:r>
    </w:p>
    <w:p>
      <w:pPr>
        <w:pStyle w:val="Normal"/>
        <w:ind w:end="424"/>
        <w:jc w:val="end"/>
        <w:rPr>
          <w:sz w:val="18"/>
          <w:szCs w:val="18"/>
        </w:rPr>
      </w:pPr>
      <w:r>
        <w:rPr>
          <w:sz w:val="18"/>
          <w:szCs w:val="18"/>
        </w:rPr>
      </w:r>
    </w:p>
    <w:p>
      <w:pPr>
        <w:pStyle w:val="Normal"/>
        <w:ind w:end="424"/>
        <w:jc w:val="end"/>
        <w:rPr>
          <w:sz w:val="18"/>
          <w:szCs w:val="18"/>
        </w:rPr>
      </w:pPr>
      <w:r>
        <w:rPr>
          <w:sz w:val="18"/>
          <w:szCs w:val="18"/>
        </w:rPr>
      </w:r>
    </w:p>
    <w:p>
      <w:pPr>
        <w:pStyle w:val="Normal"/>
        <w:ind w:end="424"/>
        <w:jc w:val="end"/>
        <w:rPr>
          <w:sz w:val="18"/>
          <w:szCs w:val="18"/>
        </w:rPr>
      </w:pPr>
      <w:r>
        <w:rPr>
          <w:sz w:val="18"/>
          <w:szCs w:val="18"/>
        </w:rPr>
      </w:r>
    </w:p>
    <w:p>
      <w:pPr>
        <w:pStyle w:val="Normal"/>
        <w:ind w:end="424"/>
        <w:jc w:val="end"/>
        <w:rPr>
          <w:sz w:val="18"/>
          <w:szCs w:val="18"/>
        </w:rPr>
      </w:pPr>
      <w:r>
        <w:rPr>
          <w:sz w:val="18"/>
          <w:szCs w:val="18"/>
        </w:rPr>
      </w:r>
    </w:p>
    <w:p>
      <w:pPr>
        <w:pStyle w:val="Normal"/>
        <w:ind w:end="424"/>
        <w:jc w:val="end"/>
        <w:rPr>
          <w:sz w:val="18"/>
          <w:szCs w:val="18"/>
        </w:rPr>
      </w:pPr>
      <w:r>
        <w:rPr>
          <w:sz w:val="18"/>
          <w:szCs w:val="18"/>
        </w:rPr>
      </w:r>
    </w:p>
    <w:p>
      <w:pPr>
        <w:pStyle w:val="Normal"/>
        <w:ind w:end="424"/>
        <w:jc w:val="end"/>
        <w:rPr>
          <w:sz w:val="18"/>
          <w:szCs w:val="18"/>
        </w:rPr>
      </w:pPr>
      <w:r>
        <w:rPr>
          <w:sz w:val="18"/>
          <w:szCs w:val="18"/>
        </w:rPr>
      </w:r>
    </w:p>
    <w:p>
      <w:pPr>
        <w:pStyle w:val="Normal"/>
        <w:ind w:end="424"/>
        <w:jc w:val="end"/>
        <w:rPr>
          <w:sz w:val="18"/>
          <w:szCs w:val="18"/>
        </w:rPr>
      </w:pPr>
      <w:r>
        <w:rPr>
          <w:sz w:val="18"/>
          <w:szCs w:val="18"/>
        </w:rPr>
      </w:r>
    </w:p>
    <w:p>
      <w:pPr>
        <w:pStyle w:val="Normal"/>
        <w:ind w:end="424"/>
        <w:jc w:val="end"/>
        <w:rPr>
          <w:sz w:val="18"/>
          <w:szCs w:val="18"/>
        </w:rPr>
      </w:pPr>
      <w:r>
        <w:rPr>
          <w:sz w:val="18"/>
          <w:szCs w:val="18"/>
        </w:rPr>
      </w:r>
    </w:p>
    <w:p>
      <w:pPr>
        <w:pStyle w:val="Normal"/>
        <w:ind w:end="424"/>
        <w:jc w:val="end"/>
        <w:rPr>
          <w:sz w:val="18"/>
          <w:szCs w:val="18"/>
        </w:rPr>
      </w:pPr>
      <w:r>
        <w:rPr>
          <w:sz w:val="18"/>
          <w:szCs w:val="18"/>
        </w:rPr>
      </w:r>
    </w:p>
    <w:p>
      <w:pPr>
        <w:pStyle w:val="Normal"/>
        <w:ind w:end="424"/>
        <w:jc w:val="end"/>
        <w:rPr>
          <w:sz w:val="18"/>
          <w:szCs w:val="18"/>
        </w:rPr>
      </w:pPr>
      <w:r>
        <w:rPr>
          <w:sz w:val="18"/>
          <w:szCs w:val="18"/>
        </w:rPr>
      </w:r>
    </w:p>
    <w:p>
      <w:pPr>
        <w:pStyle w:val="Normal"/>
        <w:ind w:end="424"/>
        <w:jc w:val="end"/>
        <w:rPr>
          <w:sz w:val="18"/>
          <w:szCs w:val="18"/>
        </w:rPr>
      </w:pPr>
      <w:r>
        <w:rPr>
          <w:sz w:val="18"/>
          <w:szCs w:val="18"/>
        </w:rPr>
      </w:r>
    </w:p>
    <w:p>
      <w:pPr>
        <w:pStyle w:val="Normal"/>
        <w:ind w:end="424"/>
        <w:jc w:val="end"/>
        <w:rPr>
          <w:sz w:val="18"/>
          <w:szCs w:val="18"/>
        </w:rPr>
      </w:pPr>
      <w:r>
        <w:rPr>
          <w:sz w:val="18"/>
          <w:szCs w:val="18"/>
        </w:rPr>
      </w:r>
    </w:p>
    <w:p>
      <w:pPr>
        <w:pStyle w:val="Normal"/>
        <w:ind w:end="424"/>
        <w:jc w:val="end"/>
        <w:rPr>
          <w:sz w:val="18"/>
          <w:szCs w:val="18"/>
        </w:rPr>
      </w:pPr>
      <w:r>
        <w:rPr>
          <w:sz w:val="18"/>
          <w:szCs w:val="18"/>
        </w:rPr>
      </w:r>
    </w:p>
    <w:p>
      <w:pPr>
        <w:pStyle w:val="Normal"/>
        <w:ind w:end="424"/>
        <w:jc w:val="end"/>
        <w:rPr>
          <w:sz w:val="18"/>
          <w:szCs w:val="18"/>
        </w:rPr>
      </w:pPr>
      <w:r>
        <w:rPr>
          <w:sz w:val="18"/>
          <w:szCs w:val="18"/>
        </w:rPr>
      </w:r>
    </w:p>
    <w:p>
      <w:pPr>
        <w:pStyle w:val="Normal"/>
        <w:ind w:end="424"/>
        <w:jc w:val="end"/>
        <w:rPr>
          <w:sz w:val="18"/>
          <w:szCs w:val="18"/>
        </w:rPr>
      </w:pPr>
      <w:r>
        <w:rPr>
          <w:sz w:val="18"/>
          <w:szCs w:val="18"/>
        </w:rPr>
      </w:r>
    </w:p>
    <w:p>
      <w:pPr>
        <w:pStyle w:val="Normal"/>
        <w:ind w:end="424"/>
        <w:jc w:val="end"/>
        <w:rPr>
          <w:sz w:val="18"/>
          <w:szCs w:val="18"/>
        </w:rPr>
      </w:pPr>
      <w:r>
        <w:rPr>
          <w:sz w:val="18"/>
          <w:szCs w:val="18"/>
        </w:rPr>
      </w:r>
    </w:p>
    <w:p>
      <w:pPr>
        <w:pStyle w:val="Normal"/>
        <w:ind w:end="424"/>
        <w:jc w:val="end"/>
        <w:rPr>
          <w:sz w:val="18"/>
          <w:szCs w:val="18"/>
        </w:rPr>
      </w:pPr>
      <w:r>
        <w:rPr>
          <w:sz w:val="18"/>
          <w:szCs w:val="18"/>
        </w:rPr>
      </w:r>
    </w:p>
    <w:p>
      <w:pPr>
        <w:pStyle w:val="Normal"/>
        <w:ind w:end="424"/>
        <w:jc w:val="end"/>
        <w:rPr>
          <w:sz w:val="18"/>
          <w:szCs w:val="18"/>
        </w:rPr>
      </w:pPr>
      <w:r>
        <w:rPr>
          <w:sz w:val="18"/>
          <w:szCs w:val="18"/>
        </w:rPr>
      </w:r>
    </w:p>
    <w:p>
      <w:pPr>
        <w:pStyle w:val="Normal"/>
        <w:ind w:end="424"/>
        <w:jc w:val="end"/>
        <w:rPr>
          <w:sz w:val="18"/>
          <w:szCs w:val="18"/>
        </w:rPr>
      </w:pPr>
      <w:r>
        <w:rPr>
          <w:sz w:val="18"/>
          <w:szCs w:val="18"/>
        </w:rPr>
      </w:r>
    </w:p>
    <w:p>
      <w:pPr>
        <w:pStyle w:val="Normal"/>
        <w:ind w:end="424"/>
        <w:jc w:val="end"/>
        <w:rPr>
          <w:sz w:val="18"/>
          <w:szCs w:val="18"/>
        </w:rPr>
      </w:pPr>
      <w:r>
        <w:rPr>
          <w:sz w:val="18"/>
          <w:szCs w:val="18"/>
        </w:rPr>
      </w:r>
    </w:p>
    <w:p>
      <w:pPr>
        <w:pStyle w:val="Normal"/>
        <w:ind w:end="424"/>
        <w:jc w:val="end"/>
        <w:rPr>
          <w:sz w:val="18"/>
          <w:szCs w:val="18"/>
        </w:rPr>
      </w:pPr>
      <w:r>
        <w:rPr>
          <w:sz w:val="18"/>
          <w:szCs w:val="18"/>
        </w:rPr>
      </w:r>
    </w:p>
    <w:p>
      <w:pPr>
        <w:pStyle w:val="Normal"/>
        <w:ind w:end="424"/>
        <w:jc w:val="end"/>
        <w:rPr>
          <w:sz w:val="18"/>
          <w:szCs w:val="18"/>
        </w:rPr>
      </w:pPr>
      <w:r>
        <w:rPr>
          <w:sz w:val="18"/>
          <w:szCs w:val="18"/>
        </w:rPr>
        <w:t>Приложение № 1</w:t>
      </w:r>
    </w:p>
    <w:p>
      <w:pPr>
        <w:pStyle w:val="Normal"/>
        <w:ind w:end="424"/>
        <w:jc w:val="end"/>
        <w:rPr>
          <w:sz w:val="18"/>
          <w:szCs w:val="18"/>
        </w:rPr>
      </w:pPr>
      <w:r>
        <w:rPr>
          <w:sz w:val="18"/>
          <w:szCs w:val="18"/>
        </w:rPr>
        <w:t>к техническому заданию</w:t>
      </w:r>
    </w:p>
    <w:p>
      <w:pPr>
        <w:pStyle w:val="Normal"/>
        <w:ind w:end="424"/>
        <w:jc w:val="end"/>
        <w:rPr>
          <w:sz w:val="18"/>
          <w:szCs w:val="18"/>
        </w:rPr>
      </w:pPr>
      <w:r>
        <w:rPr>
          <w:sz w:val="18"/>
          <w:szCs w:val="18"/>
        </w:rPr>
      </w:r>
    </w:p>
    <w:p>
      <w:pPr>
        <w:pStyle w:val="Normal"/>
        <w:jc w:val="center"/>
        <w:rPr>
          <w:b/>
          <w:bCs/>
          <w:sz w:val="18"/>
          <w:szCs w:val="18"/>
        </w:rPr>
      </w:pPr>
      <w:r>
        <w:rPr>
          <w:b/>
          <w:sz w:val="18"/>
          <w:szCs w:val="18"/>
        </w:rPr>
        <w:t>ПЕРЕЧЕНЬ  И ВИДЫ УСЛУГ</w:t>
      </w:r>
    </w:p>
    <w:p>
      <w:pPr>
        <w:pStyle w:val="Normal"/>
        <w:jc w:val="center"/>
        <w:rPr>
          <w:sz w:val="18"/>
          <w:szCs w:val="18"/>
        </w:rPr>
      </w:pPr>
      <w:r>
        <w:rPr>
          <w:b/>
          <w:bCs/>
          <w:sz w:val="18"/>
          <w:szCs w:val="18"/>
        </w:rPr>
        <w:t xml:space="preserve"> </w:t>
      </w:r>
      <w:r>
        <w:rPr>
          <w:b/>
          <w:bCs/>
          <w:sz w:val="18"/>
          <w:szCs w:val="18"/>
        </w:rPr>
        <w:t>по техническому обслуживанию и эксплуатации отопительных, водопроводных и канализационных внешних и внутренних систем, систем электроснабжения инженерного оборудования Управления</w:t>
      </w:r>
    </w:p>
    <w:p>
      <w:pPr>
        <w:pStyle w:val="Normal"/>
        <w:jc w:val="center"/>
        <w:rPr>
          <w:b/>
          <w:bCs/>
          <w:sz w:val="18"/>
          <w:szCs w:val="18"/>
        </w:rPr>
      </w:pPr>
      <w:r>
        <w:rPr>
          <w:sz w:val="18"/>
          <w:szCs w:val="18"/>
        </w:rPr>
        <w:t xml:space="preserve"> </w:t>
      </w:r>
    </w:p>
    <w:tbl>
      <w:tblPr>
        <w:tblpPr w:vertAnchor="text" w:horzAnchor="margin" w:tblpXSpec="center" w:leftFromText="180" w:rightFromText="180" w:tblpY="128"/>
        <w:tblW w:w="5000" w:type="pct"/>
        <w:jc w:val="start"/>
        <w:tblInd w:w="108" w:type="dxa"/>
        <w:tblLayout w:type="fixed"/>
        <w:tblCellMar>
          <w:top w:w="0" w:type="dxa"/>
          <w:start w:w="108" w:type="dxa"/>
          <w:bottom w:w="0" w:type="dxa"/>
          <w:end w:w="108" w:type="dxa"/>
        </w:tblCellMar>
      </w:tblPr>
      <w:tblGrid>
        <w:gridCol w:w="534"/>
        <w:gridCol w:w="7512"/>
        <w:gridCol w:w="1773"/>
      </w:tblGrid>
      <w:tr>
        <w:trPr>
          <w:trHeight w:val="272" w:hRule="atLeast"/>
        </w:trPr>
        <w:tc>
          <w:tcPr>
            <w:tcW w:w="534"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b/>
                <w:bCs/>
                <w:sz w:val="18"/>
                <w:szCs w:val="18"/>
              </w:rPr>
              <w:t xml:space="preserve">№ </w:t>
            </w:r>
            <w:r>
              <w:rPr>
                <w:b/>
                <w:bCs/>
                <w:sz w:val="18"/>
                <w:szCs w:val="18"/>
              </w:rPr>
              <w:t>п/п</w:t>
            </w:r>
          </w:p>
        </w:tc>
        <w:tc>
          <w:tcPr>
            <w:tcW w:w="751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b/>
                <w:bCs/>
                <w:sz w:val="18"/>
                <w:szCs w:val="18"/>
              </w:rPr>
            </w:pPr>
            <w:r>
              <w:rPr>
                <w:b/>
                <w:bCs/>
                <w:sz w:val="18"/>
                <w:szCs w:val="18"/>
              </w:rPr>
              <w:t>Перечень услуг</w:t>
            </w:r>
          </w:p>
        </w:tc>
        <w:tc>
          <w:tcPr>
            <w:tcW w:w="1773"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b/>
                <w:bCs/>
                <w:sz w:val="18"/>
                <w:szCs w:val="18"/>
              </w:rPr>
            </w:pPr>
            <w:r>
              <w:rPr>
                <w:b/>
                <w:bCs/>
                <w:sz w:val="18"/>
                <w:szCs w:val="18"/>
              </w:rPr>
              <w:t>Периодичность</w:t>
            </w:r>
          </w:p>
        </w:tc>
      </w:tr>
      <w:tr>
        <w:trPr>
          <w:trHeight w:val="349" w:hRule="atLeast"/>
        </w:trPr>
        <w:tc>
          <w:tcPr>
            <w:tcW w:w="9819" w:type="dxa"/>
            <w:gridSpan w:val="3"/>
            <w:tcBorders>
              <w:top w:val="single" w:sz="4" w:space="0" w:color="000000"/>
              <w:start w:val="single" w:sz="4" w:space="0" w:color="000000"/>
              <w:bottom w:val="single" w:sz="4" w:space="0" w:color="000000"/>
              <w:end w:val="single" w:sz="4" w:space="0" w:color="000000"/>
            </w:tcBorders>
            <w:shd w:fill="FFFFFF" w:val="clear"/>
            <w:vAlign w:val="center"/>
          </w:tcPr>
          <w:p>
            <w:pPr>
              <w:pStyle w:val="Normal"/>
              <w:widowControl w:val="false"/>
              <w:jc w:val="center"/>
              <w:rPr>
                <w:b/>
                <w:bCs/>
                <w:sz w:val="18"/>
                <w:szCs w:val="18"/>
              </w:rPr>
            </w:pPr>
            <w:r>
              <w:rPr>
                <w:b/>
                <w:bCs/>
                <w:sz w:val="18"/>
                <w:szCs w:val="18"/>
              </w:rPr>
              <w:t>Система хозяйственно-питьевого водоснабжения и водоотведения, противопожарного водопровода</w:t>
            </w:r>
          </w:p>
        </w:tc>
      </w:tr>
      <w:tr>
        <w:trPr/>
        <w:tc>
          <w:tcPr>
            <w:tcW w:w="534"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w:t>
            </w:r>
          </w:p>
        </w:tc>
        <w:tc>
          <w:tcPr>
            <w:tcW w:w="7512" w:type="dxa"/>
            <w:tcBorders>
              <w:top w:val="single" w:sz="4" w:space="0" w:color="000000"/>
              <w:start w:val="single" w:sz="4" w:space="0" w:color="000000"/>
              <w:bottom w:val="single" w:sz="4" w:space="0" w:color="000000"/>
              <w:end w:val="single" w:sz="4" w:space="0" w:color="000000"/>
            </w:tcBorders>
          </w:tcPr>
          <w:p>
            <w:pPr>
              <w:pStyle w:val="Normal"/>
              <w:widowControl w:val="false"/>
              <w:shd w:fill="FFFFFF" w:val="clear"/>
              <w:rPr/>
            </w:pPr>
            <w:r>
              <w:rPr>
                <w:bCs/>
                <w:iCs/>
                <w:color w:val="000000"/>
                <w:spacing w:val="-3"/>
                <w:sz w:val="18"/>
                <w:szCs w:val="18"/>
              </w:rPr>
              <w:t xml:space="preserve">Проведение осмотров (обследований) инженерного оборудования и коммуникаций здания </w:t>
            </w:r>
            <w:r>
              <w:rPr>
                <w:bCs/>
                <w:iCs/>
                <w:color w:val="000000"/>
                <w:sz w:val="18"/>
                <w:szCs w:val="18"/>
              </w:rPr>
              <w:t>с целью выявления неисправностей и их устранения (здание пристройки).</w:t>
            </w:r>
          </w:p>
        </w:tc>
        <w:tc>
          <w:tcPr>
            <w:tcW w:w="1773" w:type="dxa"/>
            <w:tcBorders>
              <w:top w:val="single" w:sz="4" w:space="0" w:color="000000"/>
              <w:start w:val="single" w:sz="4" w:space="0" w:color="000000"/>
              <w:bottom w:val="single" w:sz="4" w:space="0" w:color="000000"/>
              <w:end w:val="single" w:sz="4" w:space="0" w:color="000000"/>
            </w:tcBorders>
          </w:tcPr>
          <w:p>
            <w:pPr>
              <w:pStyle w:val="Normal"/>
              <w:widowControl w:val="false"/>
              <w:shd w:fill="FFFFFF" w:val="clear"/>
              <w:rPr>
                <w:bCs/>
                <w:iCs/>
                <w:color w:val="000000"/>
                <w:sz w:val="18"/>
                <w:szCs w:val="18"/>
              </w:rPr>
            </w:pPr>
            <w:r>
              <w:rPr>
                <w:bCs/>
                <w:iCs/>
                <w:color w:val="000000"/>
                <w:sz w:val="18"/>
                <w:szCs w:val="18"/>
              </w:rPr>
              <w:t>Ежедневно (кроме выходных и праздничных дней)</w:t>
            </w:r>
          </w:p>
        </w:tc>
      </w:tr>
      <w:tr>
        <w:trPr/>
        <w:tc>
          <w:tcPr>
            <w:tcW w:w="534" w:type="dxa"/>
            <w:tcBorders>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2</w:t>
            </w:r>
          </w:p>
        </w:tc>
        <w:tc>
          <w:tcPr>
            <w:tcW w:w="7512" w:type="dxa"/>
            <w:tcBorders>
              <w:start w:val="single" w:sz="4" w:space="0" w:color="000000"/>
              <w:bottom w:val="single" w:sz="4" w:space="0" w:color="000000"/>
              <w:end w:val="single" w:sz="4" w:space="0" w:color="000000"/>
            </w:tcBorders>
          </w:tcPr>
          <w:p>
            <w:pPr>
              <w:pStyle w:val="Normal"/>
              <w:widowControl w:val="false"/>
              <w:shd w:fill="FFFFFF" w:val="clear"/>
              <w:rPr/>
            </w:pPr>
            <w:r>
              <w:rPr>
                <w:bCs/>
                <w:iCs/>
                <w:color w:val="000000"/>
                <w:spacing w:val="13"/>
                <w:sz w:val="18"/>
                <w:szCs w:val="18"/>
              </w:rPr>
              <w:t xml:space="preserve">Устранение неисправностей в системе водоснабжения, обеспечение ее </w:t>
            </w:r>
            <w:r>
              <w:rPr>
                <w:bCs/>
                <w:iCs/>
                <w:color w:val="000000"/>
                <w:sz w:val="18"/>
                <w:szCs w:val="18"/>
              </w:rPr>
              <w:t xml:space="preserve">удовлетворительного функционирования, замена прокладок, набивка сальников водоразборной </w:t>
            </w:r>
            <w:r>
              <w:rPr>
                <w:bCs/>
                <w:iCs/>
                <w:color w:val="000000"/>
                <w:spacing w:val="-1"/>
                <w:sz w:val="18"/>
                <w:szCs w:val="18"/>
              </w:rPr>
              <w:t xml:space="preserve">и водозаборной арматуры с устранением утечки уплотнение сгонов, замена вышедшей из строя </w:t>
            </w:r>
            <w:r>
              <w:rPr>
                <w:bCs/>
                <w:iCs/>
                <w:color w:val="000000"/>
                <w:sz w:val="18"/>
                <w:szCs w:val="18"/>
              </w:rPr>
              <w:t>водоразборной и водозаборной арматуры (вентилей, кранов, задвижек, смесителей).</w:t>
            </w:r>
          </w:p>
        </w:tc>
        <w:tc>
          <w:tcPr>
            <w:tcW w:w="1773" w:type="dxa"/>
            <w:tcBorders>
              <w:start w:val="single" w:sz="4" w:space="0" w:color="000000"/>
              <w:bottom w:val="single" w:sz="4" w:space="0" w:color="000000"/>
              <w:end w:val="single" w:sz="4" w:space="0" w:color="000000"/>
            </w:tcBorders>
          </w:tcPr>
          <w:p>
            <w:pPr>
              <w:pStyle w:val="Normal"/>
              <w:widowControl w:val="false"/>
              <w:shd w:fill="FFFFFF" w:val="clear"/>
              <w:rPr>
                <w:spacing w:val="1"/>
                <w:sz w:val="18"/>
                <w:szCs w:val="18"/>
              </w:rPr>
            </w:pPr>
            <w:r>
              <w:rPr>
                <w:spacing w:val="1"/>
                <w:sz w:val="18"/>
                <w:szCs w:val="18"/>
              </w:rPr>
              <w:t>По мере необходимости и/или по заявке Заказчика</w:t>
            </w:r>
          </w:p>
        </w:tc>
      </w:tr>
      <w:tr>
        <w:trPr/>
        <w:tc>
          <w:tcPr>
            <w:tcW w:w="534" w:type="dxa"/>
            <w:tcBorders>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3</w:t>
            </w:r>
          </w:p>
        </w:tc>
        <w:tc>
          <w:tcPr>
            <w:tcW w:w="7512" w:type="dxa"/>
            <w:tcBorders>
              <w:start w:val="single" w:sz="4" w:space="0" w:color="000000"/>
              <w:bottom w:val="single" w:sz="4" w:space="0" w:color="000000"/>
              <w:end w:val="single" w:sz="4" w:space="0" w:color="000000"/>
            </w:tcBorders>
          </w:tcPr>
          <w:p>
            <w:pPr>
              <w:pStyle w:val="Normal"/>
              <w:widowControl w:val="false"/>
              <w:shd w:fill="FFFFFF" w:val="clear"/>
              <w:rPr>
                <w:bCs/>
                <w:iCs/>
                <w:color w:val="000000"/>
                <w:spacing w:val="13"/>
                <w:sz w:val="18"/>
                <w:szCs w:val="18"/>
              </w:rPr>
            </w:pPr>
            <w:r>
              <w:rPr>
                <w:bCs/>
                <w:iCs/>
                <w:color w:val="000000"/>
                <w:spacing w:val="13"/>
                <w:sz w:val="18"/>
                <w:szCs w:val="18"/>
              </w:rPr>
              <w:t>Замена водомеров, счетчиков воды</w:t>
            </w:r>
          </w:p>
        </w:tc>
        <w:tc>
          <w:tcPr>
            <w:tcW w:w="1773" w:type="dxa"/>
            <w:tcBorders>
              <w:start w:val="single" w:sz="4" w:space="0" w:color="000000"/>
              <w:bottom w:val="single" w:sz="4" w:space="0" w:color="000000"/>
              <w:end w:val="single" w:sz="4" w:space="0" w:color="000000"/>
            </w:tcBorders>
          </w:tcPr>
          <w:p>
            <w:pPr>
              <w:pStyle w:val="Normal"/>
              <w:widowControl w:val="false"/>
              <w:shd w:fill="FFFFFF" w:val="clear"/>
              <w:rPr>
                <w:spacing w:val="1"/>
                <w:sz w:val="18"/>
                <w:szCs w:val="18"/>
              </w:rPr>
            </w:pPr>
            <w:r>
              <w:rPr>
                <w:spacing w:val="1"/>
                <w:sz w:val="18"/>
                <w:szCs w:val="18"/>
              </w:rPr>
              <w:t>По мере необходимости и/или по заявке Заказчика</w:t>
            </w:r>
          </w:p>
        </w:tc>
      </w:tr>
      <w:tr>
        <w:trPr/>
        <w:tc>
          <w:tcPr>
            <w:tcW w:w="9819" w:type="dxa"/>
            <w:gridSpan w:val="3"/>
            <w:tcBorders>
              <w:start w:val="single" w:sz="4" w:space="0" w:color="000000"/>
              <w:bottom w:val="single" w:sz="4" w:space="0" w:color="000000"/>
              <w:end w:val="single" w:sz="4" w:space="0" w:color="000000"/>
            </w:tcBorders>
          </w:tcPr>
          <w:p>
            <w:pPr>
              <w:pStyle w:val="Normal"/>
              <w:widowControl w:val="false"/>
              <w:shd w:fill="FFFFFF" w:val="clear"/>
              <w:jc w:val="center"/>
              <w:rPr>
                <w:b/>
                <w:iCs/>
                <w:color w:val="000000"/>
                <w:sz w:val="18"/>
                <w:szCs w:val="18"/>
              </w:rPr>
            </w:pPr>
            <w:r>
              <w:rPr>
                <w:b/>
                <w:iCs/>
                <w:color w:val="000000"/>
                <w:sz w:val="18"/>
                <w:szCs w:val="18"/>
              </w:rPr>
              <w:t>Устранение неисправностей в системе канализации.</w:t>
            </w:r>
          </w:p>
        </w:tc>
      </w:tr>
      <w:tr>
        <w:trPr/>
        <w:tc>
          <w:tcPr>
            <w:tcW w:w="534" w:type="dxa"/>
            <w:tcBorders>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w:t>
            </w:r>
          </w:p>
        </w:tc>
        <w:tc>
          <w:tcPr>
            <w:tcW w:w="7512" w:type="dxa"/>
            <w:tcBorders>
              <w:start w:val="single" w:sz="4" w:space="0" w:color="000000"/>
              <w:bottom w:val="single" w:sz="4" w:space="0" w:color="000000"/>
              <w:end w:val="single" w:sz="4" w:space="0" w:color="000000"/>
            </w:tcBorders>
          </w:tcPr>
          <w:p>
            <w:pPr>
              <w:pStyle w:val="Normal"/>
              <w:widowControl w:val="false"/>
              <w:rPr/>
            </w:pPr>
            <w:r>
              <w:rPr>
                <w:spacing w:val="-2"/>
                <w:sz w:val="18"/>
                <w:szCs w:val="18"/>
              </w:rPr>
              <w:t xml:space="preserve">Проведение осмотров (обследований) инженерного оборудования и коммуникаций здания </w:t>
            </w:r>
            <w:r>
              <w:rPr>
                <w:sz w:val="18"/>
                <w:szCs w:val="18"/>
              </w:rPr>
              <w:t>с целью выявления неисправностей и их устранения.</w:t>
            </w:r>
          </w:p>
        </w:tc>
        <w:tc>
          <w:tcPr>
            <w:tcW w:w="1773" w:type="dxa"/>
            <w:tcBorders>
              <w:start w:val="single" w:sz="4" w:space="0" w:color="000000"/>
              <w:bottom w:val="single" w:sz="4" w:space="0" w:color="000000"/>
              <w:end w:val="single" w:sz="4" w:space="0" w:color="000000"/>
            </w:tcBorders>
          </w:tcPr>
          <w:p>
            <w:pPr>
              <w:pStyle w:val="Normal"/>
              <w:widowControl w:val="false"/>
              <w:rPr>
                <w:bCs/>
                <w:iCs/>
                <w:color w:val="000000"/>
                <w:sz w:val="18"/>
                <w:szCs w:val="18"/>
              </w:rPr>
            </w:pPr>
            <w:r>
              <w:rPr>
                <w:bCs/>
                <w:iCs/>
                <w:color w:val="000000"/>
                <w:sz w:val="18"/>
                <w:szCs w:val="18"/>
              </w:rPr>
              <w:t>Ежедневно (кроме выходных и праздничных дней)</w:t>
            </w:r>
          </w:p>
        </w:tc>
      </w:tr>
      <w:tr>
        <w:trPr/>
        <w:tc>
          <w:tcPr>
            <w:tcW w:w="534" w:type="dxa"/>
            <w:tcBorders>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2</w:t>
            </w:r>
          </w:p>
        </w:tc>
        <w:tc>
          <w:tcPr>
            <w:tcW w:w="7512" w:type="dxa"/>
            <w:tcBorders>
              <w:start w:val="single" w:sz="4" w:space="0" w:color="000000"/>
              <w:bottom w:val="single" w:sz="4" w:space="0" w:color="000000"/>
              <w:end w:val="single" w:sz="4" w:space="0" w:color="000000"/>
            </w:tcBorders>
          </w:tcPr>
          <w:p>
            <w:pPr>
              <w:pStyle w:val="Normal"/>
              <w:widowControl w:val="false"/>
              <w:rPr/>
            </w:pPr>
            <w:r>
              <w:rPr>
                <w:bCs/>
                <w:iCs/>
                <w:color w:val="000000"/>
                <w:sz w:val="18"/>
                <w:szCs w:val="18"/>
              </w:rPr>
              <w:t xml:space="preserve">Устранение течи или смена гибкой подводки сантехприборов, смена выпусков, переливов </w:t>
            </w:r>
            <w:r>
              <w:rPr>
                <w:bCs/>
                <w:iCs/>
                <w:color w:val="000000"/>
                <w:spacing w:val="3"/>
                <w:sz w:val="18"/>
                <w:szCs w:val="18"/>
              </w:rPr>
              <w:t xml:space="preserve">сифонов, участков  трубопроводов  к  сантехприборам,  замена  резиновых  манжет унитаза, </w:t>
            </w:r>
            <w:r>
              <w:rPr>
                <w:bCs/>
                <w:iCs/>
                <w:color w:val="000000"/>
                <w:sz w:val="18"/>
                <w:szCs w:val="18"/>
              </w:rPr>
              <w:t xml:space="preserve">подчеканка  раструбов,   регулировка   смывного   бачка  с   устранением   утечки,   укрепление </w:t>
            </w:r>
            <w:r>
              <w:rPr>
                <w:bCs/>
                <w:iCs/>
                <w:color w:val="000000"/>
                <w:spacing w:val="-1"/>
                <w:sz w:val="18"/>
                <w:szCs w:val="18"/>
              </w:rPr>
              <w:t>сантехприборов.</w:t>
            </w:r>
          </w:p>
        </w:tc>
        <w:tc>
          <w:tcPr>
            <w:tcW w:w="1773" w:type="dxa"/>
            <w:tcBorders>
              <w:start w:val="single" w:sz="4" w:space="0" w:color="000000"/>
              <w:bottom w:val="single" w:sz="4" w:space="0" w:color="000000"/>
              <w:end w:val="single" w:sz="4" w:space="0" w:color="000000"/>
            </w:tcBorders>
          </w:tcPr>
          <w:p>
            <w:pPr>
              <w:pStyle w:val="Normal"/>
              <w:widowControl w:val="false"/>
              <w:rPr>
                <w:spacing w:val="1"/>
                <w:sz w:val="18"/>
                <w:szCs w:val="18"/>
              </w:rPr>
            </w:pPr>
            <w:r>
              <w:rPr>
                <w:spacing w:val="1"/>
                <w:sz w:val="18"/>
                <w:szCs w:val="18"/>
              </w:rPr>
              <w:t>По мере необходимости и/или по заявке Заказчика</w:t>
            </w:r>
          </w:p>
        </w:tc>
      </w:tr>
      <w:tr>
        <w:trPr/>
        <w:tc>
          <w:tcPr>
            <w:tcW w:w="534" w:type="dxa"/>
            <w:tcBorders>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3</w:t>
            </w:r>
          </w:p>
        </w:tc>
        <w:tc>
          <w:tcPr>
            <w:tcW w:w="7512" w:type="dxa"/>
            <w:tcBorders>
              <w:start w:val="single" w:sz="4" w:space="0" w:color="000000"/>
              <w:bottom w:val="single" w:sz="4" w:space="0" w:color="000000"/>
              <w:end w:val="single" w:sz="4" w:space="0" w:color="000000"/>
            </w:tcBorders>
          </w:tcPr>
          <w:p>
            <w:pPr>
              <w:pStyle w:val="Normal"/>
              <w:widowControl w:val="false"/>
              <w:rPr>
                <w:bCs/>
                <w:iCs/>
                <w:color w:val="000000"/>
                <w:sz w:val="18"/>
                <w:szCs w:val="18"/>
              </w:rPr>
            </w:pPr>
            <w:r>
              <w:rPr>
                <w:bCs/>
                <w:iCs/>
                <w:color w:val="000000"/>
                <w:sz w:val="18"/>
                <w:szCs w:val="18"/>
              </w:rPr>
              <w:t>Прочистка внутренней канализации до колодца на выпуске (здание пристройки).</w:t>
            </w:r>
          </w:p>
        </w:tc>
        <w:tc>
          <w:tcPr>
            <w:tcW w:w="1773" w:type="dxa"/>
            <w:tcBorders>
              <w:start w:val="single" w:sz="4" w:space="0" w:color="000000"/>
              <w:bottom w:val="single" w:sz="4" w:space="0" w:color="000000"/>
              <w:end w:val="single" w:sz="4" w:space="0" w:color="000000"/>
            </w:tcBorders>
          </w:tcPr>
          <w:p>
            <w:pPr>
              <w:pStyle w:val="Normal"/>
              <w:widowControl w:val="false"/>
              <w:rPr>
                <w:spacing w:val="1"/>
                <w:sz w:val="18"/>
                <w:szCs w:val="18"/>
              </w:rPr>
            </w:pPr>
            <w:r>
              <w:rPr>
                <w:spacing w:val="1"/>
                <w:sz w:val="18"/>
                <w:szCs w:val="18"/>
              </w:rPr>
              <w:t>По мере необходимости и/или по заявке Заказчика</w:t>
            </w:r>
          </w:p>
        </w:tc>
      </w:tr>
      <w:tr>
        <w:trPr/>
        <w:tc>
          <w:tcPr>
            <w:tcW w:w="534" w:type="dxa"/>
            <w:tcBorders>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4</w:t>
            </w:r>
          </w:p>
        </w:tc>
        <w:tc>
          <w:tcPr>
            <w:tcW w:w="7512" w:type="dxa"/>
            <w:tcBorders>
              <w:start w:val="single" w:sz="4" w:space="0" w:color="000000"/>
              <w:bottom w:val="single" w:sz="4" w:space="0" w:color="000000"/>
              <w:end w:val="single" w:sz="4" w:space="0" w:color="000000"/>
            </w:tcBorders>
          </w:tcPr>
          <w:p>
            <w:pPr>
              <w:pStyle w:val="Normal"/>
              <w:widowControl w:val="false"/>
              <w:shd w:fill="FFFFFF" w:val="clear"/>
              <w:rPr/>
            </w:pPr>
            <w:r>
              <w:rPr>
                <w:sz w:val="18"/>
                <w:szCs w:val="18"/>
              </w:rPr>
              <w:t xml:space="preserve">Устранение засоров внутренней канализации и сантехприборов с проверкой исправности </w:t>
            </w:r>
            <w:r>
              <w:rPr>
                <w:spacing w:val="-1"/>
                <w:sz w:val="18"/>
                <w:szCs w:val="18"/>
              </w:rPr>
              <w:t>канализационных вытяжек.</w:t>
            </w:r>
          </w:p>
        </w:tc>
        <w:tc>
          <w:tcPr>
            <w:tcW w:w="1773" w:type="dxa"/>
            <w:tcBorders>
              <w:start w:val="single" w:sz="4" w:space="0" w:color="000000"/>
              <w:bottom w:val="single" w:sz="4" w:space="0" w:color="000000"/>
              <w:end w:val="single" w:sz="4" w:space="0" w:color="000000"/>
            </w:tcBorders>
          </w:tcPr>
          <w:p>
            <w:pPr>
              <w:pStyle w:val="Normal"/>
              <w:widowControl w:val="false"/>
              <w:rPr>
                <w:spacing w:val="1"/>
                <w:sz w:val="18"/>
                <w:szCs w:val="18"/>
              </w:rPr>
            </w:pPr>
            <w:r>
              <w:rPr>
                <w:spacing w:val="1"/>
                <w:sz w:val="18"/>
                <w:szCs w:val="18"/>
              </w:rPr>
              <w:t>По мере необходимости и/или по заявке Заказчика</w:t>
            </w:r>
          </w:p>
        </w:tc>
      </w:tr>
      <w:tr>
        <w:trPr/>
        <w:tc>
          <w:tcPr>
            <w:tcW w:w="534" w:type="dxa"/>
            <w:tcBorders>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5</w:t>
            </w:r>
          </w:p>
        </w:tc>
        <w:tc>
          <w:tcPr>
            <w:tcW w:w="7512" w:type="dxa"/>
            <w:tcBorders>
              <w:start w:val="single" w:sz="4" w:space="0" w:color="000000"/>
              <w:bottom w:val="single" w:sz="4" w:space="0" w:color="000000"/>
              <w:end w:val="single" w:sz="4" w:space="0" w:color="000000"/>
            </w:tcBorders>
          </w:tcPr>
          <w:p>
            <w:pPr>
              <w:pStyle w:val="Normal"/>
              <w:widowControl w:val="false"/>
              <w:shd w:fill="FFFFFF" w:val="clear"/>
              <w:rPr>
                <w:bCs/>
                <w:iCs/>
                <w:color w:val="000000"/>
                <w:sz w:val="18"/>
                <w:szCs w:val="18"/>
              </w:rPr>
            </w:pPr>
            <w:r>
              <w:rPr>
                <w:bCs/>
                <w:iCs/>
                <w:color w:val="000000"/>
                <w:sz w:val="18"/>
                <w:szCs w:val="18"/>
              </w:rPr>
              <w:t xml:space="preserve">Контроль работы ливневой системы </w:t>
            </w:r>
          </w:p>
        </w:tc>
        <w:tc>
          <w:tcPr>
            <w:tcW w:w="1773" w:type="dxa"/>
            <w:tcBorders>
              <w:start w:val="single" w:sz="4" w:space="0" w:color="000000"/>
              <w:bottom w:val="single" w:sz="4" w:space="0" w:color="000000"/>
              <w:end w:val="single" w:sz="4" w:space="0" w:color="000000"/>
            </w:tcBorders>
          </w:tcPr>
          <w:p>
            <w:pPr>
              <w:pStyle w:val="Normal"/>
              <w:widowControl w:val="false"/>
              <w:rPr>
                <w:spacing w:val="1"/>
                <w:sz w:val="18"/>
                <w:szCs w:val="18"/>
              </w:rPr>
            </w:pPr>
            <w:r>
              <w:rPr>
                <w:spacing w:val="1"/>
                <w:sz w:val="18"/>
                <w:szCs w:val="18"/>
              </w:rPr>
              <w:t>По мере необходимости и/или по заявке Заказчика</w:t>
            </w:r>
          </w:p>
        </w:tc>
      </w:tr>
      <w:tr>
        <w:trPr/>
        <w:tc>
          <w:tcPr>
            <w:tcW w:w="9819" w:type="dxa"/>
            <w:gridSpan w:val="3"/>
            <w:tcBorders>
              <w:start w:val="single" w:sz="4" w:space="0" w:color="000000"/>
              <w:bottom w:val="single" w:sz="4" w:space="0" w:color="000000"/>
              <w:end w:val="single" w:sz="4" w:space="0" w:color="000000"/>
            </w:tcBorders>
          </w:tcPr>
          <w:p>
            <w:pPr>
              <w:pStyle w:val="Normal"/>
              <w:widowControl w:val="false"/>
              <w:shd w:fill="FFFFFF" w:val="clear"/>
              <w:jc w:val="center"/>
              <w:rPr/>
            </w:pPr>
            <w:r>
              <w:rPr>
                <w:b/>
                <w:iCs/>
                <w:color w:val="000000"/>
                <w:sz w:val="18"/>
                <w:szCs w:val="18"/>
              </w:rPr>
              <w:t xml:space="preserve"> </w:t>
            </w:r>
            <w:r>
              <w:rPr>
                <w:b/>
                <w:iCs/>
                <w:color w:val="000000"/>
                <w:sz w:val="18"/>
                <w:szCs w:val="18"/>
              </w:rPr>
              <w:t>Устранение неисправности в системе отопления (здание пристройки).</w:t>
            </w:r>
          </w:p>
        </w:tc>
      </w:tr>
      <w:tr>
        <w:trPr/>
        <w:tc>
          <w:tcPr>
            <w:tcW w:w="534" w:type="dxa"/>
            <w:tcBorders>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w:t>
            </w:r>
          </w:p>
        </w:tc>
        <w:tc>
          <w:tcPr>
            <w:tcW w:w="7512" w:type="dxa"/>
            <w:tcBorders>
              <w:start w:val="single" w:sz="4" w:space="0" w:color="000000"/>
              <w:bottom w:val="single" w:sz="4" w:space="0" w:color="000000"/>
              <w:end w:val="single" w:sz="4" w:space="0" w:color="000000"/>
            </w:tcBorders>
          </w:tcPr>
          <w:p>
            <w:pPr>
              <w:pStyle w:val="Normal"/>
              <w:widowControl w:val="false"/>
              <w:rPr/>
            </w:pPr>
            <w:r>
              <w:rPr>
                <w:spacing w:val="-1"/>
                <w:sz w:val="18"/>
                <w:szCs w:val="18"/>
              </w:rPr>
              <w:t xml:space="preserve">Проведение осмотров (обследований) инженерного оборудования и коммуникаций здания </w:t>
            </w:r>
            <w:r>
              <w:rPr>
                <w:sz w:val="18"/>
                <w:szCs w:val="18"/>
              </w:rPr>
              <w:t>перед началом отопительного сезона с целью выявления неисправностей и их устранения.</w:t>
            </w:r>
          </w:p>
        </w:tc>
        <w:tc>
          <w:tcPr>
            <w:tcW w:w="1773" w:type="dxa"/>
            <w:tcBorders>
              <w:start w:val="single" w:sz="4" w:space="0" w:color="000000"/>
              <w:bottom w:val="single" w:sz="4" w:space="0" w:color="000000"/>
              <w:end w:val="single" w:sz="4" w:space="0" w:color="000000"/>
            </w:tcBorders>
          </w:tcPr>
          <w:p>
            <w:pPr>
              <w:pStyle w:val="Normal"/>
              <w:widowControl w:val="false"/>
              <w:rPr>
                <w:bCs/>
                <w:iCs/>
                <w:color w:val="000000"/>
                <w:sz w:val="18"/>
                <w:szCs w:val="18"/>
              </w:rPr>
            </w:pPr>
            <w:r>
              <w:rPr>
                <w:bCs/>
                <w:iCs/>
                <w:color w:val="000000"/>
                <w:spacing w:val="4"/>
                <w:sz w:val="18"/>
                <w:szCs w:val="18"/>
              </w:rPr>
              <w:t>1 раз в год</w:t>
            </w:r>
          </w:p>
          <w:p>
            <w:pPr>
              <w:pStyle w:val="Normal"/>
              <w:widowControl w:val="false"/>
              <w:rPr>
                <w:bCs/>
                <w:iCs/>
                <w:color w:val="000000"/>
                <w:sz w:val="18"/>
                <w:szCs w:val="18"/>
              </w:rPr>
            </w:pPr>
            <w:r>
              <w:rPr>
                <w:bCs/>
                <w:iCs/>
                <w:color w:val="000000"/>
                <w:sz w:val="18"/>
                <w:szCs w:val="18"/>
              </w:rPr>
              <w:t>перед началом отопительного сезона</w:t>
            </w:r>
          </w:p>
        </w:tc>
      </w:tr>
      <w:tr>
        <w:trPr/>
        <w:tc>
          <w:tcPr>
            <w:tcW w:w="534" w:type="dxa"/>
            <w:tcBorders>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2</w:t>
            </w:r>
          </w:p>
        </w:tc>
        <w:tc>
          <w:tcPr>
            <w:tcW w:w="7512" w:type="dxa"/>
            <w:tcBorders>
              <w:start w:val="single" w:sz="4" w:space="0" w:color="000000"/>
              <w:bottom w:val="single" w:sz="4" w:space="0" w:color="000000"/>
              <w:end w:val="single" w:sz="4" w:space="0" w:color="000000"/>
            </w:tcBorders>
          </w:tcPr>
          <w:p>
            <w:pPr>
              <w:pStyle w:val="Normal"/>
              <w:widowControl w:val="false"/>
              <w:rPr>
                <w:bCs/>
                <w:iCs/>
                <w:color w:val="000000"/>
                <w:sz w:val="18"/>
                <w:szCs w:val="18"/>
              </w:rPr>
            </w:pPr>
            <w:r>
              <w:rPr>
                <w:bCs/>
                <w:iCs/>
                <w:color w:val="000000"/>
                <w:sz w:val="18"/>
                <w:szCs w:val="18"/>
              </w:rPr>
              <w:t>Устранение неисправностей в системах отопления  (трубопроводов, приборов, арматуры, расширительных баков), обеспечивающее их удовлетворительное функционирование.</w:t>
            </w:r>
          </w:p>
        </w:tc>
        <w:tc>
          <w:tcPr>
            <w:tcW w:w="1773" w:type="dxa"/>
            <w:tcBorders>
              <w:start w:val="single" w:sz="4" w:space="0" w:color="000000"/>
              <w:bottom w:val="single" w:sz="4" w:space="0" w:color="000000"/>
              <w:end w:val="single" w:sz="4" w:space="0" w:color="000000"/>
            </w:tcBorders>
          </w:tcPr>
          <w:p>
            <w:pPr>
              <w:pStyle w:val="Normal"/>
              <w:widowControl w:val="false"/>
              <w:rPr>
                <w:spacing w:val="1"/>
                <w:sz w:val="18"/>
                <w:szCs w:val="18"/>
              </w:rPr>
            </w:pPr>
            <w:r>
              <w:rPr>
                <w:spacing w:val="1"/>
                <w:sz w:val="18"/>
                <w:szCs w:val="18"/>
              </w:rPr>
              <w:t>По мере необходимости и/или по заявке Заказчика</w:t>
            </w:r>
          </w:p>
        </w:tc>
      </w:tr>
      <w:tr>
        <w:trPr/>
        <w:tc>
          <w:tcPr>
            <w:tcW w:w="534" w:type="dxa"/>
            <w:tcBorders>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3</w:t>
            </w:r>
          </w:p>
        </w:tc>
        <w:tc>
          <w:tcPr>
            <w:tcW w:w="7512" w:type="dxa"/>
            <w:tcBorders>
              <w:start w:val="single" w:sz="4" w:space="0" w:color="000000"/>
              <w:bottom w:val="single" w:sz="4" w:space="0" w:color="000000"/>
              <w:end w:val="single" w:sz="4" w:space="0" w:color="000000"/>
            </w:tcBorders>
          </w:tcPr>
          <w:p>
            <w:pPr>
              <w:pStyle w:val="Normal"/>
              <w:widowControl w:val="false"/>
              <w:rPr>
                <w:bCs/>
                <w:iCs/>
                <w:color w:val="000000"/>
                <w:spacing w:val="-1"/>
                <w:sz w:val="18"/>
                <w:szCs w:val="18"/>
              </w:rPr>
            </w:pPr>
            <w:r>
              <w:rPr>
                <w:bCs/>
                <w:iCs/>
                <w:color w:val="000000"/>
                <w:spacing w:val="-1"/>
                <w:sz w:val="18"/>
                <w:szCs w:val="18"/>
              </w:rPr>
              <w:t>Уплотнение соединений, фасонных частей, сифонов, трапов, ревизий.</w:t>
            </w:r>
          </w:p>
        </w:tc>
        <w:tc>
          <w:tcPr>
            <w:tcW w:w="1773" w:type="dxa"/>
            <w:tcBorders>
              <w:start w:val="single" w:sz="4" w:space="0" w:color="000000"/>
              <w:bottom w:val="single" w:sz="4" w:space="0" w:color="000000"/>
              <w:end w:val="single" w:sz="4" w:space="0" w:color="000000"/>
            </w:tcBorders>
          </w:tcPr>
          <w:p>
            <w:pPr>
              <w:pStyle w:val="Normal"/>
              <w:widowControl w:val="false"/>
              <w:rPr>
                <w:spacing w:val="1"/>
                <w:sz w:val="18"/>
                <w:szCs w:val="18"/>
              </w:rPr>
            </w:pPr>
            <w:r>
              <w:rPr>
                <w:spacing w:val="1"/>
                <w:sz w:val="18"/>
                <w:szCs w:val="18"/>
              </w:rPr>
              <w:t>По мере необходимости и/или по заявке Заказчика</w:t>
            </w:r>
          </w:p>
        </w:tc>
      </w:tr>
      <w:tr>
        <w:trPr/>
        <w:tc>
          <w:tcPr>
            <w:tcW w:w="534" w:type="dxa"/>
            <w:tcBorders>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4</w:t>
            </w:r>
          </w:p>
        </w:tc>
        <w:tc>
          <w:tcPr>
            <w:tcW w:w="7512" w:type="dxa"/>
            <w:tcBorders>
              <w:start w:val="single" w:sz="4" w:space="0" w:color="000000"/>
              <w:bottom w:val="single" w:sz="4" w:space="0" w:color="000000"/>
              <w:end w:val="single" w:sz="4" w:space="0" w:color="000000"/>
            </w:tcBorders>
          </w:tcPr>
          <w:p>
            <w:pPr>
              <w:pStyle w:val="Normal"/>
              <w:widowControl w:val="false"/>
              <w:shd w:fill="FFFFFF" w:val="clear"/>
              <w:rPr/>
            </w:pPr>
            <w:r>
              <w:rPr>
                <w:spacing w:val="4"/>
                <w:sz w:val="18"/>
                <w:szCs w:val="18"/>
              </w:rPr>
              <w:t xml:space="preserve">Набивка сальников, мелкий текущий ремонт теплоизоляции, устранение течи в трубопроводах, </w:t>
            </w:r>
            <w:r>
              <w:rPr>
                <w:spacing w:val="1"/>
                <w:sz w:val="18"/>
                <w:szCs w:val="18"/>
              </w:rPr>
              <w:t xml:space="preserve">запорной арматуре. Разборка, осмотр и очистка грязевиков воздухосборников, компенсаторов, </w:t>
            </w:r>
            <w:r>
              <w:rPr>
                <w:sz w:val="18"/>
                <w:szCs w:val="18"/>
              </w:rPr>
              <w:t xml:space="preserve">регулирующих кранов, вентилей, задвижек. </w:t>
            </w:r>
          </w:p>
        </w:tc>
        <w:tc>
          <w:tcPr>
            <w:tcW w:w="1773" w:type="dxa"/>
            <w:tcBorders>
              <w:start w:val="single" w:sz="4" w:space="0" w:color="000000"/>
              <w:bottom w:val="single" w:sz="4" w:space="0" w:color="000000"/>
              <w:end w:val="single" w:sz="4" w:space="0" w:color="000000"/>
            </w:tcBorders>
          </w:tcPr>
          <w:p>
            <w:pPr>
              <w:pStyle w:val="Normal"/>
              <w:widowControl w:val="false"/>
              <w:shd w:fill="FFFFFF" w:val="clear"/>
              <w:rPr>
                <w:spacing w:val="1"/>
                <w:sz w:val="18"/>
                <w:szCs w:val="18"/>
              </w:rPr>
            </w:pPr>
            <w:r>
              <w:rPr>
                <w:spacing w:val="1"/>
                <w:sz w:val="18"/>
                <w:szCs w:val="18"/>
              </w:rPr>
              <w:t>По мере необходимости и/или по заявке Заказчика</w:t>
            </w:r>
          </w:p>
        </w:tc>
      </w:tr>
      <w:tr>
        <w:trPr/>
        <w:tc>
          <w:tcPr>
            <w:tcW w:w="534" w:type="dxa"/>
            <w:tcBorders>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5</w:t>
            </w:r>
          </w:p>
        </w:tc>
        <w:tc>
          <w:tcPr>
            <w:tcW w:w="7512" w:type="dxa"/>
            <w:tcBorders>
              <w:start w:val="single" w:sz="4" w:space="0" w:color="000000"/>
              <w:bottom w:val="single" w:sz="4" w:space="0" w:color="000000"/>
              <w:end w:val="single" w:sz="4" w:space="0" w:color="000000"/>
            </w:tcBorders>
          </w:tcPr>
          <w:p>
            <w:pPr>
              <w:pStyle w:val="Normal"/>
              <w:widowControl w:val="false"/>
              <w:shd w:fill="FFFFFF" w:val="clear"/>
              <w:rPr/>
            </w:pPr>
            <w:r>
              <w:rPr>
                <w:bCs/>
                <w:iCs/>
                <w:color w:val="000000"/>
                <w:spacing w:val="-2"/>
                <w:sz w:val="18"/>
                <w:szCs w:val="18"/>
              </w:rPr>
              <w:t xml:space="preserve">Наладка     и     регулировка    систем    с     ликвидацией     не прогревов, завоздушивания, </w:t>
            </w:r>
            <w:r>
              <w:rPr>
                <w:bCs/>
                <w:iCs/>
                <w:color w:val="000000"/>
                <w:sz w:val="18"/>
                <w:szCs w:val="18"/>
              </w:rPr>
              <w:t>восстановление тепловой изоляции на трубопроводах, регулирующей арматуре.</w:t>
            </w:r>
          </w:p>
        </w:tc>
        <w:tc>
          <w:tcPr>
            <w:tcW w:w="1773" w:type="dxa"/>
            <w:tcBorders>
              <w:start w:val="single" w:sz="4" w:space="0" w:color="000000"/>
              <w:bottom w:val="single" w:sz="4" w:space="0" w:color="000000"/>
              <w:end w:val="single" w:sz="4" w:space="0" w:color="000000"/>
            </w:tcBorders>
          </w:tcPr>
          <w:p>
            <w:pPr>
              <w:pStyle w:val="Normal"/>
              <w:widowControl w:val="false"/>
              <w:shd w:fill="FFFFFF" w:val="clear"/>
              <w:rPr>
                <w:spacing w:val="1"/>
                <w:sz w:val="18"/>
                <w:szCs w:val="18"/>
              </w:rPr>
            </w:pPr>
            <w:r>
              <w:rPr>
                <w:spacing w:val="1"/>
                <w:sz w:val="18"/>
                <w:szCs w:val="18"/>
              </w:rPr>
              <w:t xml:space="preserve">Не менее 1 раза в год перед началом отопительного сезона и/или по мере необходимости в случае запуска системы отопления после аварийной ситуации. </w:t>
            </w:r>
          </w:p>
        </w:tc>
      </w:tr>
      <w:tr>
        <w:trPr/>
        <w:tc>
          <w:tcPr>
            <w:tcW w:w="9819" w:type="dxa"/>
            <w:gridSpan w:val="3"/>
            <w:tcBorders>
              <w:start w:val="single" w:sz="4" w:space="0" w:color="000000"/>
              <w:bottom w:val="single" w:sz="4" w:space="0" w:color="000000"/>
              <w:end w:val="single" w:sz="4" w:space="0" w:color="000000"/>
            </w:tcBorders>
          </w:tcPr>
          <w:p>
            <w:pPr>
              <w:pStyle w:val="Normal"/>
              <w:widowControl w:val="false"/>
              <w:shd w:fill="FFFFFF" w:val="clear"/>
              <w:jc w:val="center"/>
              <w:rPr>
                <w:b/>
                <w:iCs/>
                <w:color w:val="000000"/>
                <w:sz w:val="18"/>
                <w:szCs w:val="18"/>
              </w:rPr>
            </w:pPr>
            <w:r>
              <w:rPr>
                <w:b/>
                <w:iCs/>
                <w:color w:val="000000"/>
                <w:sz w:val="18"/>
                <w:szCs w:val="18"/>
              </w:rPr>
              <w:t>Сварочные услуги</w:t>
            </w:r>
          </w:p>
        </w:tc>
      </w:tr>
      <w:tr>
        <w:trPr/>
        <w:tc>
          <w:tcPr>
            <w:tcW w:w="534" w:type="dxa"/>
            <w:tcBorders>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w:t>
            </w:r>
          </w:p>
        </w:tc>
        <w:tc>
          <w:tcPr>
            <w:tcW w:w="7512" w:type="dxa"/>
            <w:tcBorders>
              <w:start w:val="single" w:sz="4" w:space="0" w:color="000000"/>
              <w:bottom w:val="single" w:sz="4" w:space="0" w:color="000000"/>
              <w:end w:val="single" w:sz="4" w:space="0" w:color="000000"/>
            </w:tcBorders>
          </w:tcPr>
          <w:p>
            <w:pPr>
              <w:pStyle w:val="Normal"/>
              <w:widowControl w:val="false"/>
              <w:rPr/>
            </w:pPr>
            <w:r>
              <w:rPr>
                <w:bCs/>
                <w:iCs/>
                <w:color w:val="000000"/>
                <w:spacing w:val="1"/>
                <w:sz w:val="18"/>
                <w:szCs w:val="18"/>
              </w:rPr>
              <w:t xml:space="preserve">Выполнение сварки деталей, узлов, трубопроводов во всех пространственных положениях </w:t>
            </w:r>
            <w:r>
              <w:rPr>
                <w:bCs/>
                <w:iCs/>
                <w:color w:val="000000"/>
                <w:spacing w:val="-1"/>
                <w:sz w:val="18"/>
                <w:szCs w:val="18"/>
              </w:rPr>
              <w:t>сварного шва на заданные размеры.</w:t>
            </w:r>
          </w:p>
        </w:tc>
        <w:tc>
          <w:tcPr>
            <w:tcW w:w="1773" w:type="dxa"/>
            <w:tcBorders>
              <w:start w:val="single" w:sz="4" w:space="0" w:color="000000"/>
              <w:bottom w:val="single" w:sz="4" w:space="0" w:color="000000"/>
              <w:end w:val="single" w:sz="4" w:space="0" w:color="000000"/>
            </w:tcBorders>
          </w:tcPr>
          <w:p>
            <w:pPr>
              <w:pStyle w:val="Normal"/>
              <w:widowControl w:val="false"/>
              <w:rPr>
                <w:spacing w:val="1"/>
                <w:sz w:val="18"/>
                <w:szCs w:val="18"/>
              </w:rPr>
            </w:pPr>
            <w:r>
              <w:rPr>
                <w:spacing w:val="1"/>
                <w:sz w:val="18"/>
                <w:szCs w:val="18"/>
              </w:rPr>
              <w:t>По мере необходимости и/или по заявке Заказчика</w:t>
            </w:r>
          </w:p>
        </w:tc>
      </w:tr>
      <w:tr>
        <w:trPr/>
        <w:tc>
          <w:tcPr>
            <w:tcW w:w="534" w:type="dxa"/>
            <w:tcBorders>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2</w:t>
            </w:r>
          </w:p>
        </w:tc>
        <w:tc>
          <w:tcPr>
            <w:tcW w:w="7512" w:type="dxa"/>
            <w:tcBorders>
              <w:start w:val="single" w:sz="4" w:space="0" w:color="000000"/>
              <w:bottom w:val="single" w:sz="4" w:space="0" w:color="000000"/>
              <w:end w:val="single" w:sz="4" w:space="0" w:color="000000"/>
            </w:tcBorders>
          </w:tcPr>
          <w:p>
            <w:pPr>
              <w:pStyle w:val="Normal"/>
              <w:widowControl w:val="false"/>
              <w:rPr/>
            </w:pPr>
            <w:r>
              <w:rPr>
                <w:bCs/>
                <w:iCs/>
                <w:color w:val="000000"/>
                <w:spacing w:val="6"/>
                <w:sz w:val="18"/>
                <w:szCs w:val="18"/>
              </w:rPr>
              <w:t xml:space="preserve">3амена аварийных участков трубопроводов длиной до двух метров систем отопления и </w:t>
            </w:r>
            <w:r>
              <w:rPr>
                <w:bCs/>
                <w:iCs/>
                <w:color w:val="000000"/>
                <w:spacing w:val="-2"/>
                <w:sz w:val="18"/>
                <w:szCs w:val="18"/>
              </w:rPr>
              <w:t>водоснабжения.</w:t>
            </w:r>
          </w:p>
        </w:tc>
        <w:tc>
          <w:tcPr>
            <w:tcW w:w="1773" w:type="dxa"/>
            <w:tcBorders>
              <w:start w:val="single" w:sz="4" w:space="0" w:color="000000"/>
              <w:bottom w:val="single" w:sz="4" w:space="0" w:color="000000"/>
              <w:end w:val="single" w:sz="4" w:space="0" w:color="000000"/>
            </w:tcBorders>
          </w:tcPr>
          <w:p>
            <w:pPr>
              <w:pStyle w:val="Normal"/>
              <w:widowControl w:val="false"/>
              <w:snapToGrid w:val="false"/>
              <w:rPr>
                <w:spacing w:val="1"/>
                <w:sz w:val="18"/>
                <w:szCs w:val="18"/>
              </w:rPr>
            </w:pPr>
            <w:r>
              <w:rPr>
                <w:spacing w:val="1"/>
                <w:sz w:val="18"/>
                <w:szCs w:val="18"/>
              </w:rPr>
            </w:r>
          </w:p>
        </w:tc>
      </w:tr>
      <w:tr>
        <w:trPr/>
        <w:tc>
          <w:tcPr>
            <w:tcW w:w="534" w:type="dxa"/>
            <w:tcBorders>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3</w:t>
            </w:r>
          </w:p>
        </w:tc>
        <w:tc>
          <w:tcPr>
            <w:tcW w:w="7512" w:type="dxa"/>
            <w:tcBorders>
              <w:start w:val="single" w:sz="4" w:space="0" w:color="000000"/>
              <w:bottom w:val="single" w:sz="4" w:space="0" w:color="000000"/>
              <w:end w:val="single" w:sz="4" w:space="0" w:color="000000"/>
            </w:tcBorders>
          </w:tcPr>
          <w:p>
            <w:pPr>
              <w:pStyle w:val="Normal"/>
              <w:widowControl w:val="false"/>
              <w:rPr>
                <w:bCs/>
                <w:iCs/>
                <w:color w:val="000000"/>
                <w:spacing w:val="-1"/>
                <w:sz w:val="18"/>
                <w:szCs w:val="18"/>
              </w:rPr>
            </w:pPr>
            <w:r>
              <w:rPr>
                <w:bCs/>
                <w:iCs/>
                <w:color w:val="000000"/>
                <w:spacing w:val="-1"/>
                <w:sz w:val="18"/>
                <w:szCs w:val="18"/>
              </w:rPr>
              <w:t>Наплавка раковин и трещин.</w:t>
            </w:r>
          </w:p>
        </w:tc>
        <w:tc>
          <w:tcPr>
            <w:tcW w:w="1773" w:type="dxa"/>
            <w:tcBorders>
              <w:start w:val="single" w:sz="4" w:space="0" w:color="000000"/>
              <w:bottom w:val="single" w:sz="4" w:space="0" w:color="000000"/>
              <w:end w:val="single" w:sz="4" w:space="0" w:color="000000"/>
            </w:tcBorders>
          </w:tcPr>
          <w:p>
            <w:pPr>
              <w:pStyle w:val="Normal"/>
              <w:widowControl w:val="false"/>
              <w:snapToGrid w:val="false"/>
              <w:rPr>
                <w:spacing w:val="1"/>
                <w:sz w:val="18"/>
                <w:szCs w:val="18"/>
              </w:rPr>
            </w:pPr>
            <w:r>
              <w:rPr>
                <w:spacing w:val="1"/>
                <w:sz w:val="18"/>
                <w:szCs w:val="18"/>
              </w:rPr>
            </w:r>
          </w:p>
        </w:tc>
      </w:tr>
      <w:tr>
        <w:trPr/>
        <w:tc>
          <w:tcPr>
            <w:tcW w:w="9819" w:type="dxa"/>
            <w:gridSpan w:val="3"/>
            <w:tcBorders>
              <w:start w:val="single" w:sz="4" w:space="0" w:color="000000"/>
              <w:bottom w:val="single" w:sz="4" w:space="0" w:color="000000"/>
              <w:end w:val="single" w:sz="4" w:space="0" w:color="000000"/>
            </w:tcBorders>
          </w:tcPr>
          <w:p>
            <w:pPr>
              <w:pStyle w:val="Normal"/>
              <w:widowControl w:val="false"/>
              <w:numPr>
                <w:ilvl w:val="0"/>
                <w:numId w:val="2"/>
              </w:numPr>
              <w:shd w:fill="FFFFFF" w:val="clear"/>
              <w:ind w:hanging="0" w:start="0" w:end="0"/>
              <w:jc w:val="center"/>
              <w:rPr/>
            </w:pPr>
            <w:r>
              <w:rPr>
                <w:b/>
                <w:iCs/>
                <w:color w:val="000000"/>
                <w:spacing w:val="-1"/>
                <w:sz w:val="18"/>
                <w:szCs w:val="18"/>
              </w:rPr>
              <w:t>Оказание услуг по текущему ремонту инженерного оборудования.</w:t>
            </w:r>
          </w:p>
        </w:tc>
      </w:tr>
      <w:tr>
        <w:trPr/>
        <w:tc>
          <w:tcPr>
            <w:tcW w:w="534" w:type="dxa"/>
            <w:tcBorders>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w:t>
            </w:r>
          </w:p>
        </w:tc>
        <w:tc>
          <w:tcPr>
            <w:tcW w:w="7512" w:type="dxa"/>
            <w:tcBorders>
              <w:start w:val="single" w:sz="4" w:space="0" w:color="000000"/>
              <w:bottom w:val="single" w:sz="4" w:space="0" w:color="000000"/>
              <w:end w:val="single" w:sz="4" w:space="0" w:color="000000"/>
            </w:tcBorders>
          </w:tcPr>
          <w:p>
            <w:pPr>
              <w:pStyle w:val="Normal"/>
              <w:widowControl w:val="false"/>
              <w:rPr/>
            </w:pPr>
            <w:r>
              <w:rPr>
                <w:spacing w:val="7"/>
                <w:sz w:val="18"/>
                <w:szCs w:val="18"/>
              </w:rPr>
              <w:t xml:space="preserve">Устранение течи запорной и водоразборной арматуры при авариях на трубопроводе с </w:t>
            </w:r>
            <w:r>
              <w:rPr>
                <w:spacing w:val="5"/>
                <w:sz w:val="18"/>
                <w:szCs w:val="18"/>
              </w:rPr>
              <w:t xml:space="preserve">холодным водоснабжением,  замена сгонов,  установка  бандажей  на трубопроводе,  смена </w:t>
            </w:r>
            <w:r>
              <w:rPr>
                <w:spacing w:val="11"/>
                <w:sz w:val="18"/>
                <w:szCs w:val="18"/>
              </w:rPr>
              <w:t xml:space="preserve">участков трубопровода (до 2м.), выполнение сварочных работ (услуг) при текущем ремонте или замене </w:t>
            </w:r>
            <w:r>
              <w:rPr>
                <w:sz w:val="18"/>
                <w:szCs w:val="18"/>
              </w:rPr>
              <w:t>трубопровода (здание пристройки).</w:t>
            </w:r>
          </w:p>
        </w:tc>
        <w:tc>
          <w:tcPr>
            <w:tcW w:w="1773" w:type="dxa"/>
            <w:tcBorders>
              <w:start w:val="single" w:sz="4" w:space="0" w:color="000000"/>
              <w:bottom w:val="single" w:sz="4" w:space="0" w:color="000000"/>
              <w:end w:val="single" w:sz="4" w:space="0" w:color="000000"/>
            </w:tcBorders>
          </w:tcPr>
          <w:p>
            <w:pPr>
              <w:pStyle w:val="Normal"/>
              <w:widowControl w:val="false"/>
              <w:rPr>
                <w:spacing w:val="1"/>
                <w:sz w:val="18"/>
                <w:szCs w:val="18"/>
              </w:rPr>
            </w:pPr>
            <w:r>
              <w:rPr>
                <w:spacing w:val="1"/>
                <w:sz w:val="18"/>
                <w:szCs w:val="18"/>
              </w:rPr>
              <w:t>По мере необходимости и/или по заявке Заказчика</w:t>
            </w:r>
          </w:p>
        </w:tc>
      </w:tr>
      <w:tr>
        <w:trPr/>
        <w:tc>
          <w:tcPr>
            <w:tcW w:w="534" w:type="dxa"/>
            <w:tcBorders>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2</w:t>
            </w:r>
          </w:p>
        </w:tc>
        <w:tc>
          <w:tcPr>
            <w:tcW w:w="7512" w:type="dxa"/>
            <w:tcBorders>
              <w:start w:val="single" w:sz="4" w:space="0" w:color="000000"/>
              <w:bottom w:val="single" w:sz="4" w:space="0" w:color="000000"/>
              <w:end w:val="single" w:sz="4" w:space="0" w:color="000000"/>
            </w:tcBorders>
          </w:tcPr>
          <w:p>
            <w:pPr>
              <w:pStyle w:val="Normal"/>
              <w:widowControl w:val="false"/>
              <w:rPr/>
            </w:pPr>
            <w:r>
              <w:rPr>
                <w:bCs/>
                <w:iCs/>
                <w:color w:val="000000"/>
                <w:sz w:val="18"/>
                <w:szCs w:val="18"/>
              </w:rPr>
              <w:t xml:space="preserve">Прочистка    засоров    сантехнических    приборов (унитазов,    раковин,    умывальников, </w:t>
            </w:r>
            <w:r>
              <w:rPr>
                <w:bCs/>
                <w:iCs/>
                <w:color w:val="000000"/>
                <w:spacing w:val="-1"/>
                <w:sz w:val="18"/>
                <w:szCs w:val="18"/>
              </w:rPr>
              <w:t xml:space="preserve">сифонов), канализационных труб и стояков внутри здания и до первого колодца, заделка свищей </w:t>
            </w:r>
            <w:r>
              <w:rPr>
                <w:bCs/>
                <w:iCs/>
                <w:color w:val="000000"/>
                <w:spacing w:val="10"/>
                <w:sz w:val="18"/>
                <w:szCs w:val="18"/>
              </w:rPr>
              <w:t xml:space="preserve">и зачеканка раструбов, замена негодных сифонов и участков трубопровода (до 2 м.) для </w:t>
            </w:r>
            <w:r>
              <w:rPr>
                <w:bCs/>
                <w:iCs/>
                <w:color w:val="000000"/>
                <w:sz w:val="18"/>
                <w:szCs w:val="18"/>
              </w:rPr>
              <w:t>устранения засора или течи, выполнение сварочных работ (услуг) (здание пристройки).</w:t>
            </w:r>
          </w:p>
        </w:tc>
        <w:tc>
          <w:tcPr>
            <w:tcW w:w="1773" w:type="dxa"/>
            <w:tcBorders>
              <w:start w:val="single" w:sz="4" w:space="0" w:color="000000"/>
              <w:bottom w:val="single" w:sz="4" w:space="0" w:color="000000"/>
              <w:end w:val="single" w:sz="4" w:space="0" w:color="000000"/>
            </w:tcBorders>
          </w:tcPr>
          <w:p>
            <w:pPr>
              <w:pStyle w:val="Normal"/>
              <w:widowControl w:val="false"/>
              <w:rPr>
                <w:spacing w:val="1"/>
                <w:sz w:val="18"/>
                <w:szCs w:val="18"/>
              </w:rPr>
            </w:pPr>
            <w:r>
              <w:rPr>
                <w:spacing w:val="1"/>
                <w:sz w:val="18"/>
                <w:szCs w:val="18"/>
              </w:rPr>
              <w:t>По мере необходимости и/или по заявке Заказчика</w:t>
            </w:r>
          </w:p>
        </w:tc>
      </w:tr>
      <w:tr>
        <w:trPr/>
        <w:tc>
          <w:tcPr>
            <w:tcW w:w="534" w:type="dxa"/>
            <w:tcBorders>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3</w:t>
            </w:r>
          </w:p>
        </w:tc>
        <w:tc>
          <w:tcPr>
            <w:tcW w:w="7512" w:type="dxa"/>
            <w:tcBorders>
              <w:start w:val="single" w:sz="4" w:space="0" w:color="000000"/>
              <w:bottom w:val="single" w:sz="4" w:space="0" w:color="000000"/>
              <w:end w:val="single" w:sz="4" w:space="0" w:color="000000"/>
            </w:tcBorders>
          </w:tcPr>
          <w:p>
            <w:pPr>
              <w:pStyle w:val="Normal"/>
              <w:widowControl w:val="false"/>
              <w:rPr/>
            </w:pPr>
            <w:r>
              <w:rPr>
                <w:bCs/>
                <w:iCs/>
                <w:color w:val="000000"/>
                <w:spacing w:val="9"/>
                <w:sz w:val="18"/>
                <w:szCs w:val="18"/>
              </w:rPr>
              <w:t xml:space="preserve">Оказание услуг по текущему ремонту и замене сгонов,  запорной арматуры, смене участков </w:t>
            </w:r>
            <w:r>
              <w:rPr>
                <w:bCs/>
                <w:iCs/>
                <w:color w:val="000000"/>
                <w:spacing w:val="4"/>
                <w:sz w:val="18"/>
                <w:szCs w:val="18"/>
              </w:rPr>
              <w:t xml:space="preserve">трубопровода (до 2м.), ликвидация  течи  путём  уплотнения  соединения  труб  отопления, </w:t>
            </w:r>
            <w:r>
              <w:rPr>
                <w:bCs/>
                <w:iCs/>
                <w:color w:val="000000"/>
                <w:spacing w:val="-1"/>
                <w:sz w:val="18"/>
                <w:szCs w:val="18"/>
              </w:rPr>
              <w:t>выполнение сварочных работ (услуг) (здание пристройки).</w:t>
            </w:r>
          </w:p>
        </w:tc>
        <w:tc>
          <w:tcPr>
            <w:tcW w:w="1773" w:type="dxa"/>
            <w:tcBorders>
              <w:start w:val="single" w:sz="4" w:space="0" w:color="000000"/>
              <w:bottom w:val="single" w:sz="4" w:space="0" w:color="000000"/>
              <w:end w:val="single" w:sz="4" w:space="0" w:color="000000"/>
            </w:tcBorders>
          </w:tcPr>
          <w:p>
            <w:pPr>
              <w:pStyle w:val="Normal"/>
              <w:widowControl w:val="false"/>
              <w:rPr>
                <w:spacing w:val="1"/>
                <w:sz w:val="18"/>
                <w:szCs w:val="18"/>
              </w:rPr>
            </w:pPr>
            <w:r>
              <w:rPr>
                <w:spacing w:val="1"/>
                <w:sz w:val="18"/>
                <w:szCs w:val="18"/>
              </w:rPr>
              <w:t>По мере необходимости и/или по заявке Заказчика</w:t>
            </w:r>
          </w:p>
        </w:tc>
      </w:tr>
      <w:tr>
        <w:trPr/>
        <w:tc>
          <w:tcPr>
            <w:tcW w:w="534" w:type="dxa"/>
            <w:tcBorders>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4</w:t>
            </w:r>
          </w:p>
        </w:tc>
        <w:tc>
          <w:tcPr>
            <w:tcW w:w="7512" w:type="dxa"/>
            <w:tcBorders>
              <w:start w:val="single" w:sz="4" w:space="0" w:color="000000"/>
              <w:bottom w:val="single" w:sz="4" w:space="0" w:color="000000"/>
              <w:end w:val="single" w:sz="4" w:space="0" w:color="000000"/>
            </w:tcBorders>
          </w:tcPr>
          <w:p>
            <w:pPr>
              <w:pStyle w:val="Normal"/>
              <w:widowControl w:val="false"/>
              <w:rPr/>
            </w:pPr>
            <w:r>
              <w:rPr>
                <w:bCs/>
                <w:iCs/>
                <w:color w:val="000000"/>
                <w:spacing w:val="4"/>
                <w:sz w:val="18"/>
                <w:szCs w:val="18"/>
              </w:rPr>
              <w:t xml:space="preserve">Оказание  сопутствующих  услуг:  рытьё траншей  при  текущем ремонте  или  замене  участка </w:t>
            </w:r>
            <w:r>
              <w:rPr>
                <w:bCs/>
                <w:iCs/>
                <w:color w:val="000000"/>
                <w:spacing w:val="1"/>
                <w:sz w:val="18"/>
                <w:szCs w:val="18"/>
              </w:rPr>
              <w:t xml:space="preserve">трубопровода, откачка воды из подвала при ликвидации аварий и после неё; вскрытие полов и </w:t>
            </w:r>
            <w:r>
              <w:rPr>
                <w:bCs/>
                <w:iCs/>
                <w:color w:val="000000"/>
                <w:sz w:val="18"/>
                <w:szCs w:val="18"/>
              </w:rPr>
              <w:t xml:space="preserve">потолков,   пробивка   отверстий   и   борозд   при   ликвидации   неисправностей   на   скрытых </w:t>
            </w:r>
            <w:r>
              <w:rPr>
                <w:bCs/>
                <w:iCs/>
                <w:color w:val="000000"/>
                <w:spacing w:val="4"/>
                <w:sz w:val="18"/>
                <w:szCs w:val="18"/>
              </w:rPr>
              <w:t xml:space="preserve">трубопроводах, отключение стояков и отдельных участков трубопроводов для производства </w:t>
            </w:r>
            <w:r>
              <w:rPr>
                <w:bCs/>
                <w:iCs/>
                <w:color w:val="000000"/>
                <w:spacing w:val="1"/>
                <w:sz w:val="18"/>
                <w:szCs w:val="18"/>
              </w:rPr>
              <w:t xml:space="preserve">ремонтных работ (услуг); опорожнение отключенных участков отопления и обратное наполнение их с </w:t>
            </w:r>
            <w:r>
              <w:rPr>
                <w:bCs/>
                <w:iCs/>
                <w:color w:val="000000"/>
                <w:sz w:val="18"/>
                <w:szCs w:val="18"/>
              </w:rPr>
              <w:t>пуском системы после устранения неисправности (здание пристройки).</w:t>
            </w:r>
          </w:p>
        </w:tc>
        <w:tc>
          <w:tcPr>
            <w:tcW w:w="1773" w:type="dxa"/>
            <w:tcBorders>
              <w:start w:val="single" w:sz="4" w:space="0" w:color="000000"/>
              <w:bottom w:val="single" w:sz="4" w:space="0" w:color="000000"/>
              <w:end w:val="single" w:sz="4" w:space="0" w:color="000000"/>
            </w:tcBorders>
          </w:tcPr>
          <w:p>
            <w:pPr>
              <w:pStyle w:val="Normal"/>
              <w:widowControl w:val="false"/>
              <w:rPr>
                <w:spacing w:val="1"/>
                <w:sz w:val="18"/>
                <w:szCs w:val="18"/>
              </w:rPr>
            </w:pPr>
            <w:r>
              <w:rPr>
                <w:spacing w:val="1"/>
                <w:sz w:val="18"/>
                <w:szCs w:val="18"/>
              </w:rPr>
              <w:t>По мере необходимости и/или по заявке Заказчика</w:t>
            </w:r>
          </w:p>
        </w:tc>
      </w:tr>
      <w:tr>
        <w:trPr/>
        <w:tc>
          <w:tcPr>
            <w:tcW w:w="534" w:type="dxa"/>
            <w:tcBorders>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5</w:t>
            </w:r>
          </w:p>
        </w:tc>
        <w:tc>
          <w:tcPr>
            <w:tcW w:w="7512" w:type="dxa"/>
            <w:tcBorders>
              <w:start w:val="single" w:sz="4" w:space="0" w:color="000000"/>
              <w:bottom w:val="single" w:sz="4" w:space="0" w:color="000000"/>
              <w:end w:val="single" w:sz="4" w:space="0" w:color="000000"/>
            </w:tcBorders>
          </w:tcPr>
          <w:p>
            <w:pPr>
              <w:pStyle w:val="Normal"/>
              <w:widowControl w:val="false"/>
              <w:rPr>
                <w:bCs/>
                <w:iCs/>
                <w:color w:val="000000"/>
                <w:spacing w:val="4"/>
                <w:sz w:val="18"/>
                <w:szCs w:val="18"/>
              </w:rPr>
            </w:pPr>
            <w:r>
              <w:rPr>
                <w:bCs/>
                <w:iCs/>
                <w:color w:val="000000"/>
                <w:spacing w:val="4"/>
                <w:sz w:val="18"/>
                <w:szCs w:val="18"/>
              </w:rPr>
              <w:t>Прочистка засоров сантехнических приборов (унитазов, раковин, умывальников, сифонов), канализационных труб и стояков внутри здания (основное здание).</w:t>
            </w:r>
          </w:p>
        </w:tc>
        <w:tc>
          <w:tcPr>
            <w:tcW w:w="1773" w:type="dxa"/>
            <w:tcBorders>
              <w:start w:val="single" w:sz="4" w:space="0" w:color="000000"/>
              <w:bottom w:val="single" w:sz="4" w:space="0" w:color="000000"/>
              <w:end w:val="single" w:sz="4" w:space="0" w:color="000000"/>
            </w:tcBorders>
          </w:tcPr>
          <w:p>
            <w:pPr>
              <w:pStyle w:val="Normal"/>
              <w:widowControl w:val="false"/>
              <w:rPr>
                <w:spacing w:val="1"/>
                <w:sz w:val="18"/>
                <w:szCs w:val="18"/>
              </w:rPr>
            </w:pPr>
            <w:r>
              <w:rPr>
                <w:spacing w:val="1"/>
                <w:sz w:val="18"/>
                <w:szCs w:val="18"/>
              </w:rPr>
              <w:t>По мере необходимости и/или по заявке Заказчика</w:t>
            </w:r>
          </w:p>
        </w:tc>
      </w:tr>
      <w:tr>
        <w:trPr>
          <w:trHeight w:val="378" w:hRule="atLeast"/>
        </w:trPr>
        <w:tc>
          <w:tcPr>
            <w:tcW w:w="9819" w:type="dxa"/>
            <w:gridSpan w:val="3"/>
            <w:tcBorders>
              <w:top w:val="single" w:sz="4" w:space="0" w:color="000000"/>
              <w:start w:val="single" w:sz="4" w:space="0" w:color="000000"/>
              <w:bottom w:val="single" w:sz="4" w:space="0" w:color="000000"/>
              <w:end w:val="single" w:sz="4" w:space="0" w:color="000000"/>
            </w:tcBorders>
            <w:shd w:fill="FFFFFF" w:val="clear"/>
            <w:vAlign w:val="center"/>
          </w:tcPr>
          <w:p>
            <w:pPr>
              <w:pStyle w:val="Normal"/>
              <w:widowControl w:val="false"/>
              <w:jc w:val="center"/>
              <w:rPr>
                <w:b/>
                <w:bCs/>
                <w:sz w:val="18"/>
                <w:szCs w:val="18"/>
              </w:rPr>
            </w:pPr>
            <w:r>
              <w:rPr>
                <w:b/>
                <w:bCs/>
                <w:sz w:val="18"/>
                <w:szCs w:val="18"/>
              </w:rPr>
              <w:t>Система электроснабжения</w:t>
            </w:r>
          </w:p>
        </w:tc>
      </w:tr>
      <w:tr>
        <w:trPr>
          <w:trHeight w:val="157" w:hRule="atLeast"/>
        </w:trPr>
        <w:tc>
          <w:tcPr>
            <w:tcW w:w="534"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w:t>
            </w:r>
          </w:p>
        </w:tc>
        <w:tc>
          <w:tcPr>
            <w:tcW w:w="7512"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18"/>
                <w:szCs w:val="18"/>
              </w:rPr>
            </w:pPr>
            <w:r>
              <w:rPr>
                <w:sz w:val="18"/>
                <w:szCs w:val="18"/>
              </w:rPr>
              <w:t>снятие и установка приборов учёта э/энергии и транформаторов тока для осуществления поверки с последующей сдачей прибора энергоснабжающей организации</w:t>
            </w:r>
          </w:p>
        </w:tc>
        <w:tc>
          <w:tcPr>
            <w:tcW w:w="1773"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по мере истечения межповерочного интервала</w:t>
            </w:r>
          </w:p>
        </w:tc>
      </w:tr>
      <w:tr>
        <w:trPr>
          <w:trHeight w:val="157" w:hRule="atLeast"/>
        </w:trPr>
        <w:tc>
          <w:tcPr>
            <w:tcW w:w="534"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2</w:t>
            </w:r>
          </w:p>
        </w:tc>
        <w:tc>
          <w:tcPr>
            <w:tcW w:w="7512"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18"/>
                <w:szCs w:val="18"/>
              </w:rPr>
            </w:pPr>
            <w:r>
              <w:rPr>
                <w:sz w:val="18"/>
                <w:szCs w:val="18"/>
              </w:rPr>
              <w:t>Предоставление акта осмотра (акта выбраковки) осветительных приборов (потолочных светильников) для их замены и последующего списания</w:t>
            </w:r>
          </w:p>
        </w:tc>
        <w:tc>
          <w:tcPr>
            <w:tcW w:w="1773"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По мере необходимости</w:t>
            </w:r>
          </w:p>
        </w:tc>
      </w:tr>
    </w:tbl>
    <w:p>
      <w:pPr>
        <w:pStyle w:val="Normal"/>
        <w:rPr>
          <w:b/>
          <w:sz w:val="18"/>
          <w:szCs w:val="18"/>
        </w:rPr>
      </w:pPr>
      <w:r>
        <w:rPr>
          <w:b/>
          <w:sz w:val="18"/>
          <w:szCs w:val="18"/>
        </w:rPr>
      </w:r>
    </w:p>
    <w:p>
      <w:pPr>
        <w:pStyle w:val="Normal"/>
        <w:widowControl w:val="false"/>
        <w:shd w:fill="FFFFFF" w:val="clear"/>
        <w:jc w:val="center"/>
        <w:rPr>
          <w:b/>
          <w:bCs/>
          <w:iCs/>
          <w:color w:val="000000"/>
          <w:spacing w:val="-2"/>
          <w:sz w:val="18"/>
          <w:szCs w:val="18"/>
        </w:rPr>
      </w:pPr>
      <w:r>
        <w:rPr>
          <w:b/>
          <w:bCs/>
          <w:iCs/>
          <w:color w:val="000000"/>
          <w:spacing w:val="-2"/>
          <w:sz w:val="18"/>
          <w:szCs w:val="18"/>
        </w:rPr>
        <w:t xml:space="preserve">ПЕРЕЧЕНЬ </w:t>
      </w:r>
    </w:p>
    <w:p>
      <w:pPr>
        <w:pStyle w:val="Normal"/>
        <w:widowControl w:val="false"/>
        <w:shd w:fill="FFFFFF" w:val="clear"/>
        <w:jc w:val="center"/>
        <w:rPr>
          <w:b/>
          <w:bCs/>
          <w:iCs/>
          <w:color w:val="000000"/>
          <w:spacing w:val="-2"/>
          <w:sz w:val="18"/>
          <w:szCs w:val="18"/>
        </w:rPr>
      </w:pPr>
      <w:r>
        <w:rPr>
          <w:b/>
          <w:bCs/>
          <w:iCs/>
          <w:color w:val="000000"/>
          <w:spacing w:val="-2"/>
          <w:sz w:val="18"/>
          <w:szCs w:val="18"/>
        </w:rPr>
        <w:t xml:space="preserve">инженерных систем и оборудования Управления, </w:t>
      </w:r>
    </w:p>
    <w:p>
      <w:pPr>
        <w:pStyle w:val="Normal"/>
        <w:widowControl w:val="false"/>
        <w:shd w:fill="FFFFFF" w:val="clear"/>
        <w:jc w:val="center"/>
        <w:rPr>
          <w:b/>
          <w:bCs/>
          <w:iCs/>
          <w:color w:val="000000"/>
          <w:spacing w:val="-2"/>
          <w:sz w:val="18"/>
          <w:szCs w:val="18"/>
        </w:rPr>
      </w:pPr>
      <w:r>
        <w:rPr>
          <w:b/>
          <w:bCs/>
          <w:iCs/>
          <w:color w:val="000000"/>
          <w:spacing w:val="-2"/>
          <w:sz w:val="18"/>
          <w:szCs w:val="18"/>
        </w:rPr>
        <w:t xml:space="preserve">подлежащих техническому обслуживанию </w:t>
      </w:r>
    </w:p>
    <w:p>
      <w:pPr>
        <w:pStyle w:val="Normal"/>
        <w:widowControl w:val="false"/>
        <w:shd w:fill="FFFFFF" w:val="clear"/>
        <w:jc w:val="center"/>
        <w:rPr>
          <w:b/>
          <w:bCs/>
          <w:iCs/>
          <w:color w:val="000000"/>
          <w:spacing w:val="-2"/>
          <w:sz w:val="18"/>
          <w:szCs w:val="18"/>
        </w:rPr>
      </w:pPr>
      <w:r>
        <w:rPr>
          <w:b/>
          <w:bCs/>
          <w:iCs/>
          <w:color w:val="000000"/>
          <w:spacing w:val="-2"/>
          <w:sz w:val="18"/>
          <w:szCs w:val="18"/>
        </w:rPr>
      </w:r>
    </w:p>
    <w:tbl>
      <w:tblPr>
        <w:tblW w:w="9933" w:type="dxa"/>
        <w:jc w:val="start"/>
        <w:tblInd w:w="-17" w:type="dxa"/>
        <w:tblLayout w:type="fixed"/>
        <w:tblCellMar>
          <w:top w:w="0" w:type="dxa"/>
          <w:start w:w="108" w:type="dxa"/>
          <w:bottom w:w="0" w:type="dxa"/>
          <w:end w:w="108" w:type="dxa"/>
        </w:tblCellMar>
      </w:tblPr>
      <w:tblGrid>
        <w:gridCol w:w="4414"/>
        <w:gridCol w:w="5519"/>
      </w:tblGrid>
      <w:tr>
        <w:trPr>
          <w:trHeight w:val="230" w:hRule="atLeast"/>
        </w:trPr>
        <w:tc>
          <w:tcPr>
            <w:tcW w:w="4414"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18"/>
                <w:szCs w:val="18"/>
              </w:rPr>
            </w:pPr>
            <w:r>
              <w:rPr>
                <w:sz w:val="18"/>
                <w:szCs w:val="18"/>
              </w:rPr>
              <w:t xml:space="preserve">Наименование систем </w:t>
            </w:r>
          </w:p>
        </w:tc>
        <w:tc>
          <w:tcPr>
            <w:tcW w:w="5519"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18"/>
                <w:szCs w:val="18"/>
              </w:rPr>
            </w:pPr>
            <w:r>
              <w:rPr>
                <w:sz w:val="18"/>
                <w:szCs w:val="18"/>
              </w:rPr>
              <w:t xml:space="preserve">Краткая характеристика систем </w:t>
            </w:r>
          </w:p>
        </w:tc>
      </w:tr>
      <w:tr>
        <w:trPr>
          <w:trHeight w:val="477" w:hRule="atLeast"/>
        </w:trPr>
        <w:tc>
          <w:tcPr>
            <w:tcW w:w="993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b/>
                <w:sz w:val="18"/>
                <w:szCs w:val="18"/>
              </w:rPr>
            </w:pPr>
            <w:r>
              <w:rPr>
                <w:b/>
                <w:sz w:val="18"/>
                <w:szCs w:val="18"/>
              </w:rPr>
              <w:t>Наружные коммуникации (ул. Калинина, д.4 (здание пристройки))</w:t>
            </w:r>
          </w:p>
        </w:tc>
      </w:tr>
      <w:tr>
        <w:trPr>
          <w:trHeight w:val="144" w:hRule="atLeast"/>
        </w:trPr>
        <w:tc>
          <w:tcPr>
            <w:tcW w:w="4414"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18"/>
                <w:szCs w:val="18"/>
              </w:rPr>
            </w:pPr>
            <w:r>
              <w:rPr>
                <w:sz w:val="18"/>
                <w:szCs w:val="18"/>
              </w:rPr>
              <w:t xml:space="preserve">Водопровод, Ду </w:t>
            </w:r>
          </w:p>
        </w:tc>
        <w:tc>
          <w:tcPr>
            <w:tcW w:w="5519"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pPr>
            <w:r>
              <w:rPr>
                <w:sz w:val="18"/>
                <w:szCs w:val="18"/>
              </w:rPr>
              <w:t xml:space="preserve">2ø 80  </w:t>
            </w:r>
            <w:r>
              <w:rPr>
                <w:sz w:val="18"/>
                <w:szCs w:val="18"/>
                <w:lang w:val="en-US"/>
              </w:rPr>
              <w:t>L</w:t>
            </w:r>
            <w:r>
              <w:rPr>
                <w:sz w:val="18"/>
                <w:szCs w:val="18"/>
              </w:rPr>
              <w:t xml:space="preserve"> = 51,0 м, материал труб - ПЭ</w:t>
            </w:r>
          </w:p>
        </w:tc>
      </w:tr>
      <w:tr>
        <w:trPr>
          <w:trHeight w:val="144" w:hRule="atLeast"/>
        </w:trPr>
        <w:tc>
          <w:tcPr>
            <w:tcW w:w="4414"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18"/>
                <w:szCs w:val="18"/>
              </w:rPr>
            </w:pPr>
            <w:r>
              <w:rPr>
                <w:sz w:val="18"/>
                <w:szCs w:val="18"/>
              </w:rPr>
              <w:t>Водопроводный колодец,</w:t>
            </w:r>
          </w:p>
          <w:p>
            <w:pPr>
              <w:pStyle w:val="Normal"/>
              <w:widowControl w:val="false"/>
              <w:jc w:val="both"/>
              <w:rPr>
                <w:sz w:val="18"/>
                <w:szCs w:val="18"/>
              </w:rPr>
            </w:pPr>
            <w:r>
              <w:rPr>
                <w:sz w:val="18"/>
                <w:szCs w:val="18"/>
              </w:rPr>
              <w:t xml:space="preserve">Запорная арматура: </w:t>
            </w:r>
          </w:p>
        </w:tc>
        <w:tc>
          <w:tcPr>
            <w:tcW w:w="5519"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18"/>
                <w:szCs w:val="18"/>
              </w:rPr>
            </w:pPr>
            <w:r>
              <w:rPr>
                <w:sz w:val="18"/>
                <w:szCs w:val="18"/>
              </w:rPr>
              <w:t xml:space="preserve">1 шт.; </w:t>
            </w:r>
          </w:p>
          <w:p>
            <w:pPr>
              <w:pStyle w:val="Normal"/>
              <w:widowControl w:val="false"/>
              <w:jc w:val="both"/>
              <w:rPr>
                <w:sz w:val="18"/>
                <w:szCs w:val="18"/>
              </w:rPr>
            </w:pPr>
            <w:r>
              <w:rPr>
                <w:sz w:val="18"/>
                <w:szCs w:val="18"/>
              </w:rPr>
              <w:t xml:space="preserve">– </w:t>
            </w:r>
            <w:r>
              <w:rPr>
                <w:sz w:val="18"/>
                <w:szCs w:val="18"/>
              </w:rPr>
              <w:t>задвижка ø 300 мм – 1 шт.,</w:t>
            </w:r>
          </w:p>
          <w:p>
            <w:pPr>
              <w:pStyle w:val="Normal"/>
              <w:widowControl w:val="false"/>
              <w:jc w:val="both"/>
              <w:rPr>
                <w:sz w:val="18"/>
                <w:szCs w:val="18"/>
              </w:rPr>
            </w:pPr>
            <w:r>
              <w:rPr>
                <w:sz w:val="18"/>
                <w:szCs w:val="18"/>
              </w:rPr>
              <w:t xml:space="preserve">– </w:t>
            </w:r>
            <w:r>
              <w:rPr>
                <w:sz w:val="18"/>
                <w:szCs w:val="18"/>
              </w:rPr>
              <w:t>задвижка ø 80 мм – 2 шт.,</w:t>
            </w:r>
          </w:p>
          <w:p>
            <w:pPr>
              <w:pStyle w:val="Normal"/>
              <w:widowControl w:val="false"/>
              <w:jc w:val="both"/>
              <w:rPr>
                <w:sz w:val="18"/>
                <w:szCs w:val="18"/>
              </w:rPr>
            </w:pPr>
            <w:r>
              <w:rPr>
                <w:sz w:val="18"/>
                <w:szCs w:val="18"/>
              </w:rPr>
              <w:t>Материал труб - чугун</w:t>
            </w:r>
          </w:p>
        </w:tc>
      </w:tr>
      <w:tr>
        <w:trPr>
          <w:trHeight w:val="143" w:hRule="atLeast"/>
        </w:trPr>
        <w:tc>
          <w:tcPr>
            <w:tcW w:w="4414"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18"/>
                <w:szCs w:val="18"/>
              </w:rPr>
            </w:pPr>
            <w:r>
              <w:rPr>
                <w:sz w:val="18"/>
                <w:szCs w:val="18"/>
              </w:rPr>
              <w:t xml:space="preserve">Канализация, Ду </w:t>
            </w:r>
          </w:p>
        </w:tc>
        <w:tc>
          <w:tcPr>
            <w:tcW w:w="5519"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pPr>
            <w:r>
              <w:rPr>
                <w:sz w:val="18"/>
                <w:szCs w:val="18"/>
              </w:rPr>
              <w:t xml:space="preserve">2ø 100  </w:t>
            </w:r>
            <w:r>
              <w:rPr>
                <w:sz w:val="18"/>
                <w:szCs w:val="18"/>
                <w:lang w:val="en-US"/>
              </w:rPr>
              <w:t>L</w:t>
            </w:r>
            <w:r>
              <w:rPr>
                <w:sz w:val="18"/>
                <w:szCs w:val="18"/>
              </w:rPr>
              <w:t xml:space="preserve"> = 8,0 м, материал труб – чугун, ПЭ</w:t>
            </w:r>
          </w:p>
        </w:tc>
      </w:tr>
      <w:tr>
        <w:trPr>
          <w:trHeight w:val="143" w:hRule="atLeast"/>
        </w:trPr>
        <w:tc>
          <w:tcPr>
            <w:tcW w:w="4414"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18"/>
                <w:szCs w:val="18"/>
              </w:rPr>
            </w:pPr>
            <w:r>
              <w:rPr>
                <w:sz w:val="18"/>
                <w:szCs w:val="18"/>
              </w:rPr>
              <w:t>Канализационный колодец, Запорная арматура:</w:t>
            </w:r>
          </w:p>
        </w:tc>
        <w:tc>
          <w:tcPr>
            <w:tcW w:w="5519"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18"/>
                <w:szCs w:val="18"/>
              </w:rPr>
            </w:pPr>
            <w:r>
              <w:rPr>
                <w:sz w:val="18"/>
                <w:szCs w:val="18"/>
              </w:rPr>
              <w:t xml:space="preserve">2 шт.; </w:t>
            </w:r>
          </w:p>
          <w:p>
            <w:pPr>
              <w:pStyle w:val="Normal"/>
              <w:widowControl w:val="false"/>
              <w:jc w:val="both"/>
              <w:rPr>
                <w:sz w:val="18"/>
                <w:szCs w:val="18"/>
              </w:rPr>
            </w:pPr>
            <w:r>
              <w:rPr>
                <w:sz w:val="18"/>
                <w:szCs w:val="18"/>
              </w:rPr>
              <w:t xml:space="preserve">– </w:t>
            </w:r>
            <w:r>
              <w:rPr>
                <w:sz w:val="18"/>
                <w:szCs w:val="18"/>
              </w:rPr>
              <w:t>2ø 200 мм (выпуск), длиной 13,0 м,</w:t>
            </w:r>
          </w:p>
          <w:p>
            <w:pPr>
              <w:pStyle w:val="Normal"/>
              <w:widowControl w:val="false"/>
              <w:jc w:val="both"/>
              <w:rPr>
                <w:sz w:val="18"/>
                <w:szCs w:val="18"/>
              </w:rPr>
            </w:pPr>
            <w:r>
              <w:rPr>
                <w:sz w:val="18"/>
                <w:szCs w:val="18"/>
              </w:rPr>
              <w:t xml:space="preserve">– </w:t>
            </w:r>
            <w:r>
              <w:rPr>
                <w:sz w:val="18"/>
                <w:szCs w:val="18"/>
              </w:rPr>
              <w:t>2ø 100 мм (выпуск), длиной 8,0 м,</w:t>
            </w:r>
          </w:p>
          <w:p>
            <w:pPr>
              <w:pStyle w:val="Normal"/>
              <w:widowControl w:val="false"/>
              <w:jc w:val="both"/>
              <w:rPr>
                <w:sz w:val="18"/>
                <w:szCs w:val="18"/>
              </w:rPr>
            </w:pPr>
            <w:r>
              <w:rPr>
                <w:sz w:val="18"/>
                <w:szCs w:val="18"/>
              </w:rPr>
              <w:t>Материал труб - чугун</w:t>
            </w:r>
          </w:p>
        </w:tc>
      </w:tr>
      <w:tr>
        <w:trPr>
          <w:trHeight w:val="144" w:hRule="atLeast"/>
        </w:trPr>
        <w:tc>
          <w:tcPr>
            <w:tcW w:w="4414"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18"/>
                <w:szCs w:val="18"/>
              </w:rPr>
            </w:pPr>
            <w:r>
              <w:rPr>
                <w:sz w:val="18"/>
                <w:szCs w:val="18"/>
              </w:rPr>
              <w:t xml:space="preserve">Ливневые стоки </w:t>
            </w:r>
          </w:p>
        </w:tc>
        <w:tc>
          <w:tcPr>
            <w:tcW w:w="5519"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18"/>
                <w:szCs w:val="18"/>
                <w:lang w:val="en-US"/>
              </w:rPr>
            </w:pPr>
            <w:r>
              <w:rPr>
                <w:sz w:val="18"/>
                <w:szCs w:val="18"/>
              </w:rPr>
              <w:t xml:space="preserve">Погружной дренажный насос </w:t>
            </w:r>
          </w:p>
          <w:p>
            <w:pPr>
              <w:pStyle w:val="Normal"/>
              <w:widowControl w:val="false"/>
              <w:jc w:val="both"/>
              <w:rPr/>
            </w:pPr>
            <w:r>
              <w:rPr>
                <w:sz w:val="18"/>
                <w:szCs w:val="18"/>
                <w:lang w:val="en-US"/>
              </w:rPr>
              <w:t>Grundfos</w:t>
            </w:r>
            <w:r>
              <w:rPr>
                <w:sz w:val="18"/>
                <w:szCs w:val="18"/>
              </w:rPr>
              <w:t xml:space="preserve"> </w:t>
            </w:r>
            <w:r>
              <w:rPr>
                <w:sz w:val="18"/>
                <w:szCs w:val="18"/>
                <w:lang w:val="en-US"/>
              </w:rPr>
              <w:t>Unilift</w:t>
            </w:r>
            <w:r>
              <w:rPr>
                <w:sz w:val="18"/>
                <w:szCs w:val="18"/>
              </w:rPr>
              <w:t xml:space="preserve"> </w:t>
            </w:r>
            <w:r>
              <w:rPr>
                <w:sz w:val="18"/>
                <w:szCs w:val="18"/>
                <w:lang w:val="en-US"/>
              </w:rPr>
              <w:t>CC</w:t>
            </w:r>
            <w:r>
              <w:rPr>
                <w:sz w:val="18"/>
                <w:szCs w:val="18"/>
              </w:rPr>
              <w:t xml:space="preserve"> 9</w:t>
            </w:r>
            <w:r>
              <w:rPr>
                <w:sz w:val="18"/>
                <w:szCs w:val="18"/>
                <w:lang w:val="en-US"/>
              </w:rPr>
              <w:t>A</w:t>
            </w:r>
            <w:r>
              <w:rPr>
                <w:sz w:val="18"/>
                <w:szCs w:val="18"/>
              </w:rPr>
              <w:t>1 – 1 шт. (при выходе из строя, ремонт насоса осуществляется по отдельному договору)</w:t>
            </w:r>
          </w:p>
        </w:tc>
      </w:tr>
    </w:tbl>
    <w:p>
      <w:pPr>
        <w:pStyle w:val="Normal"/>
        <w:jc w:val="center"/>
        <w:rPr>
          <w:b/>
          <w:sz w:val="18"/>
          <w:szCs w:val="18"/>
        </w:rPr>
      </w:pPr>
      <w:r>
        <w:rPr>
          <w:b/>
          <w:sz w:val="18"/>
          <w:szCs w:val="18"/>
        </w:rPr>
      </w:r>
    </w:p>
    <w:p>
      <w:pPr>
        <w:pStyle w:val="Normal"/>
        <w:jc w:val="center"/>
        <w:rPr>
          <w:sz w:val="18"/>
          <w:szCs w:val="18"/>
        </w:rPr>
      </w:pPr>
      <w:r>
        <w:rPr>
          <w:sz w:val="18"/>
          <w:szCs w:val="18"/>
        </w:rPr>
        <w:t>Отопление</w:t>
      </w:r>
    </w:p>
    <w:tbl>
      <w:tblPr>
        <w:tblW w:w="9922" w:type="dxa"/>
        <w:jc w:val="start"/>
        <w:tblInd w:w="-6" w:type="dxa"/>
        <w:tblLayout w:type="fixed"/>
        <w:tblCellMar>
          <w:top w:w="0" w:type="dxa"/>
          <w:start w:w="108" w:type="dxa"/>
          <w:bottom w:w="0" w:type="dxa"/>
          <w:end w:w="108" w:type="dxa"/>
        </w:tblCellMar>
      </w:tblPr>
      <w:tblGrid>
        <w:gridCol w:w="4393"/>
        <w:gridCol w:w="5529"/>
      </w:tblGrid>
      <w:tr>
        <w:trPr>
          <w:trHeight w:val="229" w:hRule="atLeast"/>
        </w:trPr>
        <w:tc>
          <w:tcPr>
            <w:tcW w:w="4393"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18"/>
                <w:szCs w:val="18"/>
              </w:rPr>
            </w:pPr>
            <w:r>
              <w:rPr>
                <w:sz w:val="18"/>
                <w:szCs w:val="18"/>
              </w:rPr>
              <w:t>Источник тепла</w:t>
            </w:r>
          </w:p>
        </w:tc>
        <w:tc>
          <w:tcPr>
            <w:tcW w:w="5529"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18"/>
                <w:szCs w:val="18"/>
              </w:rPr>
            </w:pPr>
            <w:r>
              <w:rPr>
                <w:sz w:val="18"/>
                <w:szCs w:val="18"/>
              </w:rPr>
              <w:t>Котельная квартала № 82</w:t>
            </w:r>
          </w:p>
        </w:tc>
      </w:tr>
      <w:tr>
        <w:trPr>
          <w:trHeight w:val="103" w:hRule="atLeast"/>
        </w:trPr>
        <w:tc>
          <w:tcPr>
            <w:tcW w:w="4393"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18"/>
                <w:szCs w:val="18"/>
              </w:rPr>
            </w:pPr>
            <w:r>
              <w:rPr>
                <w:sz w:val="18"/>
                <w:szCs w:val="18"/>
              </w:rPr>
              <w:t xml:space="preserve">Количество стояков </w:t>
            </w:r>
          </w:p>
        </w:tc>
        <w:tc>
          <w:tcPr>
            <w:tcW w:w="5529"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18"/>
                <w:szCs w:val="18"/>
              </w:rPr>
            </w:pPr>
            <w:r>
              <w:rPr>
                <w:sz w:val="18"/>
                <w:szCs w:val="18"/>
              </w:rPr>
              <w:t>50 шт.</w:t>
            </w:r>
          </w:p>
        </w:tc>
      </w:tr>
      <w:tr>
        <w:trPr>
          <w:trHeight w:val="103" w:hRule="atLeast"/>
        </w:trPr>
        <w:tc>
          <w:tcPr>
            <w:tcW w:w="4393"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18"/>
                <w:szCs w:val="18"/>
              </w:rPr>
            </w:pPr>
            <w:r>
              <w:rPr>
                <w:sz w:val="18"/>
                <w:szCs w:val="18"/>
              </w:rPr>
              <w:t xml:space="preserve">Магистрали (материалы) </w:t>
            </w:r>
          </w:p>
        </w:tc>
        <w:tc>
          <w:tcPr>
            <w:tcW w:w="5529"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18"/>
                <w:szCs w:val="18"/>
              </w:rPr>
            </w:pPr>
            <w:r>
              <w:rPr>
                <w:sz w:val="18"/>
                <w:szCs w:val="18"/>
              </w:rPr>
              <w:t xml:space="preserve">Металл </w:t>
            </w:r>
          </w:p>
        </w:tc>
      </w:tr>
      <w:tr>
        <w:trPr>
          <w:trHeight w:val="229" w:hRule="atLeast"/>
        </w:trPr>
        <w:tc>
          <w:tcPr>
            <w:tcW w:w="4393"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18"/>
                <w:szCs w:val="18"/>
              </w:rPr>
            </w:pPr>
            <w:r>
              <w:rPr>
                <w:sz w:val="18"/>
                <w:szCs w:val="18"/>
              </w:rPr>
              <w:t xml:space="preserve">Насосное оборудование ИТП </w:t>
            </w:r>
          </w:p>
        </w:tc>
        <w:tc>
          <w:tcPr>
            <w:tcW w:w="5529"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18"/>
                <w:szCs w:val="18"/>
                <w:lang w:val="en-US"/>
              </w:rPr>
            </w:pPr>
            <w:r>
              <w:rPr>
                <w:sz w:val="18"/>
                <w:szCs w:val="18"/>
              </w:rPr>
              <w:t xml:space="preserve">Циркуляция отопления: </w:t>
            </w:r>
          </w:p>
          <w:p>
            <w:pPr>
              <w:pStyle w:val="Normal"/>
              <w:widowControl w:val="false"/>
              <w:jc w:val="both"/>
              <w:rPr/>
            </w:pPr>
            <w:r>
              <w:rPr>
                <w:sz w:val="18"/>
                <w:szCs w:val="18"/>
                <w:lang w:val="en-US"/>
              </w:rPr>
              <w:t>Da</w:t>
            </w:r>
            <w:r>
              <w:rPr>
                <w:sz w:val="18"/>
                <w:szCs w:val="18"/>
              </w:rPr>
              <w:t>nfoss</w:t>
            </w:r>
            <w:r>
              <w:rPr>
                <w:color w:val="FF0000"/>
                <w:sz w:val="18"/>
                <w:szCs w:val="18"/>
              </w:rPr>
              <w:t xml:space="preserve"> </w:t>
            </w:r>
            <w:r>
              <w:rPr>
                <w:sz w:val="18"/>
                <w:szCs w:val="18"/>
              </w:rPr>
              <w:t>Ду 40</w:t>
            </w:r>
            <w:r>
              <w:rPr>
                <w:color w:val="FF0000"/>
                <w:sz w:val="18"/>
                <w:szCs w:val="18"/>
              </w:rPr>
              <w:t xml:space="preserve"> </w:t>
            </w:r>
            <w:r>
              <w:rPr>
                <w:sz w:val="18"/>
                <w:szCs w:val="18"/>
              </w:rPr>
              <w:t>– 2 шт,</w:t>
            </w:r>
            <w:r>
              <w:rPr>
                <w:color w:val="FF0000"/>
                <w:sz w:val="18"/>
                <w:szCs w:val="18"/>
              </w:rPr>
              <w:t xml:space="preserve"> </w:t>
            </w:r>
            <w:r>
              <w:rPr>
                <w:sz w:val="18"/>
                <w:szCs w:val="18"/>
              </w:rPr>
              <w:t>(при выходе из строя ремонт осуществляется по отдельному договору)</w:t>
            </w:r>
          </w:p>
        </w:tc>
      </w:tr>
      <w:tr>
        <w:trPr>
          <w:trHeight w:val="229" w:hRule="atLeast"/>
        </w:trPr>
        <w:tc>
          <w:tcPr>
            <w:tcW w:w="4393"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18"/>
                <w:szCs w:val="18"/>
              </w:rPr>
            </w:pPr>
            <w:r>
              <w:rPr>
                <w:sz w:val="18"/>
                <w:szCs w:val="18"/>
              </w:rPr>
              <w:t xml:space="preserve">Электропривод </w:t>
            </w:r>
          </w:p>
        </w:tc>
        <w:tc>
          <w:tcPr>
            <w:tcW w:w="5529"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18"/>
                <w:szCs w:val="18"/>
              </w:rPr>
            </w:pPr>
            <w:r>
              <w:rPr>
                <w:sz w:val="18"/>
                <w:szCs w:val="18"/>
              </w:rPr>
              <w:t>РП-А-02      – 1 шт.</w:t>
            </w:r>
          </w:p>
        </w:tc>
      </w:tr>
      <w:tr>
        <w:trPr>
          <w:trHeight w:val="230" w:hRule="atLeast"/>
        </w:trPr>
        <w:tc>
          <w:tcPr>
            <w:tcW w:w="4393"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18"/>
                <w:szCs w:val="18"/>
              </w:rPr>
            </w:pPr>
            <w:r>
              <w:rPr>
                <w:sz w:val="18"/>
                <w:szCs w:val="18"/>
              </w:rPr>
              <w:t xml:space="preserve">Манометры </w:t>
            </w:r>
          </w:p>
        </w:tc>
        <w:tc>
          <w:tcPr>
            <w:tcW w:w="5529"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18"/>
                <w:szCs w:val="18"/>
              </w:rPr>
            </w:pPr>
            <w:r>
              <w:rPr>
                <w:sz w:val="18"/>
                <w:szCs w:val="18"/>
              </w:rPr>
              <w:t>Манометры вакуумные (10 шт.)</w:t>
            </w:r>
          </w:p>
        </w:tc>
      </w:tr>
      <w:tr>
        <w:trPr>
          <w:trHeight w:val="356" w:hRule="atLeast"/>
        </w:trPr>
        <w:tc>
          <w:tcPr>
            <w:tcW w:w="4393"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18"/>
                <w:szCs w:val="18"/>
              </w:rPr>
            </w:pPr>
            <w:r>
              <w:rPr>
                <w:sz w:val="18"/>
                <w:szCs w:val="18"/>
              </w:rPr>
              <w:t xml:space="preserve">Радиаторы (тип, материалы) </w:t>
            </w:r>
          </w:p>
        </w:tc>
        <w:tc>
          <w:tcPr>
            <w:tcW w:w="5529"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18"/>
                <w:szCs w:val="18"/>
              </w:rPr>
            </w:pPr>
            <w:r>
              <w:rPr>
                <w:sz w:val="18"/>
                <w:szCs w:val="18"/>
              </w:rPr>
              <w:t xml:space="preserve">Чугунные радиаторы </w:t>
            </w:r>
          </w:p>
        </w:tc>
      </w:tr>
      <w:tr>
        <w:trPr>
          <w:trHeight w:val="356" w:hRule="atLeast"/>
        </w:trPr>
        <w:tc>
          <w:tcPr>
            <w:tcW w:w="4393"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18"/>
                <w:szCs w:val="18"/>
              </w:rPr>
            </w:pPr>
            <w:r>
              <w:rPr>
                <w:sz w:val="18"/>
                <w:szCs w:val="18"/>
              </w:rPr>
              <w:t>Дренажная система в ИТП</w:t>
            </w:r>
          </w:p>
        </w:tc>
        <w:tc>
          <w:tcPr>
            <w:tcW w:w="5529"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18"/>
                <w:szCs w:val="18"/>
              </w:rPr>
            </w:pPr>
            <w:r>
              <w:rPr>
                <w:sz w:val="18"/>
                <w:szCs w:val="18"/>
              </w:rPr>
              <w:t>Погружной насос – 1 шт. (при выходе из строя ремонт насоса осуществляется по отдельному договору)</w:t>
            </w:r>
          </w:p>
        </w:tc>
      </w:tr>
      <w:tr>
        <w:trPr>
          <w:trHeight w:val="103" w:hRule="atLeast"/>
        </w:trPr>
        <w:tc>
          <w:tcPr>
            <w:tcW w:w="9922"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b/>
                <w:sz w:val="18"/>
                <w:szCs w:val="18"/>
              </w:rPr>
            </w:pPr>
            <w:r>
              <w:rPr>
                <w:b/>
                <w:sz w:val="18"/>
                <w:szCs w:val="18"/>
              </w:rPr>
              <w:t>Водоснабжение и канализация</w:t>
            </w:r>
          </w:p>
        </w:tc>
      </w:tr>
      <w:tr>
        <w:trPr>
          <w:trHeight w:val="103" w:hRule="atLeast"/>
        </w:trPr>
        <w:tc>
          <w:tcPr>
            <w:tcW w:w="4393"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18"/>
                <w:szCs w:val="18"/>
              </w:rPr>
            </w:pPr>
            <w:r>
              <w:rPr>
                <w:sz w:val="18"/>
                <w:szCs w:val="18"/>
              </w:rPr>
              <w:t>Среднемесячное водопотребление</w:t>
            </w:r>
          </w:p>
        </w:tc>
        <w:tc>
          <w:tcPr>
            <w:tcW w:w="5529"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18"/>
                <w:szCs w:val="18"/>
              </w:rPr>
            </w:pPr>
            <w:r>
              <w:rPr>
                <w:sz w:val="18"/>
                <w:szCs w:val="18"/>
              </w:rPr>
              <w:t>95 м³</w:t>
            </w:r>
          </w:p>
        </w:tc>
      </w:tr>
      <w:tr>
        <w:trPr>
          <w:trHeight w:val="229" w:hRule="atLeast"/>
        </w:trPr>
        <w:tc>
          <w:tcPr>
            <w:tcW w:w="4393"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18"/>
                <w:szCs w:val="18"/>
              </w:rPr>
            </w:pPr>
            <w:r>
              <w:rPr>
                <w:sz w:val="18"/>
                <w:szCs w:val="18"/>
              </w:rPr>
              <w:t>Водомерный узел,                                     тип водомера, срок окончания поверки</w:t>
            </w:r>
          </w:p>
        </w:tc>
        <w:tc>
          <w:tcPr>
            <w:tcW w:w="5529"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18"/>
                <w:szCs w:val="18"/>
              </w:rPr>
            </w:pPr>
            <w:r>
              <w:rPr>
                <w:sz w:val="18"/>
                <w:szCs w:val="18"/>
              </w:rPr>
              <w:t>Счетчик расположен в цокольном этаже здания пристройки, СГВ-20, зав. № 20746688 (до 03.06.2027)</w:t>
            </w:r>
          </w:p>
        </w:tc>
      </w:tr>
      <w:tr>
        <w:trPr>
          <w:trHeight w:val="229" w:hRule="atLeast"/>
        </w:trPr>
        <w:tc>
          <w:tcPr>
            <w:tcW w:w="4393"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18"/>
                <w:szCs w:val="18"/>
              </w:rPr>
            </w:pPr>
            <w:r>
              <w:rPr>
                <w:sz w:val="18"/>
                <w:szCs w:val="18"/>
              </w:rPr>
              <w:t>Счетчики холодной воды, Ду 15</w:t>
            </w:r>
          </w:p>
        </w:tc>
        <w:tc>
          <w:tcPr>
            <w:tcW w:w="5529"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18"/>
                <w:szCs w:val="18"/>
              </w:rPr>
            </w:pPr>
            <w:r>
              <w:rPr>
                <w:sz w:val="18"/>
                <w:szCs w:val="18"/>
              </w:rPr>
              <w:t>Кол-во 6 шт. (основное здание)</w:t>
            </w:r>
          </w:p>
        </w:tc>
      </w:tr>
      <w:tr>
        <w:trPr>
          <w:trHeight w:val="356" w:hRule="atLeast"/>
        </w:trPr>
        <w:tc>
          <w:tcPr>
            <w:tcW w:w="4393"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18"/>
                <w:szCs w:val="18"/>
              </w:rPr>
            </w:pPr>
            <w:r>
              <w:rPr>
                <w:sz w:val="18"/>
                <w:szCs w:val="18"/>
              </w:rPr>
              <w:t xml:space="preserve">Горячее водоснабжение </w:t>
            </w:r>
          </w:p>
          <w:p>
            <w:pPr>
              <w:pStyle w:val="Normal"/>
              <w:widowControl w:val="false"/>
              <w:jc w:val="both"/>
              <w:rPr>
                <w:sz w:val="18"/>
                <w:szCs w:val="18"/>
              </w:rPr>
            </w:pPr>
            <w:r>
              <w:rPr>
                <w:sz w:val="18"/>
                <w:szCs w:val="18"/>
              </w:rPr>
              <w:t xml:space="preserve">(Основное здание, здание пристройки) </w:t>
            </w:r>
          </w:p>
        </w:tc>
        <w:tc>
          <w:tcPr>
            <w:tcW w:w="5529"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18"/>
                <w:szCs w:val="18"/>
              </w:rPr>
            </w:pPr>
            <w:r>
              <w:rPr>
                <w:sz w:val="18"/>
                <w:szCs w:val="18"/>
              </w:rPr>
              <w:t>Водонагреватели: 12 штук</w:t>
            </w:r>
          </w:p>
          <w:p>
            <w:pPr>
              <w:pStyle w:val="Normal"/>
              <w:widowControl w:val="false"/>
              <w:jc w:val="both"/>
              <w:rPr>
                <w:sz w:val="18"/>
                <w:szCs w:val="18"/>
              </w:rPr>
            </w:pPr>
            <w:r>
              <w:rPr>
                <w:sz w:val="18"/>
                <w:szCs w:val="18"/>
              </w:rPr>
            </w:r>
          </w:p>
        </w:tc>
      </w:tr>
      <w:tr>
        <w:trPr>
          <w:trHeight w:val="103" w:hRule="atLeast"/>
        </w:trPr>
        <w:tc>
          <w:tcPr>
            <w:tcW w:w="4393"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18"/>
                <w:szCs w:val="18"/>
              </w:rPr>
            </w:pPr>
            <w:r>
              <w:rPr>
                <w:sz w:val="18"/>
                <w:szCs w:val="18"/>
              </w:rPr>
              <w:t xml:space="preserve">Тип канализации </w:t>
            </w:r>
          </w:p>
          <w:p>
            <w:pPr>
              <w:pStyle w:val="Normal"/>
              <w:widowControl w:val="false"/>
              <w:jc w:val="both"/>
              <w:rPr>
                <w:sz w:val="18"/>
                <w:szCs w:val="18"/>
              </w:rPr>
            </w:pPr>
            <w:r>
              <w:rPr>
                <w:sz w:val="18"/>
                <w:szCs w:val="18"/>
              </w:rPr>
              <w:t>(Основное здание, здание пристройки)</w:t>
            </w:r>
          </w:p>
        </w:tc>
        <w:tc>
          <w:tcPr>
            <w:tcW w:w="5529"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18"/>
                <w:szCs w:val="18"/>
              </w:rPr>
            </w:pPr>
            <w:r>
              <w:rPr>
                <w:sz w:val="18"/>
                <w:szCs w:val="18"/>
              </w:rPr>
              <w:t>Центральная</w:t>
            </w:r>
          </w:p>
        </w:tc>
      </w:tr>
      <w:tr>
        <w:trPr>
          <w:trHeight w:val="356" w:hRule="atLeast"/>
        </w:trPr>
        <w:tc>
          <w:tcPr>
            <w:tcW w:w="4393"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18"/>
                <w:szCs w:val="18"/>
              </w:rPr>
            </w:pPr>
            <w:r>
              <w:rPr>
                <w:sz w:val="18"/>
                <w:szCs w:val="18"/>
              </w:rPr>
              <w:t xml:space="preserve">Количество </w:t>
            </w:r>
          </w:p>
          <w:p>
            <w:pPr>
              <w:pStyle w:val="Normal"/>
              <w:widowControl w:val="false"/>
              <w:jc w:val="both"/>
              <w:rPr>
                <w:sz w:val="18"/>
                <w:szCs w:val="18"/>
              </w:rPr>
            </w:pPr>
            <w:r>
              <w:rPr>
                <w:sz w:val="18"/>
                <w:szCs w:val="18"/>
              </w:rPr>
              <w:t xml:space="preserve">санитарно-технического оборудования </w:t>
            </w:r>
          </w:p>
          <w:p>
            <w:pPr>
              <w:pStyle w:val="Normal"/>
              <w:widowControl w:val="false"/>
              <w:jc w:val="both"/>
              <w:rPr>
                <w:sz w:val="18"/>
                <w:szCs w:val="18"/>
              </w:rPr>
            </w:pPr>
            <w:r>
              <w:rPr>
                <w:sz w:val="18"/>
                <w:szCs w:val="18"/>
              </w:rPr>
              <w:t>(Основное здание, здание пристройки)</w:t>
            </w:r>
          </w:p>
        </w:tc>
        <w:tc>
          <w:tcPr>
            <w:tcW w:w="5529"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18"/>
                <w:szCs w:val="18"/>
              </w:rPr>
            </w:pPr>
            <w:r>
              <w:rPr>
                <w:sz w:val="18"/>
                <w:szCs w:val="18"/>
              </w:rPr>
              <w:t>Унитазы -  21 шт.</w:t>
            </w:r>
          </w:p>
          <w:p>
            <w:pPr>
              <w:pStyle w:val="Normal"/>
              <w:widowControl w:val="false"/>
              <w:jc w:val="both"/>
              <w:rPr>
                <w:sz w:val="18"/>
                <w:szCs w:val="18"/>
              </w:rPr>
            </w:pPr>
            <w:r>
              <w:rPr>
                <w:sz w:val="18"/>
                <w:szCs w:val="18"/>
              </w:rPr>
              <w:t xml:space="preserve">Раковины – 22 шт. </w:t>
            </w:r>
          </w:p>
          <w:p>
            <w:pPr>
              <w:pStyle w:val="Normal"/>
              <w:widowControl w:val="false"/>
              <w:jc w:val="both"/>
              <w:rPr>
                <w:sz w:val="18"/>
                <w:szCs w:val="18"/>
              </w:rPr>
            </w:pPr>
            <w:r>
              <w:rPr>
                <w:sz w:val="18"/>
                <w:szCs w:val="18"/>
              </w:rPr>
              <w:t>Смесители – 22 шт.</w:t>
            </w:r>
          </w:p>
          <w:p>
            <w:pPr>
              <w:pStyle w:val="Normal"/>
              <w:widowControl w:val="false"/>
              <w:jc w:val="both"/>
              <w:rPr>
                <w:sz w:val="18"/>
                <w:szCs w:val="18"/>
              </w:rPr>
            </w:pPr>
            <w:r>
              <w:rPr>
                <w:sz w:val="18"/>
                <w:szCs w:val="18"/>
              </w:rPr>
              <w:t>Душевые кабины -  5 шт.</w:t>
            </w:r>
          </w:p>
        </w:tc>
      </w:tr>
    </w:tbl>
    <w:p>
      <w:pPr>
        <w:pStyle w:val="Normal"/>
        <w:widowControl w:val="false"/>
        <w:jc w:val="both"/>
        <w:rPr>
          <w:b/>
          <w:sz w:val="18"/>
          <w:szCs w:val="18"/>
        </w:rPr>
      </w:pPr>
      <w:r>
        <w:rPr>
          <w:b/>
          <w:sz w:val="18"/>
          <w:szCs w:val="18"/>
        </w:rPr>
      </w:r>
    </w:p>
    <w:p>
      <w:pPr>
        <w:pStyle w:val="Normal"/>
        <w:jc w:val="center"/>
        <w:rPr>
          <w:b/>
          <w:sz w:val="18"/>
          <w:szCs w:val="18"/>
        </w:rPr>
      </w:pPr>
      <w:r>
        <w:rPr>
          <w:b/>
          <w:sz w:val="18"/>
          <w:szCs w:val="18"/>
        </w:rPr>
        <w:t>УСЛУГИ, ОКАЗЫВАЕМЫЕ ПО ЗАЯВКЕ</w:t>
      </w:r>
    </w:p>
    <w:p>
      <w:pPr>
        <w:pStyle w:val="Normal"/>
        <w:jc w:val="center"/>
        <w:rPr>
          <w:b/>
          <w:sz w:val="18"/>
          <w:szCs w:val="18"/>
        </w:rPr>
      </w:pPr>
      <w:r>
        <w:rPr>
          <w:b/>
          <w:sz w:val="18"/>
          <w:szCs w:val="18"/>
        </w:rPr>
      </w:r>
    </w:p>
    <w:tbl>
      <w:tblPr>
        <w:tblW w:w="9935" w:type="dxa"/>
        <w:jc w:val="start"/>
        <w:tblInd w:w="-17" w:type="dxa"/>
        <w:tblLayout w:type="fixed"/>
        <w:tblCellMar>
          <w:top w:w="0" w:type="dxa"/>
          <w:start w:w="108" w:type="dxa"/>
          <w:bottom w:w="0" w:type="dxa"/>
          <w:end w:w="108" w:type="dxa"/>
        </w:tblCellMar>
      </w:tblPr>
      <w:tblGrid>
        <w:gridCol w:w="836"/>
        <w:gridCol w:w="3340"/>
        <w:gridCol w:w="485"/>
        <w:gridCol w:w="439"/>
        <w:gridCol w:w="407"/>
        <w:gridCol w:w="4428"/>
      </w:tblGrid>
      <w:tr>
        <w:trPr>
          <w:trHeight w:val="271"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 xml:space="preserve">№ </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Виды работ</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Ед. изм.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Применяемые материалы и комплектующие</w:t>
            </w:r>
          </w:p>
        </w:tc>
      </w:tr>
      <w:tr>
        <w:trPr>
          <w:trHeight w:val="263"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b/>
                <w:bCs/>
                <w:i/>
                <w:i/>
                <w:iCs/>
                <w:sz w:val="18"/>
                <w:szCs w:val="18"/>
              </w:rPr>
            </w:pPr>
            <w:r>
              <w:rPr>
                <w:b/>
                <w:bCs/>
                <w:i/>
                <w:iCs/>
                <w:sz w:val="18"/>
                <w:szCs w:val="18"/>
              </w:rPr>
              <w:t> </w:t>
            </w:r>
          </w:p>
        </w:tc>
        <w:tc>
          <w:tcPr>
            <w:tcW w:w="9099" w:type="dxa"/>
            <w:gridSpan w:val="5"/>
            <w:tcBorders>
              <w:top w:val="single" w:sz="4" w:space="0" w:color="000000"/>
              <w:start w:val="single" w:sz="4" w:space="0" w:color="000000"/>
              <w:bottom w:val="single" w:sz="4" w:space="0" w:color="000000"/>
              <w:end w:val="single" w:sz="4" w:space="0" w:color="000000"/>
            </w:tcBorders>
          </w:tcPr>
          <w:p>
            <w:pPr>
              <w:pStyle w:val="Normal"/>
              <w:widowControl w:val="false"/>
              <w:jc w:val="center"/>
              <w:rPr>
                <w:b/>
                <w:bCs/>
                <w:sz w:val="18"/>
                <w:szCs w:val="18"/>
              </w:rPr>
            </w:pPr>
            <w:r>
              <w:rPr>
                <w:b/>
                <w:bCs/>
                <w:sz w:val="18"/>
                <w:szCs w:val="18"/>
              </w:rPr>
              <w:t>РАЗДЕЛ 1. ВНУТРЕННИЕ САНИТАРНО-ТЕХНИЧЕСКИЕ РАБОТЫ</w:t>
            </w:r>
          </w:p>
        </w:tc>
      </w:tr>
      <w:tr>
        <w:trPr>
          <w:trHeight w:val="300"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 </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b/>
                <w:bCs/>
                <w:sz w:val="18"/>
                <w:szCs w:val="18"/>
              </w:rPr>
            </w:pPr>
            <w:r>
              <w:rPr>
                <w:b/>
                <w:bCs/>
                <w:sz w:val="18"/>
                <w:szCs w:val="18"/>
              </w:rPr>
              <w:t>РАЗБОРКА ТРУБОПРОВОДОВ</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 </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 </w:t>
            </w:r>
          </w:p>
        </w:tc>
      </w:tr>
      <w:tr>
        <w:trPr>
          <w:trHeight w:val="463"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Разборка трубопроводов из водогазопроводных труб диаметром: до 32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кислород, ацетилен (входят в стоимость единицы работы)</w:t>
            </w:r>
          </w:p>
        </w:tc>
      </w:tr>
      <w:tr>
        <w:trPr>
          <w:trHeight w:val="165"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до 63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 </w:t>
            </w:r>
          </w:p>
        </w:tc>
      </w:tr>
      <w:tr>
        <w:trPr>
          <w:trHeight w:val="156"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до 100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 </w:t>
            </w:r>
          </w:p>
        </w:tc>
      </w:tr>
      <w:tr>
        <w:trPr>
          <w:trHeight w:val="300"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2</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Разборка трубопроводов из полиэтиленовых канализационных труб диаметром: 50, 110мм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451"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3</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Разборка трубопроводов из чугунных канализационных труб диаметром: 50мм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117"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100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273"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4</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Демонтаж труб полипропиленовых диаметром до 50мм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122"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 </w:t>
            </w:r>
          </w:p>
        </w:tc>
        <w:tc>
          <w:tcPr>
            <w:tcW w:w="9099" w:type="dxa"/>
            <w:gridSpan w:val="5"/>
            <w:tcBorders>
              <w:top w:val="single" w:sz="4" w:space="0" w:color="000000"/>
              <w:start w:val="single" w:sz="4" w:space="0" w:color="000000"/>
              <w:bottom w:val="single" w:sz="4" w:space="0" w:color="000000"/>
              <w:end w:val="single" w:sz="4" w:space="0" w:color="000000"/>
            </w:tcBorders>
          </w:tcPr>
          <w:p>
            <w:pPr>
              <w:pStyle w:val="Normal"/>
              <w:widowControl w:val="false"/>
              <w:jc w:val="center"/>
              <w:rPr>
                <w:b/>
                <w:bCs/>
                <w:sz w:val="18"/>
                <w:szCs w:val="18"/>
              </w:rPr>
            </w:pPr>
            <w:r>
              <w:rPr>
                <w:b/>
                <w:bCs/>
                <w:sz w:val="18"/>
                <w:szCs w:val="18"/>
              </w:rPr>
              <w:t>СМЕНА ТРУБОПРОВОДОВ ХГВС</w:t>
            </w:r>
          </w:p>
        </w:tc>
      </w:tr>
      <w:tr>
        <w:trPr>
          <w:trHeight w:val="465"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5</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Смена внутренних трубопроводов из чугунных канализационных труб диаметром: до 50 мм</w:t>
            </w:r>
          </w:p>
        </w:tc>
        <w:tc>
          <w:tcPr>
            <w:tcW w:w="846"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м/кг</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Крепления для трубопроводов оцинкованные: кронштейны, планки, хомуты</w:t>
            </w:r>
          </w:p>
        </w:tc>
      </w:tr>
      <w:tr>
        <w:trPr>
          <w:trHeight w:val="290"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труба чугунная канализационная диаметром 50мм</w:t>
            </w:r>
          </w:p>
        </w:tc>
      </w:tr>
      <w:tr>
        <w:trPr>
          <w:trHeight w:val="450"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6</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Смена внутренних трубопроводов из чугунных канализационных труб диаметром: до 100 мм</w:t>
            </w:r>
          </w:p>
        </w:tc>
        <w:tc>
          <w:tcPr>
            <w:tcW w:w="846"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м/кг</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Крепления для трубопроводов оцинкованные: кронштейны, планки, хомуты</w:t>
            </w:r>
          </w:p>
        </w:tc>
      </w:tr>
      <w:tr>
        <w:trPr>
          <w:trHeight w:val="196"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труба чугунная канализационная диаметром 110мм</w:t>
            </w:r>
          </w:p>
        </w:tc>
      </w:tr>
      <w:tr>
        <w:trPr>
          <w:trHeight w:val="683"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7</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Смена трубопроводов из полиэтиленовых канализационных труб диаметром: до 50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Блок трубопровода полиэтиленовый для систем водоотведения из труб высокой плотности, диаметр 50 мм, с гильзами</w:t>
            </w:r>
          </w:p>
        </w:tc>
      </w:tr>
      <w:tr>
        <w:trPr>
          <w:trHeight w:val="693"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8</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Смена трубопроводов из полиэтиленовых канализационных труб диаметром: до 100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Блок трубопровода полиэтиленовый для систем водоотведения из труб высокой плотности, диаметр 110 мм, с гильзами</w:t>
            </w:r>
          </w:p>
        </w:tc>
      </w:tr>
      <w:tr>
        <w:trPr>
          <w:trHeight w:val="635"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9</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Смена внутренних трубопроводов из стальных труб диаметром: до 15 мм</w:t>
            </w:r>
          </w:p>
        </w:tc>
        <w:tc>
          <w:tcPr>
            <w:tcW w:w="846"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Узлы трубопроводов укрупненные монтажные из стальных водогазопроводных оцинкованных труб диаметром 15 мм</w:t>
            </w:r>
          </w:p>
        </w:tc>
      </w:tr>
      <w:tr>
        <w:trPr>
          <w:trHeight w:val="588"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11Б41п3, номинальное давление 1,6 МПа (16 кгс/см2), номинальный диаметр 15 мм, присоединение к трубопроводу муфтовое</w:t>
            </w:r>
          </w:p>
        </w:tc>
      </w:tr>
      <w:tr>
        <w:trPr>
          <w:trHeight w:val="541"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10</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Смена внутренних трубопроводов из стальных труб диаметром: до 20 мм</w:t>
            </w:r>
          </w:p>
        </w:tc>
        <w:tc>
          <w:tcPr>
            <w:tcW w:w="846"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Узлы трубопроводов укрупненные монтажные из стальных водогазопроводных оцинкованных труб диаметром 20 мм</w:t>
            </w:r>
          </w:p>
        </w:tc>
      </w:tr>
      <w:tr>
        <w:trPr>
          <w:trHeight w:val="665"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11Б41п3, номинальное давление 1,6 МПа (16 кгс/см2), номинальный диаметр 20 мм, присоединение к трубопроводу муфтовое</w:t>
            </w:r>
          </w:p>
        </w:tc>
      </w:tr>
      <w:tr>
        <w:trPr>
          <w:trHeight w:val="543"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11</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Смена внутренних трубопроводов из стальных труб диаметром: до 25 мм</w:t>
            </w:r>
          </w:p>
        </w:tc>
        <w:tc>
          <w:tcPr>
            <w:tcW w:w="846"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Узлы трубопроводов укрупненные монтажные из стальных водогазопроводных оцинкованных труб диаметром 25 мм</w:t>
            </w:r>
          </w:p>
        </w:tc>
      </w:tr>
      <w:tr>
        <w:trPr>
          <w:trHeight w:val="660"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11Б41п3, номинальное давление 1,6 МПа (16 кгс/см2), номинальный диаметр 25 мм, присоединение к трубопроводу муфтовое</w:t>
            </w:r>
          </w:p>
        </w:tc>
      </w:tr>
      <w:tr>
        <w:trPr>
          <w:trHeight w:val="603"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12</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Смена внутренних трубопроводов из стальных труб диаметром: до 32 мм</w:t>
            </w:r>
          </w:p>
        </w:tc>
        <w:tc>
          <w:tcPr>
            <w:tcW w:w="846"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Узлы трубопроводов укрупненные монтажные из стальных водогазопроводных оцинкованных труб диаметром 32 мм</w:t>
            </w:r>
          </w:p>
        </w:tc>
      </w:tr>
      <w:tr>
        <w:trPr>
          <w:trHeight w:val="645"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11Б41п3, номинальное давление 1,6 МПа (16 кгс/см2), номинальный диаметр 32 мм, присоединение к трубопроводу муфтовое</w:t>
            </w:r>
          </w:p>
        </w:tc>
      </w:tr>
      <w:tr>
        <w:trPr>
          <w:trHeight w:val="607"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13</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Смена внутренних трубопроводов из стальных труб диаметром: до 40 мм</w:t>
            </w:r>
          </w:p>
        </w:tc>
        <w:tc>
          <w:tcPr>
            <w:tcW w:w="846"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Узлы трубопроводов укрупненные монтажные из стальных водогазопроводных оцинкованных труб диаметром 40 мм</w:t>
            </w:r>
          </w:p>
        </w:tc>
      </w:tr>
      <w:tr>
        <w:trPr>
          <w:trHeight w:val="705"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11Б41п3, номинальное давление 1,6 МПа (16 кгс/см2), номинальный диаметр 40 мм, присоединение к трубопроводу муфтовое</w:t>
            </w:r>
          </w:p>
        </w:tc>
      </w:tr>
      <w:tr>
        <w:trPr>
          <w:trHeight w:val="555"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14</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Смена внутренних трубопроводов из стальных труб диаметром: до 50 мм</w:t>
            </w:r>
          </w:p>
        </w:tc>
        <w:tc>
          <w:tcPr>
            <w:tcW w:w="846"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Узлы трубопроводов укрупненные монтажные из стальных водогазопроводных оцинкованных труб диаметром 50 мм</w:t>
            </w:r>
          </w:p>
        </w:tc>
      </w:tr>
      <w:tr>
        <w:trPr>
          <w:trHeight w:val="750"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11Б41п3, номинальное давление 1,6 МПа (16 кгс/см2), номинальный диаметр 50 мм, присоединение к трубопроводу муфтовое</w:t>
            </w:r>
          </w:p>
        </w:tc>
      </w:tr>
      <w:tr>
        <w:trPr>
          <w:trHeight w:val="521"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15</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Смена внутренних трубопроводов из стальных труб диаметром: до 65 мм</w:t>
            </w:r>
          </w:p>
        </w:tc>
        <w:tc>
          <w:tcPr>
            <w:tcW w:w="846"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Узлы трубопроводов укрупненные монтажные из стальных водогазопроводных оцинкованных труб диаметром 65 мм</w:t>
            </w:r>
          </w:p>
        </w:tc>
      </w:tr>
      <w:tr>
        <w:trPr>
          <w:trHeight w:val="396"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Краны шаровые с фланцевым присоединением, с ручкой, давлением: 1,6 МПа, диаметром 65 мм</w:t>
            </w:r>
          </w:p>
        </w:tc>
      </w:tr>
      <w:tr>
        <w:trPr>
          <w:trHeight w:val="450"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16</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Смена внутренних трубопроводов из стальных труб диаметром: до 80 мм</w:t>
            </w:r>
          </w:p>
        </w:tc>
        <w:tc>
          <w:tcPr>
            <w:tcW w:w="846"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Узлы трубопроводов укрупненные монтажные из стальных водогазопроводных оцинкованных труб диаметром 80 мм</w:t>
            </w:r>
          </w:p>
        </w:tc>
      </w:tr>
      <w:tr>
        <w:trPr>
          <w:trHeight w:val="378"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Краны шаровые с фланцевым присоединением, с ручкой, давлением: 1,6 МПа, диаметром 80 мм</w:t>
            </w:r>
          </w:p>
        </w:tc>
      </w:tr>
      <w:tr>
        <w:trPr>
          <w:trHeight w:val="217"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17</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Замена внутренних трубопроводов водоснабжения из стальных труб на многослойные металлополимерные трубы: диаметром до 15 мм</w:t>
            </w:r>
          </w:p>
        </w:tc>
        <w:tc>
          <w:tcPr>
            <w:tcW w:w="846"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Муфта цанговая для металлополимерных труб,  диаметр 16 x16 мм</w:t>
            </w:r>
          </w:p>
        </w:tc>
      </w:tr>
      <w:tr>
        <w:trPr>
          <w:trHeight w:val="689"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Трубы металлополимерные многослойные для холодного водоснабжения, номинальное давление 1 МПа (10 кгс/см2), температура до 30 °C, диаметр 15 мм</w:t>
            </w:r>
          </w:p>
        </w:tc>
      </w:tr>
      <w:tr>
        <w:trPr>
          <w:trHeight w:val="705"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11Б41п3, номинальное давление 1,6 МПа (16 кгс/см2), номинальный диаметр 15 мм, присоединение к трубопроводу цанговое</w:t>
            </w:r>
          </w:p>
        </w:tc>
      </w:tr>
      <w:tr>
        <w:trPr>
          <w:trHeight w:val="269"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18</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Замена внутренних трубопроводов водоснабжения из стальных труб на многослойные металлополимерные трубы: диаметром  20 мм</w:t>
            </w:r>
          </w:p>
        </w:tc>
        <w:tc>
          <w:tcPr>
            <w:tcW w:w="846"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Муфта цанговая для металлополимерных труб,  диаметр 20 x20 мм</w:t>
            </w:r>
          </w:p>
        </w:tc>
      </w:tr>
      <w:tr>
        <w:trPr>
          <w:trHeight w:val="699"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Трубы металлополимерные многослойные для холодного водоснабжения, номинальное давление 1 МПа (10 кгс/см2), температура до 30 °C, диаметр 20 мм</w:t>
            </w:r>
          </w:p>
        </w:tc>
      </w:tr>
      <w:tr>
        <w:trPr>
          <w:trHeight w:val="690"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11Б41п3, номинальное давление 1,6 МПа (16 кгс/см2), номинальный диаметр 20 мм, присоединение к трубопроводу цанговое</w:t>
            </w:r>
          </w:p>
        </w:tc>
      </w:tr>
      <w:tr>
        <w:trPr>
          <w:trHeight w:val="279"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19</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Замена внутренних трубопроводов водоснабжения из стальных труб на многослойные металлополимерные трубы: диаметром  25 мм</w:t>
            </w:r>
          </w:p>
        </w:tc>
        <w:tc>
          <w:tcPr>
            <w:tcW w:w="846"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Муфта цанговая для металлополимерных труб,  диаметр 25 x25 мм</w:t>
            </w:r>
          </w:p>
        </w:tc>
      </w:tr>
      <w:tr>
        <w:trPr>
          <w:trHeight w:val="709"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Трубы металлополимерные многослойные для холодного водоснабжения, номинальное давление 1 МПа (10 кгс/см2), температура до 30 °C, диаметр 25 мм</w:t>
            </w:r>
          </w:p>
        </w:tc>
      </w:tr>
      <w:tr>
        <w:trPr>
          <w:trHeight w:val="690"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11Б41п3, номинальное давление 1,6 МПа (16 кгс/см2), номинальный диаметр 25 мм, присоединение к трубопроводу цанговое</w:t>
            </w:r>
          </w:p>
        </w:tc>
      </w:tr>
      <w:tr>
        <w:trPr>
          <w:trHeight w:val="463"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20</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Замена внутренних трубопроводов водоснабжения из стальных труб на многослойные полипропиленовые трубы: диаметром 20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Трубы  трёхслойные полипропиленовые PPR-C, армированные алюминием, диаметр 20 мм</w:t>
            </w:r>
          </w:p>
        </w:tc>
      </w:tr>
      <w:tr>
        <w:trPr>
          <w:trHeight w:val="266"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Муфта соединительная диаметром 20мм</w:t>
            </w:r>
          </w:p>
        </w:tc>
      </w:tr>
      <w:tr>
        <w:trPr>
          <w:trHeight w:val="417"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21</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Замена внутренних трубопроводов водоснабжения из стальных труб на многослойные полипропиленовые трубы: диаметром 25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Трубы  трёхслойные полипропиленовые PPR-C, армированные алюминием, диаметр 25 мм</w:t>
            </w:r>
          </w:p>
        </w:tc>
      </w:tr>
      <w:tr>
        <w:trPr>
          <w:trHeight w:val="225"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Муфта соединительная диаметром 25мм</w:t>
            </w:r>
          </w:p>
        </w:tc>
      </w:tr>
      <w:tr>
        <w:trPr>
          <w:trHeight w:val="328"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22</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Замена внутренних трубопроводов водоснабжения из стальных труб на многослойные полипропиленовые трубы: диаметром 32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Трубы  трёхслойные полипропиленовые PPR-C, армированные стекловолокном, диаметр 32 мм</w:t>
            </w:r>
          </w:p>
        </w:tc>
      </w:tr>
      <w:tr>
        <w:trPr>
          <w:trHeight w:val="285"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Муфта соединительная диаметром 32мм</w:t>
            </w:r>
          </w:p>
        </w:tc>
      </w:tr>
      <w:tr>
        <w:trPr>
          <w:trHeight w:val="323"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23 </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Замена внутренних трубопроводов водоснабжения из стальных труб на многослойные полипропиленовые трубы: диаметром 50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Трубы  трёхслойные полипропиленовые PPR-C, армированные стекловолокном, диаметр 50 мм</w:t>
            </w:r>
          </w:p>
        </w:tc>
      </w:tr>
      <w:tr>
        <w:trPr>
          <w:trHeight w:val="300"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Муфта соединительная диаметром 50мм</w:t>
            </w:r>
          </w:p>
        </w:tc>
      </w:tr>
      <w:tr>
        <w:trPr>
          <w:trHeight w:val="255"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 </w:t>
            </w:r>
          </w:p>
        </w:tc>
        <w:tc>
          <w:tcPr>
            <w:tcW w:w="9099" w:type="dxa"/>
            <w:gridSpan w:val="5"/>
            <w:tcBorders>
              <w:top w:val="single" w:sz="4" w:space="0" w:color="000000"/>
              <w:start w:val="single" w:sz="4" w:space="0" w:color="000000"/>
              <w:bottom w:val="single" w:sz="4" w:space="0" w:color="000000"/>
              <w:end w:val="single" w:sz="4" w:space="0" w:color="000000"/>
            </w:tcBorders>
          </w:tcPr>
          <w:p>
            <w:pPr>
              <w:pStyle w:val="Normal"/>
              <w:widowControl w:val="false"/>
              <w:jc w:val="center"/>
              <w:rPr>
                <w:b/>
                <w:bCs/>
                <w:sz w:val="18"/>
                <w:szCs w:val="18"/>
              </w:rPr>
            </w:pPr>
            <w:r>
              <w:rPr>
                <w:b/>
                <w:bCs/>
                <w:sz w:val="18"/>
                <w:szCs w:val="18"/>
              </w:rPr>
              <w:t>ПРОКЛАДКА ТРУБОПРОВОДОВ ХГВС</w:t>
            </w:r>
          </w:p>
        </w:tc>
      </w:tr>
      <w:tr>
        <w:trPr>
          <w:trHeight w:val="452"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24</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внутренних трубопроводов канализации из полиэтиленовых труб диаметром: 50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Трубы полипропиленовые для систем водоотведения, диаметр 50 мм</w:t>
            </w:r>
          </w:p>
        </w:tc>
      </w:tr>
      <w:tr>
        <w:trPr>
          <w:trHeight w:val="415"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25</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внутренних трубопроводов канализации из полиэтиленовых труб диаметром: 110 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Трубы полипропиленовые для систем водоотведения, диаметр 110 мм</w:t>
            </w:r>
          </w:p>
        </w:tc>
      </w:tr>
      <w:tr>
        <w:trPr>
          <w:trHeight w:val="421"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26</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в траншеях трубопроводов из чугунных канализационных труб диаметром: 50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труба чугунная канализационная диаметром 50мм</w:t>
            </w:r>
          </w:p>
        </w:tc>
      </w:tr>
      <w:tr>
        <w:trPr>
          <w:trHeight w:val="413"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27</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в траншеях трубопроводов из чугунных канализационных труб диаметром: 100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труба чугунная канализационная диаметром 110мм</w:t>
            </w:r>
          </w:p>
        </w:tc>
      </w:tr>
      <w:tr>
        <w:trPr>
          <w:trHeight w:val="561"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28</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по стенам зданий и в каналах трубопроводов из чугунных канализационных труб диаметром: 50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труба чугунная канализационная диаметром 50мм</w:t>
            </w:r>
          </w:p>
        </w:tc>
      </w:tr>
      <w:tr>
        <w:trPr>
          <w:trHeight w:val="641"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29</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по стенам зданий и в каналах трубопроводов из чугунных канализационных труб диаметром: 100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труба чугунная канализационная диаметром 110мм</w:t>
            </w:r>
          </w:p>
        </w:tc>
      </w:tr>
      <w:tr>
        <w:trPr>
          <w:trHeight w:val="675"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30</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трубопроводов водоснабжения из стальных водогазопроводных оцинкованных труб диаметром: 15 мм</w:t>
            </w:r>
          </w:p>
        </w:tc>
        <w:tc>
          <w:tcPr>
            <w:tcW w:w="846"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Узлы трубопроводов укрупненные монтажные из стальных водогазопроводных оцинкованных труб диаметром 15 мм</w:t>
            </w:r>
          </w:p>
        </w:tc>
      </w:tr>
      <w:tr>
        <w:trPr>
          <w:trHeight w:val="585"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11Б41п3, номинальное давление 1,6 МПа (16 кгс/см2), номинальный диаметр 15 мм, присоединение к трубопроводу муфтовое</w:t>
            </w:r>
          </w:p>
        </w:tc>
      </w:tr>
      <w:tr>
        <w:trPr>
          <w:trHeight w:val="367"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31</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трубопроводов водоснабжения из стальных водогазопроводных оцинкованных труб диаметром: 20 мм</w:t>
            </w:r>
          </w:p>
        </w:tc>
        <w:tc>
          <w:tcPr>
            <w:tcW w:w="846"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Узлы трубопроводов укрупненные монтажные из стальных водогазопроводных оцинкованных труб диаметром 20 мм</w:t>
            </w:r>
          </w:p>
        </w:tc>
      </w:tr>
      <w:tr>
        <w:trPr>
          <w:trHeight w:val="592"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11Б41п3, номинальное давление 1,6 МПа (16 кгс/см2), номинальный диаметр 20 мм, присоединение к трубопроводу муфтовое</w:t>
            </w:r>
          </w:p>
        </w:tc>
      </w:tr>
      <w:tr>
        <w:trPr>
          <w:trHeight w:val="513"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32</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трубопроводов водоснабжения из стальных водогазопроводных оцинкованных труб диаметром: 25 мм</w:t>
            </w:r>
          </w:p>
        </w:tc>
        <w:tc>
          <w:tcPr>
            <w:tcW w:w="846"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Узлы трубопроводов укрупненные монтажные из стальных водогазопроводных оцинкованных труб диаметром 25 мм</w:t>
            </w:r>
          </w:p>
        </w:tc>
      </w:tr>
      <w:tr>
        <w:trPr>
          <w:trHeight w:val="677"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11Б41п3, номинальное давление 1,6 МПа (16 кгс/см2), номинальный диаметр 25 мм, присоединение к трубопроводу муфтовое</w:t>
            </w:r>
          </w:p>
        </w:tc>
      </w:tr>
      <w:tr>
        <w:trPr>
          <w:trHeight w:val="431"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33</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трубопроводов водоснабжения из стальных водогазопроводных оцинкованных труб диаметром: 32 мм</w:t>
            </w:r>
          </w:p>
        </w:tc>
        <w:tc>
          <w:tcPr>
            <w:tcW w:w="846"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Узлы трубопроводов укрупненные монтажные из стальных водогазопроводных оцинкованных труб диаметром 32 мм</w:t>
            </w:r>
          </w:p>
        </w:tc>
      </w:tr>
      <w:tr>
        <w:trPr>
          <w:trHeight w:val="596"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11Б41п3, номинальное давление 1,6 МПа (16 кгс/см2), номинальный диаметр 32 мм, присоединение к трубопроводу муфтовое</w:t>
            </w:r>
          </w:p>
        </w:tc>
      </w:tr>
      <w:tr>
        <w:trPr>
          <w:trHeight w:val="914"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34</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трубопроводов отопления и водоснабжения из стальных электросварных труб диаметром: до 40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Трубопроводы из стальных электросварных труб с гильзами для отопления и водоснабжения, наружный диаметр 45 мм, толщина стенки 3,5 мм</w:t>
            </w:r>
          </w:p>
        </w:tc>
      </w:tr>
      <w:tr>
        <w:trPr>
          <w:trHeight w:val="843"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35</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трубопроводов отопления и водоснабжения из стальных электросварных труб диаметром: 50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Трубопроводы из стальных электросварных труб с гильзами для отопления и водоснабжения, наружный диаметр 57 мм, толщина стенки 3,5 мм</w:t>
            </w:r>
          </w:p>
        </w:tc>
      </w:tr>
      <w:tr>
        <w:trPr>
          <w:trHeight w:val="872"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36</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трубопроводов отопления и водоснабжения из стальных электросварных труб диаметром: 80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Трубопроводы из стальных электросварных труб с гильзами для отопления и водоснабжения, наружный диаметр 89 мм, толщина стенки 3,5 мм</w:t>
            </w:r>
          </w:p>
        </w:tc>
      </w:tr>
      <w:tr>
        <w:trPr>
          <w:trHeight w:val="303"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37</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трубопроводов водоснабжения из многослойных металлополимерных труб диаметром: 15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Муфта цанговая для металлополимерных труб,  диаметр 16 x16 мм</w:t>
            </w:r>
          </w:p>
        </w:tc>
      </w:tr>
      <w:tr>
        <w:trPr>
          <w:trHeight w:val="705"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Трубы металлополимерные многослойные для холодного водоснабжения, номинальное давление 1 МПа (10 кгс/см2), температура до 30 °C, диаметр 15 мм</w:t>
            </w:r>
          </w:p>
        </w:tc>
      </w:tr>
      <w:tr>
        <w:trPr>
          <w:trHeight w:val="690"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11Б41п3, номинальное давление 1,6 МПа (16 кгс/см2), номинальный диаметр 15 мм, присоединение к трубопроводу цанговое</w:t>
            </w:r>
          </w:p>
        </w:tc>
      </w:tr>
      <w:tr>
        <w:trPr>
          <w:trHeight w:val="450"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38</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трубопроводов водоснабжения из многослойных металлополимерных труб диаметром: 20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Муфта цанговая для металлополимерных труб,  диаметр 20 x20 мм</w:t>
            </w:r>
          </w:p>
        </w:tc>
      </w:tr>
      <w:tr>
        <w:trPr>
          <w:trHeight w:val="661"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Трубы металлополимерные многослойные для холодного водоснабжения, номинальное давление 1 МПа (10 кгс/см2), температура до 30 °C, диаметр 20 мм</w:t>
            </w:r>
          </w:p>
        </w:tc>
      </w:tr>
      <w:tr>
        <w:trPr>
          <w:trHeight w:val="569"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11Б41п3, номинальное давление 1,6 МПа (16 кгс/см2), номинальный диаметр 20 мм, присоединение к трубопроводу цанговое</w:t>
            </w:r>
          </w:p>
        </w:tc>
      </w:tr>
      <w:tr>
        <w:trPr>
          <w:trHeight w:val="211"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39</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трубопроводов водоснабжения из многослойных металлополимерных труб диаметром: 25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Муфта цанговая для металлополимерных труб,  диаметр 25 x25 мм</w:t>
            </w:r>
          </w:p>
        </w:tc>
      </w:tr>
      <w:tr>
        <w:trPr>
          <w:trHeight w:val="696"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Трубы металлополимерные многослойные для холодного водоснабжения, номинальное давление 1 МПа (10 кгс/см2), температура до 30 °C, диаметр 25 мм</w:t>
            </w:r>
          </w:p>
        </w:tc>
      </w:tr>
      <w:tr>
        <w:trPr>
          <w:trHeight w:val="660"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11Б41п3, номинальное давление 1,6 МПа (16 кгс/см2), номинальный диаметр 25 мм, присоединение к трубопроводу цанговое</w:t>
            </w:r>
          </w:p>
        </w:tc>
      </w:tr>
      <w:tr>
        <w:trPr>
          <w:trHeight w:val="317"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40</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трубопроводов водоснабжения из многослойных металлополимерных труб диаметром: 32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Муфта цанговая для металлополимерных труб,  диаметр 32 x32 мм</w:t>
            </w:r>
          </w:p>
        </w:tc>
      </w:tr>
      <w:tr>
        <w:trPr>
          <w:trHeight w:val="750"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Трубы металлополимерные многослойные для горячего водоснабжения, номинальное давление 1 МПа (10 кгс/см2), температура до 95 °C, диаметр 32 мм</w:t>
            </w:r>
          </w:p>
        </w:tc>
      </w:tr>
      <w:tr>
        <w:trPr>
          <w:trHeight w:val="660"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11Б41п3, номинальное давление 1,6 МПа (16 кгс/см2), номинальный диаметр 32 мм, присоединение к трубопроводу муфтовое</w:t>
            </w:r>
          </w:p>
        </w:tc>
      </w:tr>
      <w:tr>
        <w:trPr>
          <w:trHeight w:val="450"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41</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трубопроводов водоснабжения из полипропиленовых труб наружным диаметром: 20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Трубы  трёхслойные полипропиленовые PPR-C, армированные алюминием, диаметр 20 мм</w:t>
            </w:r>
          </w:p>
        </w:tc>
      </w:tr>
      <w:tr>
        <w:trPr>
          <w:trHeight w:val="285"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Муфта соединительная диаметром 20мм</w:t>
            </w:r>
          </w:p>
        </w:tc>
      </w:tr>
      <w:tr>
        <w:trPr>
          <w:trHeight w:val="353"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с муфтовыми окончаниями для склейки, номинальное давление 16 МПа, диаметр 20 мм</w:t>
            </w:r>
          </w:p>
        </w:tc>
      </w:tr>
      <w:tr>
        <w:trPr>
          <w:trHeight w:val="420"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42</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трубопроводов водоснабжения из полипропиленовых труб наружным диаметром: 25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Трубы  трёхслойные полипропиленовые PPR-C, армированные алюминием, диаметр 25 мм</w:t>
            </w:r>
          </w:p>
        </w:tc>
      </w:tr>
      <w:tr>
        <w:trPr>
          <w:trHeight w:val="264"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Муфта соединительная диаметром 25мм</w:t>
            </w:r>
          </w:p>
        </w:tc>
      </w:tr>
      <w:tr>
        <w:trPr>
          <w:trHeight w:val="540"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с муфтовыми окончаниями для склейки, номинальное давление 16 МПа, диаметр 25 мм</w:t>
            </w:r>
          </w:p>
        </w:tc>
      </w:tr>
      <w:tr>
        <w:trPr>
          <w:trHeight w:val="495"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43</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трубопроводов водоснабжения из полипропиленовых труб наружным диаметром: 32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Трубы  трёхслойные полипропиленовые PPR-C, армированные стекловолокном, диаметр 32 мм</w:t>
            </w:r>
          </w:p>
        </w:tc>
      </w:tr>
      <w:tr>
        <w:trPr>
          <w:trHeight w:val="230"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Муфта соединительная диаметром 32мм</w:t>
            </w:r>
          </w:p>
        </w:tc>
      </w:tr>
      <w:tr>
        <w:trPr>
          <w:trHeight w:val="417"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с муфтовыми окончаниями для склейки, номинальное давление 16 МПа, диаметр 32 мм</w:t>
            </w:r>
          </w:p>
        </w:tc>
      </w:tr>
      <w:tr>
        <w:trPr>
          <w:trHeight w:val="679"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44</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Врезка в действующие внутренние сети трубопроводов отопления и водоснабжения диаметром: 15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11Б27п1, номинальное давление 1,0 МПа (10 кгс/см2), номинальный диаметр 15 мм, присоединение к трубопроводу муфтовое</w:t>
            </w:r>
          </w:p>
        </w:tc>
      </w:tr>
      <w:tr>
        <w:trPr>
          <w:trHeight w:val="560"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45 </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Врезка в действующие внутренние сети трубопроводов отопления и водоснабжения диаметром: 20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11Б27п1, номинальное давление 1,0 МПа (10 кгс/см2), номинальный диаметр 20 мм, присоединение к трубопроводу муфтовое</w:t>
            </w:r>
          </w:p>
        </w:tc>
      </w:tr>
      <w:tr>
        <w:trPr>
          <w:trHeight w:val="641"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46</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Врезка в действующие внутренние сети трубопроводов отопления и водоснабжения диаметром: 25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11Б27п1, номинальное давление 1,0 МПа (10 кгс/см2), номинальный диаметр 25 мм, присоединение к трубопроводу муфтовое</w:t>
            </w:r>
          </w:p>
        </w:tc>
      </w:tr>
      <w:tr>
        <w:trPr>
          <w:trHeight w:val="565"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47</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Врезка в действующие внутренние сети трубопроводов отопления и водоснабжения диаметром: 32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11Б27п1, номинальное давление 1,0 МПа (10 кгс/см2), номинальный диаметр 32 мм, присоединение к трубопроводу муфтовое</w:t>
            </w:r>
          </w:p>
        </w:tc>
      </w:tr>
      <w:tr>
        <w:trPr>
          <w:trHeight w:val="206"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48</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Врезка в металлопластик</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181"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49</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Врезка в полипропилен</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117"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 </w:t>
            </w:r>
          </w:p>
        </w:tc>
        <w:tc>
          <w:tcPr>
            <w:tcW w:w="9099" w:type="dxa"/>
            <w:gridSpan w:val="5"/>
            <w:tcBorders>
              <w:top w:val="single" w:sz="4" w:space="0" w:color="000000"/>
              <w:start w:val="single" w:sz="4" w:space="0" w:color="000000"/>
              <w:bottom w:val="single" w:sz="4" w:space="0" w:color="000000"/>
              <w:end w:val="single" w:sz="4" w:space="0" w:color="000000"/>
            </w:tcBorders>
          </w:tcPr>
          <w:p>
            <w:pPr>
              <w:pStyle w:val="Normal"/>
              <w:widowControl w:val="false"/>
              <w:jc w:val="center"/>
              <w:rPr>
                <w:b/>
                <w:bCs/>
                <w:sz w:val="18"/>
                <w:szCs w:val="18"/>
              </w:rPr>
            </w:pPr>
            <w:r>
              <w:rPr>
                <w:b/>
                <w:bCs/>
                <w:sz w:val="18"/>
                <w:szCs w:val="18"/>
              </w:rPr>
              <w:t>СНЯТИЕ АРМАТУРЫ И САНТЕХПРИБОРОВ</w:t>
            </w:r>
          </w:p>
        </w:tc>
      </w:tr>
      <w:tr>
        <w:trPr>
          <w:trHeight w:val="258"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50 </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Снятие кранов водоразборных или туалетных</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235"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51</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Снятие крана шарового</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 </w:t>
            </w:r>
          </w:p>
        </w:tc>
      </w:tr>
      <w:tr>
        <w:trPr>
          <w:trHeight w:val="180"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52</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Снятие смесителя: без душевой сетки</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239"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53</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Снятие водосчётчиков диаметром: до 50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272"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54</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Снятие гибких подводок</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133"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55</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Снятие сифона с гофрой</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208"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56</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Снятие задвижек диаметром: до 100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267"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57</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Демонтаж: умывальников и раковин</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 </w:t>
            </w:r>
          </w:p>
        </w:tc>
      </w:tr>
      <w:tr>
        <w:trPr>
          <w:trHeight w:val="191"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58</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Демонтаж: унитазов и писсуаров</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270"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59</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Демонтаж: моек</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256"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61</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Демонтаж: сидений к унитазам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273"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62</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Демонтаж: сифонов</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192"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63</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Демонтаж электроводонагревателя накопительного</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272"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66</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Демонтаж: смывных бачков фаянсовых на унитазе</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110"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9099" w:type="dxa"/>
            <w:gridSpan w:val="5"/>
            <w:tcBorders>
              <w:top w:val="single" w:sz="4" w:space="0" w:color="000000"/>
              <w:start w:val="single" w:sz="4" w:space="0" w:color="000000"/>
              <w:bottom w:val="single" w:sz="4" w:space="0" w:color="000000"/>
              <w:end w:val="single" w:sz="4" w:space="0" w:color="000000"/>
            </w:tcBorders>
          </w:tcPr>
          <w:p>
            <w:pPr>
              <w:pStyle w:val="Normal"/>
              <w:widowControl w:val="false"/>
              <w:jc w:val="center"/>
              <w:rPr>
                <w:b/>
                <w:bCs/>
                <w:sz w:val="18"/>
                <w:szCs w:val="18"/>
              </w:rPr>
            </w:pPr>
            <w:r>
              <w:rPr>
                <w:b/>
                <w:bCs/>
                <w:sz w:val="18"/>
                <w:szCs w:val="18"/>
              </w:rPr>
              <w:t>МОНТАЖ САНТЕХПРИБОРОВ</w:t>
            </w:r>
          </w:p>
        </w:tc>
      </w:tr>
      <w:tr>
        <w:trPr>
          <w:trHeight w:val="465"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68</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Установка умывальника с пьедесталом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Умывальники полуфарфоровые и фарфоровые с пьедесталом, трапециевидные, размер 600х450х150 мм</w:t>
            </w:r>
          </w:p>
        </w:tc>
      </w:tr>
      <w:tr>
        <w:trPr>
          <w:trHeight w:val="450"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69</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Установка умывальника накладного типа</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Умывальники полуфарфоровые и фарфоровые , трапециевидные, размер 600х450х150 мм</w:t>
            </w:r>
          </w:p>
        </w:tc>
      </w:tr>
      <w:tr>
        <w:trPr>
          <w:trHeight w:val="450"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70</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Установка умывальника на кронштейнах</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Умывальники полуфарфоровые и фарфоровые навесные, трапециевидные, размер 600х450х150 мм</w:t>
            </w:r>
          </w:p>
        </w:tc>
      </w:tr>
      <w:tr>
        <w:trPr>
          <w:trHeight w:val="236"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71</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Монтаж мойки металлической врезной</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Мойка из нержавейки, 600*800мм</w:t>
            </w:r>
          </w:p>
        </w:tc>
      </w:tr>
      <w:tr>
        <w:trPr>
          <w:trHeight w:val="450"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72</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Установка смесителя</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Смесители для умывальников СМ-УМ-ЦА-УВ центральные, с аэратором, латунными маховичками</w:t>
            </w:r>
          </w:p>
        </w:tc>
      </w:tr>
      <w:tr>
        <w:trPr>
          <w:trHeight w:val="301"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Смесители для умывальников СМ-УМ-ОРА с поворотным корпусом, одной рукояткой, с аэратором</w:t>
            </w:r>
          </w:p>
        </w:tc>
      </w:tr>
      <w:tr>
        <w:trPr>
          <w:trHeight w:val="435"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73</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Установка водонагревателей электрических накопительных (емкостных) объемом: до 50 л</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Трубы  трёхслойные полипропиленовые PPR-C, армированные алюминием, диаметр 20 мм</w:t>
            </w:r>
          </w:p>
        </w:tc>
      </w:tr>
      <w:tr>
        <w:trPr>
          <w:trHeight w:val="144"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Тройник полипропилен 20*20*20</w:t>
            </w:r>
          </w:p>
        </w:tc>
      </w:tr>
      <w:tr>
        <w:trPr>
          <w:trHeight w:val="203"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Угол 90 градусов полипропилен, диаметр 20мм</w:t>
            </w:r>
          </w:p>
        </w:tc>
      </w:tr>
      <w:tr>
        <w:trPr>
          <w:trHeight w:val="450"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Муфта соединительная полипропиленовая, диаметр 20мм, наружная резьба 1/2" латунь</w:t>
            </w:r>
          </w:p>
        </w:tc>
      </w:tr>
      <w:tr>
        <w:trPr>
          <w:trHeight w:val="391"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Муфта полипропиленовая соединительная для холодного, горячего водоснабжения и отопления, диаметр 20 мм</w:t>
            </w:r>
          </w:p>
        </w:tc>
      </w:tr>
      <w:tr>
        <w:trPr>
          <w:trHeight w:val="450"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75 </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Установка гибкой подводки</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Подводка гибкая армированная резиновая, диаметр 15 мм, длина 1000 мм</w:t>
            </w:r>
          </w:p>
        </w:tc>
      </w:tr>
      <w:tr>
        <w:trPr>
          <w:trHeight w:val="248"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76</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 xml:space="preserve">Установка сифона </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179"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77</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Установка крана шарового</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112"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78</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Установка унитаза-компакт</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унитаз-компакт с бачком</w:t>
            </w:r>
          </w:p>
        </w:tc>
      </w:tr>
      <w:tr>
        <w:trPr>
          <w:trHeight w:val="129"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79</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Установка сиденья на унитаз</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r>
      <w:tr>
        <w:trPr>
          <w:trHeight w:val="125"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 </w:t>
            </w:r>
          </w:p>
        </w:tc>
        <w:tc>
          <w:tcPr>
            <w:tcW w:w="9099" w:type="dxa"/>
            <w:gridSpan w:val="5"/>
            <w:tcBorders>
              <w:top w:val="single" w:sz="4" w:space="0" w:color="000000"/>
              <w:start w:val="single" w:sz="4" w:space="0" w:color="000000"/>
              <w:bottom w:val="single" w:sz="4" w:space="0" w:color="000000"/>
              <w:end w:val="single" w:sz="4" w:space="0" w:color="000000"/>
            </w:tcBorders>
          </w:tcPr>
          <w:p>
            <w:pPr>
              <w:pStyle w:val="Normal"/>
              <w:widowControl w:val="false"/>
              <w:jc w:val="center"/>
              <w:rPr>
                <w:b/>
                <w:bCs/>
                <w:sz w:val="18"/>
                <w:szCs w:val="18"/>
              </w:rPr>
            </w:pPr>
            <w:r>
              <w:rPr>
                <w:b/>
                <w:bCs/>
                <w:sz w:val="18"/>
                <w:szCs w:val="18"/>
              </w:rPr>
              <w:t>СМЕНА САНТЕХНИЧЕСКИХ ПРИБОРОВ</w:t>
            </w:r>
          </w:p>
        </w:tc>
      </w:tr>
      <w:tr>
        <w:trPr>
          <w:trHeight w:val="480"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80</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Смена смесителей: без душевой сетки</w:t>
            </w:r>
          </w:p>
        </w:tc>
        <w:tc>
          <w:tcPr>
            <w:tcW w:w="846"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Смесители для умывальников СМ-УМ-ЦА-УВ центральные, с аэратором, латунными маховичками</w:t>
            </w:r>
          </w:p>
        </w:tc>
      </w:tr>
      <w:tr>
        <w:trPr>
          <w:trHeight w:val="428"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Смесители для умывальников СМ-УМ-ОРА с поворотным корпусом, одной рукояткой, с аэратором</w:t>
            </w:r>
          </w:p>
        </w:tc>
      </w:tr>
      <w:tr>
        <w:trPr>
          <w:trHeight w:val="255"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81</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Смена кран-буксы смесителя</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кран-букса шлиц керамика</w:t>
            </w:r>
          </w:p>
        </w:tc>
      </w:tr>
      <w:tr>
        <w:trPr>
          <w:trHeight w:val="263"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82</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Смена прокладок смесителя</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ремкомплект</w:t>
            </w:r>
          </w:p>
        </w:tc>
      </w:tr>
      <w:tr>
        <w:trPr>
          <w:trHeight w:val="267"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83</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Смена: сидений к унитазам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 xml:space="preserve">Сиденье-крышка к унитазу </w:t>
            </w:r>
          </w:p>
        </w:tc>
      </w:tr>
      <w:tr>
        <w:trPr>
          <w:trHeight w:val="285"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84</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Смена: гофры к унитазам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Манжета гофрированная диаметром 110мм</w:t>
            </w:r>
          </w:p>
        </w:tc>
      </w:tr>
      <w:tr>
        <w:trPr>
          <w:trHeight w:val="297"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85 </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Смена: гофры с демонтажом-монтажом унитаза</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Манжета гофрированная диаметром 110мм</w:t>
            </w:r>
          </w:p>
        </w:tc>
      </w:tr>
      <w:tr>
        <w:trPr>
          <w:trHeight w:val="407"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86</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Смена: сифона к умывальникам и мойкам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Сифон бутылочный с решёткой из нержавеющей стали</w:t>
            </w:r>
          </w:p>
        </w:tc>
      </w:tr>
      <w:tr>
        <w:trPr>
          <w:trHeight w:val="399"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87 </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Смена: смывных бачков</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Бачки смывные полуфарфоровые и фарфоровые с арматурой непосредственно устанавливаемые на унитазы</w:t>
            </w:r>
          </w:p>
        </w:tc>
      </w:tr>
      <w:tr>
        <w:trPr>
          <w:trHeight w:val="406"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88 </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Смена: гибких подводок</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Подводка гибкая армированная резиновая, диаметр 15 мм, длина 1000 мм</w:t>
            </w:r>
          </w:p>
        </w:tc>
      </w:tr>
      <w:tr>
        <w:trPr>
          <w:trHeight w:val="270"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89</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Смена: унитазов типа "Компакт"</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Унитаз-компакт «Комфорт»</w:t>
            </w:r>
          </w:p>
        </w:tc>
      </w:tr>
      <w:tr>
        <w:trPr>
          <w:trHeight w:val="557"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90</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Смена: унитазов (без бачка)</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Унитазы полуфарфоровые и фарфоровые тарельчатые с сиденьем и креплением, с прямым или косым выпуском, с цельноотлитой полочкой</w:t>
            </w:r>
          </w:p>
        </w:tc>
      </w:tr>
      <w:tr>
        <w:trPr>
          <w:trHeight w:val="73"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91 </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Смена: мойки</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Мойка из нержавейки, 600*800мм</w:t>
            </w:r>
          </w:p>
        </w:tc>
      </w:tr>
      <w:tr>
        <w:trPr>
          <w:trHeight w:val="414"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92 </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Смена умывальника с пьедесталом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Умывальники полуфарфоровые и фарфоровые с пьедесталом, трапециевидные, размер 600х450х150 мм</w:t>
            </w:r>
          </w:p>
        </w:tc>
      </w:tr>
      <w:tr>
        <w:trPr>
          <w:trHeight w:val="277"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93</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Смена умывальника накладного типа</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Умывальники полуфарфоровые и фарфоровые , трапециевидные, размер 600х450х150 мм</w:t>
            </w:r>
          </w:p>
        </w:tc>
      </w:tr>
      <w:tr>
        <w:trPr>
          <w:trHeight w:val="425"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94</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Смена умывальника на кронштейнах</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Умывальники полуфарфоровые и фарфоровые навесные, трапециевидные, размер 600х450х150 мм</w:t>
            </w:r>
          </w:p>
        </w:tc>
      </w:tr>
      <w:tr>
        <w:trPr>
          <w:trHeight w:val="120"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95</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Смена биде</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фарфор, напольное, горизонтальный выпуск</w:t>
            </w:r>
          </w:p>
        </w:tc>
      </w:tr>
      <w:tr>
        <w:trPr>
          <w:trHeight w:val="342"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97 </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Смена водонагревателей электрических накопительных (емкостных) объемом: до 50 л</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Трубы  трёхслойные полипропиленовые PPR-C, армированные алюминием, диаметр 20 мм</w:t>
            </w:r>
          </w:p>
        </w:tc>
      </w:tr>
      <w:tr>
        <w:trPr>
          <w:trHeight w:val="236"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Тройник полипропилен 20*20*20</w:t>
            </w:r>
          </w:p>
        </w:tc>
      </w:tr>
      <w:tr>
        <w:trPr>
          <w:trHeight w:val="252"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Угол 90 градусов полипропилен, диаметр 20мм</w:t>
            </w:r>
          </w:p>
        </w:tc>
      </w:tr>
      <w:tr>
        <w:trPr>
          <w:trHeight w:val="411"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Муфта соединительная полипропиленовая, диаметр 20мм, наружная резьба 1/2" латунь</w:t>
            </w:r>
          </w:p>
        </w:tc>
      </w:tr>
      <w:tr>
        <w:trPr>
          <w:trHeight w:val="275"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Муфта полипропиленовая соединительная для холодного, горячего водоснабжения и отопления, диаметр 20 мм</w:t>
            </w:r>
          </w:p>
        </w:tc>
      </w:tr>
      <w:tr>
        <w:trPr>
          <w:trHeight w:val="126"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98</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 xml:space="preserve">Смена: шарового крана </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267"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99</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Замена сливного механизма в бачке унитаза</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арматура универсальная с боковым приводом</w:t>
            </w:r>
          </w:p>
        </w:tc>
      </w:tr>
      <w:tr>
        <w:trPr>
          <w:trHeight w:val="292"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100</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Регулировка смывного бачка</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133"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 </w:t>
            </w:r>
          </w:p>
        </w:tc>
        <w:tc>
          <w:tcPr>
            <w:tcW w:w="9099" w:type="dxa"/>
            <w:gridSpan w:val="5"/>
            <w:tcBorders>
              <w:top w:val="single" w:sz="4" w:space="0" w:color="000000"/>
              <w:start w:val="single" w:sz="4" w:space="0" w:color="000000"/>
              <w:bottom w:val="single" w:sz="4" w:space="0" w:color="000000"/>
              <w:end w:val="single" w:sz="4" w:space="0" w:color="000000"/>
            </w:tcBorders>
          </w:tcPr>
          <w:p>
            <w:pPr>
              <w:pStyle w:val="Normal"/>
              <w:widowControl w:val="false"/>
              <w:jc w:val="center"/>
              <w:rPr>
                <w:b/>
                <w:bCs/>
                <w:sz w:val="18"/>
                <w:szCs w:val="18"/>
              </w:rPr>
            </w:pPr>
            <w:r>
              <w:rPr>
                <w:b/>
                <w:bCs/>
                <w:sz w:val="18"/>
                <w:szCs w:val="18"/>
              </w:rPr>
              <w:t>ОЧИСТКА КАНАЛИЗАЦИИ</w:t>
            </w:r>
          </w:p>
        </w:tc>
      </w:tr>
      <w:tr>
        <w:trPr>
          <w:trHeight w:val="116"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101</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Прочистка сифона</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254"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102</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Очистка канализационной сети: внутренней</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188"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103</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Очистка канализационной сети: дворовой</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689"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104</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Прочистка труб внутренней канализации диаметром 50-150 мм установкой для прочистки труб: сложного засора</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94" w:hRule="atLeast"/>
        </w:trPr>
        <w:tc>
          <w:tcPr>
            <w:tcW w:w="9935" w:type="dxa"/>
            <w:gridSpan w:val="6"/>
            <w:tcBorders>
              <w:top w:val="single" w:sz="4" w:space="0" w:color="000000"/>
              <w:start w:val="single" w:sz="4" w:space="0" w:color="000000"/>
              <w:bottom w:val="single" w:sz="4" w:space="0" w:color="000000"/>
              <w:end w:val="single" w:sz="4" w:space="0" w:color="000000"/>
            </w:tcBorders>
          </w:tcPr>
          <w:p>
            <w:pPr>
              <w:pStyle w:val="Normal"/>
              <w:widowControl w:val="false"/>
              <w:jc w:val="center"/>
              <w:rPr>
                <w:b/>
                <w:bCs/>
                <w:sz w:val="18"/>
                <w:szCs w:val="18"/>
              </w:rPr>
            </w:pPr>
            <w:r>
              <w:rPr>
                <w:b/>
                <w:bCs/>
                <w:sz w:val="18"/>
                <w:szCs w:val="18"/>
              </w:rPr>
              <w:t>СМЕНА АРМАТУРЫ</w:t>
            </w:r>
          </w:p>
        </w:tc>
      </w:tr>
      <w:tr>
        <w:trPr>
          <w:trHeight w:val="270"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105</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Смена задвижек диаметром:          50 мм</w:t>
            </w:r>
          </w:p>
        </w:tc>
        <w:tc>
          <w:tcPr>
            <w:tcW w:w="846"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прокладки, болты</w:t>
            </w:r>
          </w:p>
        </w:tc>
      </w:tr>
      <w:tr>
        <w:trPr>
          <w:trHeight w:val="577"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Задвижка клиновая с выдвижным шпинделем 30Б2бк, номинальное давление 2,5 МПа (25 кгс/см2), присоединение к трубопроводу муфтовое, номинальный диаметр 50 мм</w:t>
            </w:r>
          </w:p>
        </w:tc>
      </w:tr>
      <w:tr>
        <w:trPr>
          <w:trHeight w:val="998"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Задвижка клиновая с выдвижным шпинделем 30с41нж (ЗКЛ2-16), номинальное давление 1,6 МПа (16 кгс/см2), присоединение к трубопроводу фланцевое, номинальный диаметр 50 мм</w:t>
            </w:r>
          </w:p>
        </w:tc>
      </w:tr>
      <w:tr>
        <w:trPr>
          <w:trHeight w:val="144"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106</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Смена задвижек диаметром:            100 мм</w:t>
            </w:r>
          </w:p>
        </w:tc>
        <w:tc>
          <w:tcPr>
            <w:tcW w:w="846"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прокладки, болты</w:t>
            </w:r>
          </w:p>
        </w:tc>
      </w:tr>
      <w:tr>
        <w:trPr>
          <w:trHeight w:val="630"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Задвижка клиновая с выдвижным шпинделем 30с41нж (ЗКЛ2-16), номинальное давление 1,6 МПа (16 кгс/см2), присоединение к трубопроводу фланцевое, номинальный диаметр 100 мм</w:t>
            </w:r>
          </w:p>
        </w:tc>
      </w:tr>
      <w:tr>
        <w:trPr>
          <w:trHeight w:val="554"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Задвижка клиновая двухдисковая с выдвижным шпинделем 31ч6бр, присоединение к трубопроводу фланцевое, номинальное давление 1 МПа (10 кгс/см2), номинальный диаметр 100 мм</w:t>
            </w:r>
          </w:p>
        </w:tc>
      </w:tr>
      <w:tr>
        <w:trPr>
          <w:trHeight w:val="193"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107</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Смена задвижек диаметром:            150 мм</w:t>
            </w:r>
          </w:p>
        </w:tc>
        <w:tc>
          <w:tcPr>
            <w:tcW w:w="846"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прокладки, болты</w:t>
            </w:r>
          </w:p>
        </w:tc>
      </w:tr>
      <w:tr>
        <w:trPr>
          <w:trHeight w:val="706"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Задвижка клиновая двухдисковая с выдвижным шпинделем 31ч6бр, присоединение к трубопроводу фланцевое, номинальное давление 1 МПа (10 кгс/см2), номинальный диаметр 150 мм</w:t>
            </w:r>
          </w:p>
        </w:tc>
      </w:tr>
      <w:tr>
        <w:trPr>
          <w:trHeight w:val="689"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Задвижка клиновая с выдвижным шпинделем 30с41нж (ЗКЛ2-16), номинальное давление 1,6 МПа (16 кгс/см2), присоединение к трубопроводу фланцевое, номинальный диаметр 150 мм</w:t>
            </w:r>
          </w:p>
        </w:tc>
      </w:tr>
      <w:tr>
        <w:trPr>
          <w:trHeight w:val="141" w:hRule="atLeast"/>
        </w:trPr>
        <w:tc>
          <w:tcPr>
            <w:tcW w:w="9935" w:type="dxa"/>
            <w:gridSpan w:val="6"/>
            <w:tcBorders>
              <w:top w:val="single" w:sz="4" w:space="0" w:color="000000"/>
              <w:start w:val="single" w:sz="4" w:space="0" w:color="000000"/>
              <w:bottom w:val="single" w:sz="4" w:space="0" w:color="000000"/>
              <w:end w:val="single" w:sz="4" w:space="0" w:color="000000"/>
            </w:tcBorders>
          </w:tcPr>
          <w:p>
            <w:pPr>
              <w:pStyle w:val="Normal"/>
              <w:widowControl w:val="false"/>
              <w:jc w:val="center"/>
              <w:rPr>
                <w:b/>
                <w:bCs/>
                <w:sz w:val="18"/>
                <w:szCs w:val="18"/>
              </w:rPr>
            </w:pPr>
            <w:r>
              <w:rPr>
                <w:b/>
                <w:bCs/>
                <w:sz w:val="18"/>
                <w:szCs w:val="18"/>
              </w:rPr>
              <w:t>МОНТАЖ АРМАТУРЫ</w:t>
            </w:r>
          </w:p>
        </w:tc>
      </w:tr>
      <w:tr>
        <w:trPr>
          <w:trHeight w:val="643"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108 </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Установка вентилей, задвижек, затворов, клапанов обратных, кранов проходных на трубопроводах из стальных труб диаметром: до 25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Вентиль запорный, номинальное давление 1,6 МПа (16 кгс/см2), номинальный диаметр 25 мм, присоединение к трубопроводумуфтовое</w:t>
            </w:r>
          </w:p>
        </w:tc>
      </w:tr>
      <w:tr>
        <w:trPr>
          <w:trHeight w:val="902"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109</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Установка вентилей, задвижек, затворов, клапанов обратных, кранов проходных на трубопроводах из стальных труб диаметром: до 50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Вентиль запорный чугунный, номинальное давление 1,6 МПа (16 кгс/см2), номинальный диаметр 50 мм, с графитовым уплотнением, присоединение к трубопроводу фланцевое</w:t>
            </w:r>
          </w:p>
        </w:tc>
      </w:tr>
      <w:tr>
        <w:trPr>
          <w:trHeight w:val="988"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110</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Установка вентилей, задвижек, затворов, клапанов обратных, кранов проходных на трубопроводах из стальных труб диаметром: до 100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Вентиль запорный чугунный, номинальное давление 1,6 МПа (16 кгс/см2), номинальный диаметр 100 мм, с графитовым уплотнением, присоединение к трубопроводу фланцевое</w:t>
            </w:r>
          </w:p>
        </w:tc>
      </w:tr>
      <w:tr>
        <w:trPr>
          <w:trHeight w:val="202"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 </w:t>
            </w:r>
          </w:p>
        </w:tc>
        <w:tc>
          <w:tcPr>
            <w:tcW w:w="9099" w:type="dxa"/>
            <w:gridSpan w:val="5"/>
            <w:tcBorders>
              <w:top w:val="single" w:sz="4" w:space="0" w:color="000000"/>
              <w:start w:val="single" w:sz="4" w:space="0" w:color="000000"/>
              <w:bottom w:val="single" w:sz="4" w:space="0" w:color="000000"/>
              <w:end w:val="single" w:sz="4" w:space="0" w:color="000000"/>
            </w:tcBorders>
          </w:tcPr>
          <w:p>
            <w:pPr>
              <w:pStyle w:val="Normal"/>
              <w:widowControl w:val="false"/>
              <w:jc w:val="center"/>
              <w:rPr>
                <w:b/>
                <w:bCs/>
                <w:sz w:val="18"/>
                <w:szCs w:val="18"/>
              </w:rPr>
            </w:pPr>
            <w:r>
              <w:rPr>
                <w:b/>
                <w:bCs/>
                <w:sz w:val="18"/>
                <w:szCs w:val="18"/>
              </w:rPr>
              <w:t>РАЗДЕЛ 2. ОТОПЛЕНИЕ</w:t>
            </w:r>
          </w:p>
        </w:tc>
      </w:tr>
      <w:tr>
        <w:trPr>
          <w:trHeight w:val="484"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111 </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Демонтаж расширительных и конденсационных баков емкостью: до 0,9 м3</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410"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112</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Установка баков расширительных круглых и прямоугольных вместимостью: 0,2 м3</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расширительный бак (входит в соимость единицы работы)</w:t>
            </w:r>
          </w:p>
        </w:tc>
      </w:tr>
      <w:tr>
        <w:trPr>
          <w:trHeight w:val="543"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113</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Разборка трубопроводов из водогазопроводных труб в зданиях и сооружениях: на сварке диаметром до 50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556"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114</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Смена отдельных участков трубопроводов с заготовкой труб в построечных условиях диаметром: до 20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Трубы стальные сварные неоцинкованные водогазопроводные, обыкновенные, номинальный диаметр 15 мм, толщина стенки 2,8 мм</w:t>
            </w:r>
          </w:p>
        </w:tc>
      </w:tr>
      <w:tr>
        <w:trPr>
          <w:trHeight w:val="645"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11Б27п1, номинальное давление 1,0 МПа (10 кгс/см2), номинальный диаметр 15 мм, присоединение к трубопроводу муфтовое</w:t>
            </w:r>
          </w:p>
        </w:tc>
      </w:tr>
      <w:tr>
        <w:trPr>
          <w:trHeight w:val="547"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115</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Смена отдельных участков трубопроводов с заготовкой труб в построечных условиях диаметром: до 32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Трубы стальные сварные неоцинкованные водогазопроводные, обыкновенные, номинальный диаметр 32 мм, толщина стенки 3,5 мм</w:t>
            </w:r>
          </w:p>
        </w:tc>
      </w:tr>
      <w:tr>
        <w:trPr>
          <w:trHeight w:val="705"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11Б41п3, номинальное давление 1,6 МПа (16 кгс/см2), номинальный диаметр 32 мм, присоединение к трубопроводу муфтовое</w:t>
            </w:r>
          </w:p>
        </w:tc>
      </w:tr>
      <w:tr>
        <w:trPr>
          <w:trHeight w:val="675"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116</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Смена отдельных участков трубопроводов с заготовкой труб в построечных условиях диаметром: до 50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Трубы стальные сварные неоцинкованные водогазопроводные, обыкновенные, номинальный диаметр 50 мм, толщина стенки 3,5 мм</w:t>
            </w:r>
          </w:p>
        </w:tc>
      </w:tr>
      <w:tr>
        <w:trPr>
          <w:trHeight w:val="675"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11Б41п3, номинальное давление 1,6 МПа (16 кгс/см2), номинальный диаметр 50 мм, присоединение к трубопроводу муфтовое</w:t>
            </w:r>
          </w:p>
        </w:tc>
      </w:tr>
      <w:tr>
        <w:trPr>
          <w:trHeight w:val="374"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117</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Замена трубопроводов отопления из стальных труб на трубопроводы из многослойных металлополимерных труб: при стояковой системе отопления диаметром до 15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Муфта цанговая для металлополимерных труб,  диаметр 16 x16 мм</w:t>
            </w:r>
          </w:p>
        </w:tc>
      </w:tr>
      <w:tr>
        <w:trPr>
          <w:trHeight w:val="900"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Трубы металлополимерные многослойные для холодного водоснабжения, номинальное давление 1 МПа (10 кгс/см2), температура до 30 °C, диаметр 15 мм</w:t>
            </w:r>
          </w:p>
        </w:tc>
      </w:tr>
      <w:tr>
        <w:trPr>
          <w:trHeight w:val="690"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11Б41п3, номинальное давление 1,6 МПа (16 кгс/см2), номинальный диаметр 15 мм, присоединение к трубопроводу цанговое</w:t>
            </w:r>
          </w:p>
        </w:tc>
      </w:tr>
      <w:tr>
        <w:trPr>
          <w:trHeight w:val="283"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118</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Замена трубопроводов отопления из стальных труб на трубопроводы из многослойных металлополимерных труб: при стояковой системе отопления диаметром до 20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Муфта цанговая для металлополимерных труб,  диаметр 20 x20 мм</w:t>
            </w:r>
          </w:p>
        </w:tc>
      </w:tr>
      <w:tr>
        <w:trPr>
          <w:trHeight w:val="556"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Трубы металлополимерные многослойные для холодного водоснабжения, номинальное давление 1 МПа (10 кгс/см2), температура до 30 °C, диаметр 20 мм</w:t>
            </w:r>
          </w:p>
        </w:tc>
      </w:tr>
      <w:tr>
        <w:trPr>
          <w:trHeight w:val="635"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11Б41п3, номинальное давление 1,6 МПа (16 кгс/см2), номинальный диаметр 20 мм, присоединение к трубопроводу цанговое</w:t>
            </w:r>
          </w:p>
        </w:tc>
      </w:tr>
      <w:tr>
        <w:trPr>
          <w:trHeight w:val="275"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119</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Замена трубопроводов отопления из стальных труб на трубопроводы из многослойных металлополимерных труб: при стояковой системе отопления диаметром до 25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Муфта цанговая для металлополимерных труб,  диаметр 25 x25 мм</w:t>
            </w:r>
          </w:p>
        </w:tc>
      </w:tr>
      <w:tr>
        <w:trPr>
          <w:trHeight w:val="549"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Трубы металлополимерные многослойные для холодного водоснабжения, номинальное давление 1 МПа (10 кгс/см2), температура до 30 °C, диаметр 25 мм</w:t>
            </w:r>
          </w:p>
        </w:tc>
      </w:tr>
      <w:tr>
        <w:trPr>
          <w:trHeight w:val="629"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11Б41п3, номинальное давление 1,6 МПа (16 кгс/см2), номинальный диаметр 25 мм, присоединение к трубопроводу цанговое</w:t>
            </w:r>
          </w:p>
        </w:tc>
      </w:tr>
      <w:tr>
        <w:trPr>
          <w:trHeight w:val="269"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120</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трубопроводов отопления из стальных водогазопроводных неоцинкованных труб диаметром: 20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Трубы стальные водогазопроводные, диаметром 20 мм</w:t>
            </w:r>
          </w:p>
        </w:tc>
      </w:tr>
      <w:tr>
        <w:trPr>
          <w:trHeight w:val="557"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11Б41п3, номинальное давление 1,6 МПа (16 кгс/см2), номинальный диаметр 20 мм, присоединение к трубопроводу муфтовое</w:t>
            </w:r>
          </w:p>
        </w:tc>
      </w:tr>
      <w:tr>
        <w:trPr>
          <w:trHeight w:val="213"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121</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трубопроводов отопления из стальных водогазопроводных неоцинкованных труб диаметром: 25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Трубы стальные водогазопроводные, диаметром 25 мм</w:t>
            </w:r>
          </w:p>
        </w:tc>
      </w:tr>
      <w:tr>
        <w:trPr>
          <w:trHeight w:val="690"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11Б41п3, номинальное давление 1,6 МПа (16 кгс/см2), номинальный диаметр 25 мм, присоединение к трубопроводу муфтовое</w:t>
            </w:r>
          </w:p>
        </w:tc>
      </w:tr>
      <w:tr>
        <w:trPr>
          <w:trHeight w:val="299"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122</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трубопроводов отопления из стальных водогазопроводных неоцинкованных труб диаметром: 32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Трубы стальные водогазопроводные, диаметром 32 мм</w:t>
            </w:r>
          </w:p>
        </w:tc>
      </w:tr>
      <w:tr>
        <w:trPr>
          <w:trHeight w:val="675"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номинальное давление 1,6 МПа (16 кгс/см2), номинальный диаметр 32 мм, присоединение к трубопроводу муфтовое</w:t>
            </w:r>
          </w:p>
        </w:tc>
      </w:tr>
      <w:tr>
        <w:trPr>
          <w:trHeight w:val="385"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123</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трубопроводов отопления из стальных водогазопроводных неоцинкованных труб диаметром: 40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xml:space="preserve"> </w:t>
            </w:r>
            <w:r>
              <w:rPr>
                <w:sz w:val="18"/>
                <w:szCs w:val="18"/>
              </w:rPr>
              <w:t>стальные водогазопроводные неоцинкованные трубы с гильзами для систем отопления диаметром 40 мм</w:t>
            </w:r>
          </w:p>
        </w:tc>
      </w:tr>
      <w:tr>
        <w:trPr>
          <w:trHeight w:val="675"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номинальное давление 1,6 МПа (16 кгс/см2), номинальный диаметр 40 мм, присоединение к трубопроводу муфтовое</w:t>
            </w:r>
          </w:p>
        </w:tc>
      </w:tr>
      <w:tr>
        <w:trPr>
          <w:trHeight w:val="387"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124</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трубопроводов отопления из стальных водогазопроводных неоцинкованных труб диаметром: 50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xml:space="preserve"> </w:t>
            </w:r>
            <w:r>
              <w:rPr>
                <w:sz w:val="18"/>
                <w:szCs w:val="18"/>
              </w:rPr>
              <w:t>стальные водогазопроводные неоцинкованные трубы с гильзами для систем отопления диаметром 50 мм</w:t>
            </w:r>
          </w:p>
        </w:tc>
      </w:tr>
      <w:tr>
        <w:trPr>
          <w:trHeight w:val="675"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номинальное давление 1,6 МПа (16 кгс/см2), номинальный диаметр 50 мм, присоединение к трубопроводу муфтовое</w:t>
            </w:r>
          </w:p>
        </w:tc>
      </w:tr>
      <w:tr>
        <w:trPr>
          <w:trHeight w:val="418"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125</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трубопроводов отопления из стальных водогазопроводных неоцинкованных труб диаметром: 65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xml:space="preserve"> </w:t>
            </w:r>
            <w:r>
              <w:rPr>
                <w:sz w:val="18"/>
                <w:szCs w:val="18"/>
              </w:rPr>
              <w:t>стальные водогазопроводные неоцинкованные трубы с гильзами для систем отопления диаметром 65 мм</w:t>
            </w:r>
          </w:p>
        </w:tc>
      </w:tr>
      <w:tr>
        <w:trPr>
          <w:trHeight w:val="675"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номинальное давление 1,6 МПа (16 кгс/см2), номинальный диаметр 65 мм, присоединение к трубопроводу фланцевое</w:t>
            </w:r>
          </w:p>
        </w:tc>
      </w:tr>
      <w:tr>
        <w:trPr>
          <w:trHeight w:val="434"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126</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трубопроводов отопления из стальных водогазопроводных неоцинкованных труб диаметром: 80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xml:space="preserve"> </w:t>
            </w:r>
            <w:r>
              <w:rPr>
                <w:sz w:val="18"/>
                <w:szCs w:val="18"/>
              </w:rPr>
              <w:t>стальные водогазопроводные неоцинкованные трубы с гильзами для систем отопления диаметром 80 мм</w:t>
            </w:r>
          </w:p>
        </w:tc>
      </w:tr>
      <w:tr>
        <w:trPr>
          <w:trHeight w:val="675"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номинальное давление 1,6 МПа (16 кгс/см2), номинальный диаметр 80 мм, присоединение к трубопроводу фланцевое</w:t>
            </w:r>
          </w:p>
        </w:tc>
      </w:tr>
      <w:tr>
        <w:trPr>
          <w:trHeight w:val="449"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127</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трубопроводов отопления из стальных водогазопроводных неоцинкованных труб диаметром: 100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xml:space="preserve"> </w:t>
            </w:r>
            <w:r>
              <w:rPr>
                <w:sz w:val="18"/>
                <w:szCs w:val="18"/>
              </w:rPr>
              <w:t>стальные водогазопроводные неоцинкованные трубы с гильзами для систем отопления диаметром 100 мм</w:t>
            </w:r>
          </w:p>
        </w:tc>
      </w:tr>
      <w:tr>
        <w:trPr>
          <w:trHeight w:val="675"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номинальное давление 1,6 МПа (16 кгс/см2), номинальный диаметр 100 мм, присоединение к трубопроводу фланцевое</w:t>
            </w:r>
          </w:p>
        </w:tc>
      </w:tr>
      <w:tr>
        <w:trPr>
          <w:trHeight w:val="296"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128</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трубопроводов отопления при стояковой системе из многослойных металлополимерных труб диаметром: до 15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Муфта цанговая для металлополимерных труб,  диаметр 16 x16 мм</w:t>
            </w:r>
          </w:p>
        </w:tc>
      </w:tr>
      <w:tr>
        <w:trPr>
          <w:trHeight w:val="555"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Трубы металлополимерные многослойные для холодного водоснабжения, номинальное давление 1 МПа (10 кгс/см2), температура до 30 °C, диаметр 15 мм</w:t>
            </w:r>
          </w:p>
        </w:tc>
      </w:tr>
      <w:tr>
        <w:trPr>
          <w:trHeight w:val="435"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кг</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Крепления для трубопроводов оцинкованные: кронштейны, планки, хомуты</w:t>
            </w:r>
          </w:p>
        </w:tc>
      </w:tr>
      <w:tr>
        <w:trPr>
          <w:trHeight w:val="711"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11Б41п3, номинальное давление 1,6 МПа (16 кгс/см2), номинальный диаметр 15 мм, присоединение к трубопроводу цанговое</w:t>
            </w:r>
          </w:p>
        </w:tc>
      </w:tr>
      <w:tr>
        <w:trPr>
          <w:trHeight w:val="255"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129</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трубопроводов отопления при стояковой системе из многослойных металлополимерных труб диаметром: 20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Муфта цанговая для металлополимерных труб,  диаметр 20 x20 мм</w:t>
            </w:r>
          </w:p>
        </w:tc>
      </w:tr>
      <w:tr>
        <w:trPr>
          <w:trHeight w:val="570"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Трубы металлополимерные многослойные для холодного водоснабжения, номинальное давление 1 МПа (10 кгс/см2), температура до 30 °C, диаметр 20 мм</w:t>
            </w:r>
          </w:p>
        </w:tc>
      </w:tr>
      <w:tr>
        <w:trPr>
          <w:trHeight w:val="351"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кг</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Крепления для трубопроводов оцинкованные: кронштейны, планки, хомуты</w:t>
            </w:r>
          </w:p>
        </w:tc>
      </w:tr>
      <w:tr>
        <w:trPr>
          <w:trHeight w:val="660"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11Б41п3, номинальное давление 1,6 МПа (16 кгс/см2), номинальный диаметр 20 мм, присоединение к трубопроводу цанговое</w:t>
            </w:r>
          </w:p>
        </w:tc>
      </w:tr>
      <w:tr>
        <w:trPr>
          <w:trHeight w:val="253"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130</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трубопроводов отопления при стояковой системе из многослойных металлополимерных труб диаметром: 25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Муфта цанговая для металлополимерных труб,  диаметр 25 x25 мм</w:t>
            </w:r>
          </w:p>
        </w:tc>
      </w:tr>
      <w:tr>
        <w:trPr>
          <w:trHeight w:val="131"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Трубы металлополимерные многослойные для холодного водоснабжения, номинальное давление 1 МПа (10 кгс/см2), температура до 30 °C, диаметр 25 мм</w:t>
            </w:r>
          </w:p>
        </w:tc>
      </w:tr>
      <w:tr>
        <w:trPr>
          <w:trHeight w:val="351"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кг</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Крепления для трубопроводов оцинкованные: кронштейны, планки, хомуты</w:t>
            </w:r>
          </w:p>
        </w:tc>
      </w:tr>
      <w:tr>
        <w:trPr>
          <w:trHeight w:val="705"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11Б41п3, номинальное давление 1,6 МПа (16 кгс/см2), номинальный диаметр 25 мм, присоединение к трубопроводу цанговое</w:t>
            </w:r>
          </w:p>
        </w:tc>
      </w:tr>
      <w:tr>
        <w:trPr>
          <w:trHeight w:val="339"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131</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трубопроводов отопления из полипропиленовых труб наружным диаметром: 20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Трубы  трёхслойные полипропиленовые PPR-C, армированные алюминием, диаметр 20 мм</w:t>
            </w:r>
          </w:p>
        </w:tc>
      </w:tr>
      <w:tr>
        <w:trPr>
          <w:trHeight w:val="204"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Муфта соединительная диаметром 20мм</w:t>
            </w:r>
          </w:p>
        </w:tc>
      </w:tr>
      <w:tr>
        <w:trPr>
          <w:trHeight w:val="419"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с муфтовыми окончаниями для склейки, номинальное давление 16 МПа, диаметр 20 мм</w:t>
            </w:r>
          </w:p>
        </w:tc>
      </w:tr>
      <w:tr>
        <w:trPr>
          <w:trHeight w:val="270"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132</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трубопроводов отопления из полипропиленовых труб наружным диаметром: 25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Трубы  трёхслойные полипропиленовые PPR-C, армированные алюминием, диаметр 25 мм</w:t>
            </w:r>
          </w:p>
        </w:tc>
      </w:tr>
      <w:tr>
        <w:trPr>
          <w:trHeight w:val="134"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Муфта соединительная диаметром 25мм</w:t>
            </w:r>
          </w:p>
        </w:tc>
      </w:tr>
      <w:tr>
        <w:trPr>
          <w:trHeight w:val="477"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с муфтовыми окончаниями для склейки, номинальное давление 16 МПа, диаметр 25 мм</w:t>
            </w:r>
          </w:p>
        </w:tc>
      </w:tr>
      <w:tr>
        <w:trPr>
          <w:trHeight w:val="413"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133</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трубопроводов отопления из полипропиленовых труб наружным диаметром: 32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Трубы  трёхслойные полипропиленовые PPR-C, армированные стекловолокном, диаметр 32 мм</w:t>
            </w:r>
          </w:p>
        </w:tc>
      </w:tr>
      <w:tr>
        <w:trPr>
          <w:trHeight w:val="277"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Муфта соединительная диаметром 32мм</w:t>
            </w:r>
          </w:p>
        </w:tc>
      </w:tr>
      <w:tr>
        <w:trPr>
          <w:trHeight w:val="423"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с муфтовыми окончаниями для склейки, номинальное давление 16 МПа, диаметр 32 мм</w:t>
            </w:r>
          </w:p>
        </w:tc>
      </w:tr>
      <w:tr>
        <w:trPr>
          <w:trHeight w:val="416"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134</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трубопроводов отопления из полипропиленовых труб наружным диаметром: 50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Трубы  трёхслойные полипропиленовые PPR-C, армированные стекловолокном, диаметр 50 мм</w:t>
            </w:r>
          </w:p>
        </w:tc>
      </w:tr>
      <w:tr>
        <w:trPr>
          <w:trHeight w:val="124"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Муфта соединительная диаметром 50мм</w:t>
            </w:r>
          </w:p>
        </w:tc>
      </w:tr>
      <w:tr>
        <w:trPr>
          <w:trHeight w:val="623"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номинальное давление 1,6 МПа (16 кгс/см2), номинальный диаметр 50 мм, присоединение к трубопроводу муфтовое</w:t>
            </w:r>
          </w:p>
        </w:tc>
      </w:tr>
      <w:tr>
        <w:trPr>
          <w:trHeight w:val="405"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135</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трубопроводов отопления из полипропиленовых труб наружным диаметром: 63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Трубы  трёхслойные полипропиленовые PPR-C, армированные стекловолокном, диаметр 63 мм</w:t>
            </w:r>
          </w:p>
        </w:tc>
      </w:tr>
      <w:tr>
        <w:trPr>
          <w:trHeight w:val="270"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Муфта соединительная диаметром 63мм</w:t>
            </w:r>
          </w:p>
        </w:tc>
      </w:tr>
      <w:tr>
        <w:trPr>
          <w:trHeight w:val="705"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номинальное давление 1,6 МПа (16 кгс/см2), номинальный диаметр 50 мм, присоединение к трубопроводу муфтовое</w:t>
            </w:r>
          </w:p>
        </w:tc>
      </w:tr>
      <w:tr>
        <w:trPr>
          <w:trHeight w:val="412"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136</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трубопроводов отопления из полипропиленовых труб наружным диаметром: 75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Трубы  трёхслойные полипропиленовые PPR-C, армированные стекловолокном, диаметр 75 мм</w:t>
            </w:r>
          </w:p>
        </w:tc>
      </w:tr>
      <w:tr>
        <w:trPr>
          <w:trHeight w:val="133"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Муфта соединительная диаметром 75мм</w:t>
            </w:r>
          </w:p>
        </w:tc>
      </w:tr>
      <w:tr>
        <w:trPr>
          <w:trHeight w:val="619"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номинальное давление 1,6 МПа (16 кгс/см2), номинальный диаметр 65 мм, присоединение к трубопроводу фланцевое</w:t>
            </w:r>
          </w:p>
        </w:tc>
      </w:tr>
      <w:tr>
        <w:trPr>
          <w:trHeight w:val="416"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137</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трубопроводов отопления из полипропиленовых труб наружным диаметром: 90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Трубы  трёхслойные полипропиленовые PPR-C, армированные стекловолокном, диаметр 90 мм</w:t>
            </w:r>
          </w:p>
        </w:tc>
      </w:tr>
      <w:tr>
        <w:trPr>
          <w:trHeight w:val="266"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Муфта соединительная диаметром 90мм</w:t>
            </w:r>
          </w:p>
        </w:tc>
      </w:tr>
      <w:tr>
        <w:trPr>
          <w:trHeight w:val="567"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номинальное давление 1,6 МПа (16 кгс/см2), номинальный диаметр 80 мм, присоединение к трубопроводу фланцевое</w:t>
            </w:r>
          </w:p>
        </w:tc>
      </w:tr>
      <w:tr>
        <w:trPr>
          <w:trHeight w:val="286"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138</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трубопроводов отопления из полипропиленовых труб наружным диаметром: 110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Трубы  трёхслойные полипропиленовые PPR-C, армированные стекловолокном, диаметр 110 мм</w:t>
            </w:r>
          </w:p>
        </w:tc>
      </w:tr>
      <w:tr>
        <w:trPr>
          <w:trHeight w:val="230"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Муфта соединительная диаметром 110мм</w:t>
            </w:r>
          </w:p>
        </w:tc>
      </w:tr>
      <w:tr>
        <w:trPr>
          <w:trHeight w:val="569"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номинальное давление 1,6 МПа (16 кгс/см2), номинальный диаметр 100 мм, присоединение к трубопроводу фланцевое</w:t>
            </w:r>
          </w:p>
        </w:tc>
      </w:tr>
      <w:tr>
        <w:trPr>
          <w:trHeight w:val="199"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139</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Монтаж трубной изоляции на трубопроводы</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Теплоизоляция для труб Энергофлекс</w:t>
            </w:r>
          </w:p>
        </w:tc>
      </w:tr>
      <w:tr>
        <w:trPr>
          <w:trHeight w:val="274"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140</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Смена сгонов у трубопроводов диаметром: до 20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сгоны (входят в стоимость единицы работы)</w:t>
            </w:r>
          </w:p>
        </w:tc>
      </w:tr>
      <w:tr>
        <w:trPr>
          <w:trHeight w:val="263"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141</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Смена сгонов у трубопроводов диаметром: до 32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сгоны (входят в стоимость единицы работы)</w:t>
            </w:r>
          </w:p>
        </w:tc>
      </w:tr>
      <w:tr>
        <w:trPr>
          <w:trHeight w:val="399"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142</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Установка заглушек диаметром трубопроводов: до 100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шт/кг</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Прокат толстолистовой горячекатаный в листах, марка стали Ст3, толщина 4,0 мм</w:t>
            </w:r>
          </w:p>
        </w:tc>
      </w:tr>
      <w:tr>
        <w:trPr>
          <w:trHeight w:val="287"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143</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Установка байпаса на радиатор отопления</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263"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144</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Установка терморегулятора на радиатор отопления</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радиаторный прямой с термоголовкой</w:t>
            </w:r>
          </w:p>
        </w:tc>
      </w:tr>
      <w:tr>
        <w:trPr>
          <w:trHeight w:val="281"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145</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Демонтаж: радиатора чугунного весом до 80 кг</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268"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146</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Установка радиаторов: чугунных</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Радиаторы отопительные чугунные 8 секций</w:t>
            </w:r>
          </w:p>
        </w:tc>
      </w:tr>
      <w:tr>
        <w:trPr>
          <w:trHeight w:val="273"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147</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Демонтаж радиатора биметаллического</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273"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148</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Смена радиатора биметаллического</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411"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149</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Установка радиатора отопления (подводка полипропиленом)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материалы (труба, преходник, вентиль с американкой) входят в стоимость</w:t>
            </w:r>
          </w:p>
        </w:tc>
      </w:tr>
      <w:tr>
        <w:trPr>
          <w:trHeight w:val="403"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150</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Установка радиатора отопления (подводка металлом)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материалы (труба, сгоны, вентиль с американкой) входят в стоимость</w:t>
            </w:r>
          </w:p>
        </w:tc>
      </w:tr>
      <w:tr>
        <w:trPr>
          <w:trHeight w:val="268"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151</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Установка радиаторов на готовую подводку: стальных</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секция/шт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Радиаторы алюминиевые количество секций 1, мощность 155 Вт</w:t>
            </w:r>
          </w:p>
        </w:tc>
      </w:tr>
      <w:tr>
        <w:trPr>
          <w:trHeight w:val="675"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секция/шт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Радиаторы биметаллические отопительные секционные, количество секций 1, размер секции 80x80x560 мм, теплоотдача 0,175 кВт</w:t>
            </w:r>
          </w:p>
        </w:tc>
      </w:tr>
      <w:tr>
        <w:trPr>
          <w:trHeight w:val="722" w:hRule="atLeast"/>
        </w:trPr>
        <w:tc>
          <w:tcPr>
            <w:tcW w:w="836"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152</w:t>
            </w:r>
          </w:p>
        </w:tc>
        <w:tc>
          <w:tcPr>
            <w:tcW w:w="3825"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Установка вентилей, задвижек, затворов, клапанов обратных, кранов проходных на трубопроводах из стальных труб диаметром: до 25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11Б41п3, номинальное давление 1,6 МПа (16 кгс/см2), номинальный диаметр 20 мм, присоединение к трубопроводу муфтовое</w:t>
            </w:r>
          </w:p>
        </w:tc>
      </w:tr>
      <w:tr>
        <w:trPr>
          <w:trHeight w:val="422"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шаровый муфтовый для воды, номинальный диаметр 20 мм со сгоном</w:t>
            </w:r>
          </w:p>
        </w:tc>
      </w:tr>
      <w:tr>
        <w:trPr>
          <w:trHeight w:val="272"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шаровый полипропиленовый PPRC PN20, диаметром: 20 мм</w:t>
            </w:r>
          </w:p>
        </w:tc>
      </w:tr>
      <w:tr>
        <w:trPr>
          <w:trHeight w:val="417"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латунный, номинальный диаметр 20 мм (3/4"), присоединение муфтовое ВР-ВР</w:t>
            </w:r>
          </w:p>
        </w:tc>
      </w:tr>
      <w:tr>
        <w:trPr>
          <w:trHeight w:val="693"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латунный полнопроходной, номинальное давление 1,6 МПа (16 кгс/см2) и 2,5 МПа (25 кгс/см2), номинальный диаметр 20 мм, с рукояткой "бабочка", присоединение 3/4"х3/4", с внутренним резьбовым присоединением</w:t>
            </w:r>
          </w:p>
        </w:tc>
      </w:tr>
      <w:tr>
        <w:trPr>
          <w:trHeight w:val="421"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Вентиль проходной регулирующий для трубопроводов из полипропилена, номинальный диаметр 20 мм</w:t>
            </w:r>
          </w:p>
        </w:tc>
      </w:tr>
      <w:tr>
        <w:trPr>
          <w:trHeight w:val="569"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Вентиль терморегулирующий радиаторный, номинальное давление 1,6 МПа (16 кгс/см2), прямой, размер 3/4", с внутренней и наружной резьбой</w:t>
            </w:r>
          </w:p>
        </w:tc>
      </w:tr>
      <w:tr>
        <w:trPr>
          <w:trHeight w:val="918"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латунный полнопроходной, номинальное давление 1,6 МПа (16 кгс/см2) и 3,0 МПа (30 кгс/см2), номинальный диаметр 15 мм, присоединение 1/2"х1/2", с внутренним резьбовым присоединением DIN 259 и накидной гайкой (американка)</w:t>
            </w:r>
          </w:p>
        </w:tc>
      </w:tr>
      <w:tr>
        <w:trPr>
          <w:trHeight w:val="705"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латунный полнопроходной, номинальное давление 1,6 МПа (16 кгс/см2) и 3,0 МПа (30 кгс/см2), номинальный диаметр 20 мм, присоединение 3/4"х3/4", с внутренним резьбовым присоединением DIN 259 и накидной гайкой (американка)</w:t>
            </w:r>
          </w:p>
        </w:tc>
      </w:tr>
      <w:tr>
        <w:trPr>
          <w:trHeight w:val="858" w:hRule="atLeast"/>
        </w:trPr>
        <w:tc>
          <w:tcPr>
            <w:tcW w:w="836"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3825"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шаровой латунный полнопроходной, номинальное давление 1,6 МПа (16 кгс/см2) и 3,0 МПа (30 кгс/см2), номинальный диаметр 25 мм, присоединение 1"х1", с внутренним резьбовым присоединением DIN 259 и накидной гайкой (американка)</w:t>
            </w:r>
          </w:p>
        </w:tc>
      </w:tr>
      <w:tr>
        <w:trPr>
          <w:trHeight w:val="169"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153</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Демонтаж: калориферов массой до 125 кг</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385"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154</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Прочистка и промывка: радиаторов отопления весом до 80 кг внутри здания без снятия</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378"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155</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Прочистка и промывка: радиаторов отопления весом до 80 кг со снятием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495"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156</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Промывка водой системы отопления: с осмотром системы</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м³ объёма здания</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431"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157</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Промывка водой системы отопления: с осмотром системы</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 трубопровода</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 </w:t>
            </w:r>
          </w:p>
        </w:tc>
      </w:tr>
      <w:tr>
        <w:trPr>
          <w:trHeight w:val="228"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158</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Слив воды из системы</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100м³</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304"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159</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Осмотр отремонтированных приборов отопления при наполнении системы водой</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481"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160 </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Проверка на прогрев отопительных приборов с регулировкой</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291"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161</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Смена: воздушных кранов радиаторов</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Кран латунный для спуска воздуха</w:t>
            </w:r>
          </w:p>
        </w:tc>
      </w:tr>
      <w:tr>
        <w:trPr>
          <w:trHeight w:val="556"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162</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Гидравлическое испытание трубопроводов систем отопления, водопровода и горячего водоснабжения диаметром: до 50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 трубопровода</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636"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163</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Гидравлическое испытание трубопроводов систем отопления, водопровода и горячего водоснабжения диаметром: до 100 мм</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 трубопровода</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271" w:hRule="atLeast"/>
        </w:trPr>
        <w:tc>
          <w:tcPr>
            <w:tcW w:w="8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pPr>
            <w:r>
              <w:rPr>
                <w:sz w:val="18"/>
                <w:szCs w:val="18"/>
              </w:rPr>
              <w:t> </w:t>
            </w:r>
            <w:r>
              <w:rPr>
                <w:sz w:val="18"/>
                <w:szCs w:val="18"/>
              </w:rPr>
              <w:t>164</w:t>
            </w:r>
          </w:p>
        </w:tc>
        <w:tc>
          <w:tcPr>
            <w:tcW w:w="382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Смена жалюзийных решеток</w:t>
            </w:r>
          </w:p>
        </w:tc>
        <w:tc>
          <w:tcPr>
            <w:tcW w:w="84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428"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Решетки металлические, размер 450x450 мм</w:t>
            </w:r>
          </w:p>
        </w:tc>
      </w:tr>
      <w:tr>
        <w:trPr>
          <w:trHeight w:val="208" w:hRule="atLeast"/>
        </w:trPr>
        <w:tc>
          <w:tcPr>
            <w:tcW w:w="9935" w:type="dxa"/>
            <w:gridSpan w:val="6"/>
            <w:tcBorders>
              <w:top w:val="single" w:sz="4" w:space="0" w:color="000000"/>
              <w:start w:val="single" w:sz="4" w:space="0" w:color="000000"/>
              <w:bottom w:val="single" w:sz="4" w:space="0" w:color="000000"/>
              <w:end w:val="single" w:sz="4" w:space="0" w:color="000000"/>
            </w:tcBorders>
          </w:tcPr>
          <w:p>
            <w:pPr>
              <w:pStyle w:val="Normal"/>
              <w:widowControl w:val="false"/>
              <w:jc w:val="center"/>
              <w:rPr>
                <w:b/>
                <w:bCs/>
                <w:sz w:val="18"/>
                <w:szCs w:val="18"/>
              </w:rPr>
            </w:pPr>
            <w:r>
              <w:rPr>
                <w:b/>
                <w:bCs/>
                <w:sz w:val="18"/>
                <w:szCs w:val="18"/>
              </w:rPr>
              <w:t>РАЗДЕЛ 3. ЭЛЕКТРОМОНТАЖНЫЕ РАБОТЫ</w:t>
            </w:r>
          </w:p>
        </w:tc>
      </w:tr>
      <w:tr>
        <w:trPr>
          <w:trHeight w:val="210" w:hRule="atLeast"/>
        </w:trPr>
        <w:tc>
          <w:tcPr>
            <w:tcW w:w="417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b/>
                <w:bCs/>
                <w:sz w:val="18"/>
                <w:szCs w:val="18"/>
              </w:rPr>
            </w:pPr>
            <w:r>
              <w:rPr>
                <w:b/>
                <w:bCs/>
                <w:sz w:val="18"/>
                <w:szCs w:val="18"/>
              </w:rPr>
              <w:t>ДЕМОНТАЖ</w:t>
            </w:r>
          </w:p>
        </w:tc>
        <w:tc>
          <w:tcPr>
            <w:tcW w:w="92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 </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 </w:t>
            </w:r>
          </w:p>
        </w:tc>
      </w:tr>
      <w:tr>
        <w:trPr>
          <w:trHeight w:val="399" w:hRule="atLeast"/>
        </w:trPr>
        <w:tc>
          <w:tcPr>
            <w:tcW w:w="417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Демонтаж электропроводки, провода на крюках (якорях) с изоляторами сечением: 16 мм2</w:t>
            </w:r>
          </w:p>
        </w:tc>
        <w:tc>
          <w:tcPr>
            <w:tcW w:w="92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405" w:hRule="atLeast"/>
        </w:trPr>
        <w:tc>
          <w:tcPr>
            <w:tcW w:w="417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Демонтаж стальных труб, проложенных на скобах диаметром: до 25 мм</w:t>
            </w:r>
          </w:p>
        </w:tc>
        <w:tc>
          <w:tcPr>
            <w:tcW w:w="92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398" w:hRule="atLeast"/>
        </w:trPr>
        <w:tc>
          <w:tcPr>
            <w:tcW w:w="417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Демонтаж винипластовых труб, проложенных на скобах диаметром: до 25 мм</w:t>
            </w:r>
          </w:p>
        </w:tc>
        <w:tc>
          <w:tcPr>
            <w:tcW w:w="92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126" w:hRule="atLeast"/>
        </w:trPr>
        <w:tc>
          <w:tcPr>
            <w:tcW w:w="417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Демонтаж кабель-канала</w:t>
            </w:r>
          </w:p>
        </w:tc>
        <w:tc>
          <w:tcPr>
            <w:tcW w:w="92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194" w:hRule="atLeast"/>
        </w:trPr>
        <w:tc>
          <w:tcPr>
            <w:tcW w:w="417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Демонтаж: выключателей, розеток</w:t>
            </w:r>
          </w:p>
        </w:tc>
        <w:tc>
          <w:tcPr>
            <w:tcW w:w="92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254" w:hRule="atLeast"/>
        </w:trPr>
        <w:tc>
          <w:tcPr>
            <w:tcW w:w="417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Демонтаж: светильников с лампами накаливания</w:t>
            </w:r>
          </w:p>
        </w:tc>
        <w:tc>
          <w:tcPr>
            <w:tcW w:w="92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284" w:hRule="atLeast"/>
        </w:trPr>
        <w:tc>
          <w:tcPr>
            <w:tcW w:w="417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Демонтаж: светильников для люминесцентных ламп</w:t>
            </w:r>
          </w:p>
        </w:tc>
        <w:tc>
          <w:tcPr>
            <w:tcW w:w="92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219" w:hRule="atLeast"/>
        </w:trPr>
        <w:tc>
          <w:tcPr>
            <w:tcW w:w="417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Демонтаж трансформатора тока</w:t>
            </w:r>
          </w:p>
        </w:tc>
        <w:tc>
          <w:tcPr>
            <w:tcW w:w="92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225" w:hRule="atLeast"/>
        </w:trPr>
        <w:tc>
          <w:tcPr>
            <w:tcW w:w="417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b/>
                <w:bCs/>
                <w:sz w:val="18"/>
                <w:szCs w:val="18"/>
              </w:rPr>
            </w:pPr>
            <w:r>
              <w:rPr>
                <w:b/>
                <w:bCs/>
                <w:sz w:val="18"/>
                <w:szCs w:val="18"/>
              </w:rPr>
              <w:t>ЗАМЕНА</w:t>
            </w:r>
          </w:p>
        </w:tc>
        <w:tc>
          <w:tcPr>
            <w:tcW w:w="92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 </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 </w:t>
            </w:r>
          </w:p>
        </w:tc>
      </w:tr>
      <w:tr>
        <w:trPr>
          <w:trHeight w:val="184" w:hRule="atLeast"/>
        </w:trPr>
        <w:tc>
          <w:tcPr>
            <w:tcW w:w="417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Замена ламп: накаливания</w:t>
            </w:r>
          </w:p>
        </w:tc>
        <w:tc>
          <w:tcPr>
            <w:tcW w:w="92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Лампы накаливания общего назначения 75 Вт</w:t>
            </w:r>
          </w:p>
        </w:tc>
      </w:tr>
      <w:tr>
        <w:trPr>
          <w:trHeight w:val="102" w:hRule="atLeast"/>
        </w:trPr>
        <w:tc>
          <w:tcPr>
            <w:tcW w:w="417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Замена ламп: люминесцентных</w:t>
            </w:r>
          </w:p>
        </w:tc>
        <w:tc>
          <w:tcPr>
            <w:tcW w:w="92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r>
      <w:tr>
        <w:trPr>
          <w:trHeight w:val="450" w:hRule="atLeast"/>
        </w:trPr>
        <w:tc>
          <w:tcPr>
            <w:tcW w:w="417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Замена светильников: с лампами накаливания</w:t>
            </w:r>
          </w:p>
        </w:tc>
        <w:tc>
          <w:tcPr>
            <w:tcW w:w="92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Светильник настенно-потолочный с рассеивателем  НПО 22-100</w:t>
            </w:r>
          </w:p>
        </w:tc>
      </w:tr>
      <w:tr>
        <w:trPr>
          <w:trHeight w:val="450" w:hRule="atLeast"/>
        </w:trPr>
        <w:tc>
          <w:tcPr>
            <w:tcW w:w="417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Замена светильников светодиодных панелей</w:t>
            </w:r>
          </w:p>
        </w:tc>
        <w:tc>
          <w:tcPr>
            <w:tcW w:w="92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Светильник светодиодный, 595x595мм, 6500К, 2900 ЛМ</w:t>
            </w:r>
          </w:p>
        </w:tc>
      </w:tr>
      <w:tr>
        <w:trPr>
          <w:trHeight w:val="450" w:hRule="atLeast"/>
        </w:trPr>
        <w:tc>
          <w:tcPr>
            <w:tcW w:w="4176"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Замена: выключателей</w:t>
            </w:r>
          </w:p>
        </w:tc>
        <w:tc>
          <w:tcPr>
            <w:tcW w:w="92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Выключатель одноклавишный для открытой проводки Legrand, цвет белый</w:t>
            </w:r>
          </w:p>
        </w:tc>
      </w:tr>
      <w:tr>
        <w:trPr>
          <w:trHeight w:val="450" w:hRule="atLeast"/>
        </w:trPr>
        <w:tc>
          <w:tcPr>
            <w:tcW w:w="4176"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92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Выключатель одноклавишный для скрытой проводки Legrand, цвет белый</w:t>
            </w:r>
          </w:p>
        </w:tc>
      </w:tr>
      <w:tr>
        <w:trPr>
          <w:trHeight w:val="450" w:hRule="atLeast"/>
        </w:trPr>
        <w:tc>
          <w:tcPr>
            <w:tcW w:w="4176"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Замена: розеток</w:t>
            </w:r>
          </w:p>
        </w:tc>
        <w:tc>
          <w:tcPr>
            <w:tcW w:w="92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Розетка открытой проводки Legrand с заземлением, без шторок, цвет белый</w:t>
            </w:r>
          </w:p>
        </w:tc>
      </w:tr>
      <w:tr>
        <w:trPr>
          <w:trHeight w:val="215" w:hRule="atLeast"/>
        </w:trPr>
        <w:tc>
          <w:tcPr>
            <w:tcW w:w="4176"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92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Розетка скрытой проводки с заземлением, без шторок</w:t>
            </w:r>
          </w:p>
        </w:tc>
      </w:tr>
      <w:tr>
        <w:trPr>
          <w:trHeight w:val="450" w:hRule="atLeast"/>
        </w:trPr>
        <w:tc>
          <w:tcPr>
            <w:tcW w:w="4176"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92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Коробка для установки розеток и выключателей скрытой проводки</w:t>
            </w:r>
          </w:p>
        </w:tc>
      </w:tr>
      <w:tr>
        <w:trPr>
          <w:trHeight w:val="81" w:hRule="atLeast"/>
        </w:trPr>
        <w:tc>
          <w:tcPr>
            <w:tcW w:w="417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Замена автомата однополюсного</w:t>
            </w:r>
          </w:p>
        </w:tc>
        <w:tc>
          <w:tcPr>
            <w:tcW w:w="92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Автомат однополюсный 20А</w:t>
            </w:r>
          </w:p>
        </w:tc>
      </w:tr>
      <w:tr>
        <w:trPr>
          <w:trHeight w:val="156" w:hRule="atLeast"/>
        </w:trPr>
        <w:tc>
          <w:tcPr>
            <w:tcW w:w="417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Замена автомата трёхполюсного</w:t>
            </w:r>
          </w:p>
        </w:tc>
        <w:tc>
          <w:tcPr>
            <w:tcW w:w="92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Автомат трёхполюсный 32А</w:t>
            </w:r>
          </w:p>
        </w:tc>
      </w:tr>
      <w:tr>
        <w:trPr>
          <w:trHeight w:val="216" w:hRule="atLeast"/>
        </w:trPr>
        <w:tc>
          <w:tcPr>
            <w:tcW w:w="417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Замена электросчетчиков</w:t>
            </w:r>
          </w:p>
        </w:tc>
        <w:tc>
          <w:tcPr>
            <w:tcW w:w="92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без стоимости счётчика</w:t>
            </w:r>
          </w:p>
        </w:tc>
      </w:tr>
      <w:tr>
        <w:trPr>
          <w:trHeight w:val="141" w:hRule="atLeast"/>
        </w:trPr>
        <w:tc>
          <w:tcPr>
            <w:tcW w:w="417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Ремонт силового предохранительного шкафа</w:t>
            </w:r>
          </w:p>
        </w:tc>
        <w:tc>
          <w:tcPr>
            <w:tcW w:w="92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139" w:hRule="atLeast"/>
        </w:trPr>
        <w:tc>
          <w:tcPr>
            <w:tcW w:w="4176"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Монтаж коробов пластмассовых: шириной до 40 мм</w:t>
            </w:r>
          </w:p>
        </w:tc>
        <w:tc>
          <w:tcPr>
            <w:tcW w:w="924"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2м</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Кабель-канал (короб) 40x25 мм</w:t>
            </w:r>
          </w:p>
        </w:tc>
      </w:tr>
      <w:tr>
        <w:trPr>
          <w:trHeight w:val="200" w:hRule="atLeast"/>
        </w:trPr>
        <w:tc>
          <w:tcPr>
            <w:tcW w:w="4176"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924"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Кабель-канал (короб) 25x16 мм</w:t>
            </w:r>
          </w:p>
        </w:tc>
      </w:tr>
      <w:tr>
        <w:trPr>
          <w:trHeight w:val="132" w:hRule="atLeast"/>
        </w:trPr>
        <w:tc>
          <w:tcPr>
            <w:tcW w:w="4176"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924"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Кабель-канал (короб) 40х16 мм</w:t>
            </w:r>
          </w:p>
        </w:tc>
      </w:tr>
      <w:tr>
        <w:trPr>
          <w:trHeight w:val="191" w:hRule="atLeast"/>
        </w:trPr>
        <w:tc>
          <w:tcPr>
            <w:tcW w:w="4176"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Монтаж коробов пластмассовых: шириной до 63 мм</w:t>
            </w:r>
          </w:p>
        </w:tc>
        <w:tc>
          <w:tcPr>
            <w:tcW w:w="924"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2м</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Кабель-канал (короб) 60х40 мм</w:t>
            </w:r>
          </w:p>
        </w:tc>
      </w:tr>
      <w:tr>
        <w:trPr>
          <w:trHeight w:val="110" w:hRule="atLeast"/>
        </w:trPr>
        <w:tc>
          <w:tcPr>
            <w:tcW w:w="4176"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924"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Кабель-канал (короб) 60x60 мм</w:t>
            </w:r>
          </w:p>
        </w:tc>
      </w:tr>
      <w:tr>
        <w:trPr>
          <w:trHeight w:val="260" w:hRule="atLeast"/>
        </w:trPr>
        <w:tc>
          <w:tcPr>
            <w:tcW w:w="417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провода в коробах, сечением: до 6 мм2</w:t>
            </w:r>
          </w:p>
        </w:tc>
        <w:tc>
          <w:tcPr>
            <w:tcW w:w="92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601" w:hRule="atLeast"/>
        </w:trPr>
        <w:tc>
          <w:tcPr>
            <w:tcW w:w="4176"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кабеля трех-пятижильного сечением жилы до 16 мм2 с креплением накладными скобами, полосками с установкой ответвительных коробок</w:t>
            </w:r>
          </w:p>
        </w:tc>
        <w:tc>
          <w:tcPr>
            <w:tcW w:w="92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Кабель с медными жилами в изоляции из ПВХ пластиката, с промежуточной оболочкой из резиновой смеси, с наружным покровом из ПВХ пластиката, не поддерживающего горение: NUM 3х2,5 мм2</w:t>
            </w:r>
          </w:p>
        </w:tc>
      </w:tr>
      <w:tr>
        <w:trPr>
          <w:trHeight w:val="768" w:hRule="atLeast"/>
        </w:trPr>
        <w:tc>
          <w:tcPr>
            <w:tcW w:w="4176"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92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Кабель с медными жилами в изоляции из ПВХ пластиката, с промежуточной оболочкой из резиновой смеси, с наружным покровом из ПВХ пластиката, не поддерживающего горение,: NUM 3х1,5 мм2</w:t>
            </w:r>
          </w:p>
        </w:tc>
      </w:tr>
      <w:tr>
        <w:trPr>
          <w:trHeight w:val="214" w:hRule="atLeast"/>
        </w:trPr>
        <w:tc>
          <w:tcPr>
            <w:tcW w:w="4176"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92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Кабель силовой с медными жилами ВВГнг 3х2,5-660</w:t>
            </w:r>
          </w:p>
        </w:tc>
      </w:tr>
      <w:tr>
        <w:trPr>
          <w:trHeight w:val="450" w:hRule="atLeast"/>
        </w:trPr>
        <w:tc>
          <w:tcPr>
            <w:tcW w:w="4176"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Монтаж коробок ответвительных на стене</w:t>
            </w:r>
          </w:p>
        </w:tc>
        <w:tc>
          <w:tcPr>
            <w:tcW w:w="92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Коробка разветвительная для открытой проводки KP 2603 "HEGEL" размером 80х80х40 мм</w:t>
            </w:r>
          </w:p>
        </w:tc>
      </w:tr>
      <w:tr>
        <w:trPr>
          <w:trHeight w:val="450" w:hRule="atLeast"/>
        </w:trPr>
        <w:tc>
          <w:tcPr>
            <w:tcW w:w="4176"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92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Коробка разветвительная для скрытой проводки размером 80х40 мм</w:t>
            </w:r>
          </w:p>
        </w:tc>
      </w:tr>
      <w:tr>
        <w:trPr>
          <w:trHeight w:val="165" w:hRule="atLeast"/>
        </w:trPr>
        <w:tc>
          <w:tcPr>
            <w:tcW w:w="417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Штробление стен под прокладку провода</w:t>
            </w:r>
          </w:p>
        </w:tc>
        <w:tc>
          <w:tcPr>
            <w:tcW w:w="92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299" w:hRule="atLeast"/>
        </w:trPr>
        <w:tc>
          <w:tcPr>
            <w:tcW w:w="417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Затягивание провода в гофротрубу</w:t>
            </w:r>
          </w:p>
        </w:tc>
        <w:tc>
          <w:tcPr>
            <w:tcW w:w="92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611" w:hRule="atLeast"/>
        </w:trPr>
        <w:tc>
          <w:tcPr>
            <w:tcW w:w="417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трубы гофрированной ПВХ для защиты проводов и кабелей по установленным конструкциям, по стенам, колоннам, потолкам, основанию пола</w:t>
            </w:r>
          </w:p>
        </w:tc>
        <w:tc>
          <w:tcPr>
            <w:tcW w:w="92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Трубы гофрированные ПВХ с протяжкой, номинальный внутренний диаметр 32 мм</w:t>
            </w:r>
          </w:p>
        </w:tc>
      </w:tr>
      <w:tr>
        <w:trPr>
          <w:trHeight w:val="195" w:hRule="atLeast"/>
        </w:trPr>
        <w:tc>
          <w:tcPr>
            <w:tcW w:w="4176"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Прокладка резинобитумных трубок с затягивание проводов, количество проводов: до 3, сечение провода до 16 мм2</w:t>
            </w:r>
          </w:p>
        </w:tc>
        <w:tc>
          <w:tcPr>
            <w:tcW w:w="92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Трубы ПВХ, номинальный внутренний диаметр 20 мм</w:t>
            </w:r>
          </w:p>
        </w:tc>
      </w:tr>
      <w:tr>
        <w:trPr>
          <w:trHeight w:val="450" w:hRule="atLeast"/>
        </w:trPr>
        <w:tc>
          <w:tcPr>
            <w:tcW w:w="4176"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92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Трубы ПВХ, номинальный внутренний диаметр 16 мм</w:t>
            </w:r>
          </w:p>
        </w:tc>
      </w:tr>
      <w:tr>
        <w:trPr>
          <w:trHeight w:val="477" w:hRule="atLeast"/>
        </w:trPr>
        <w:tc>
          <w:tcPr>
            <w:tcW w:w="417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Установка выключателя: одноклавишного неутопленного типа при открытой проводке</w:t>
            </w:r>
          </w:p>
        </w:tc>
        <w:tc>
          <w:tcPr>
            <w:tcW w:w="92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455" w:hRule="atLeast"/>
        </w:trPr>
        <w:tc>
          <w:tcPr>
            <w:tcW w:w="417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Установка выключателя: одноклавишного утопленного типа при скрытой проводке</w:t>
            </w:r>
          </w:p>
        </w:tc>
        <w:tc>
          <w:tcPr>
            <w:tcW w:w="92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w:t>
            </w:r>
          </w:p>
        </w:tc>
      </w:tr>
      <w:tr>
        <w:trPr>
          <w:trHeight w:val="405" w:hRule="atLeast"/>
        </w:trPr>
        <w:tc>
          <w:tcPr>
            <w:tcW w:w="417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Установка розетки штепсельной: неутопленного типа при открытой проводке</w:t>
            </w:r>
          </w:p>
        </w:tc>
        <w:tc>
          <w:tcPr>
            <w:tcW w:w="92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Розетка открытой проводки двухгнездная с заземлением</w:t>
            </w:r>
          </w:p>
        </w:tc>
      </w:tr>
      <w:tr>
        <w:trPr>
          <w:trHeight w:val="491" w:hRule="atLeast"/>
        </w:trPr>
        <w:tc>
          <w:tcPr>
            <w:tcW w:w="417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Установка розетки штепсельной: утопленного типа при скрытой проводке</w:t>
            </w:r>
          </w:p>
        </w:tc>
        <w:tc>
          <w:tcPr>
            <w:tcW w:w="92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Розетка скрытой проводки с заземлением</w:t>
            </w:r>
          </w:p>
        </w:tc>
      </w:tr>
      <w:tr>
        <w:trPr>
          <w:trHeight w:val="334" w:hRule="atLeast"/>
        </w:trPr>
        <w:tc>
          <w:tcPr>
            <w:tcW w:w="417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Монтаж светильника: с подвеской к смонтированной тросовой проводке</w:t>
            </w:r>
          </w:p>
        </w:tc>
        <w:tc>
          <w:tcPr>
            <w:tcW w:w="92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Светильник светодиодный  двухламповый 76W,9500L</w:t>
            </w:r>
          </w:p>
        </w:tc>
      </w:tr>
      <w:tr>
        <w:trPr>
          <w:trHeight w:val="197" w:hRule="atLeast"/>
        </w:trPr>
        <w:tc>
          <w:tcPr>
            <w:tcW w:w="4176"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Монтаж распределительного щитка на 9 модулей с расключением</w:t>
            </w:r>
          </w:p>
        </w:tc>
        <w:tc>
          <w:tcPr>
            <w:tcW w:w="924" w:type="dxa"/>
            <w:gridSpan w:val="2"/>
            <w:vMerge w:val="restart"/>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 xml:space="preserve">Щит распределительный навесной металлический на 9 модулей </w:t>
            </w:r>
          </w:p>
        </w:tc>
      </w:tr>
      <w:tr>
        <w:trPr>
          <w:trHeight w:val="467" w:hRule="atLeast"/>
        </w:trPr>
        <w:tc>
          <w:tcPr>
            <w:tcW w:w="4176"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924"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val="false"/>
              <w:snapToGrid w:val="false"/>
              <w:jc w:val="center"/>
              <w:rPr>
                <w:sz w:val="18"/>
                <w:szCs w:val="18"/>
              </w:rPr>
            </w:pPr>
            <w:r>
              <w:rPr>
                <w:sz w:val="18"/>
                <w:szCs w:val="18"/>
              </w:rPr>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Щит распределительный навесной на 12 модулей пластмассовый</w:t>
            </w:r>
          </w:p>
        </w:tc>
      </w:tr>
      <w:tr>
        <w:trPr>
          <w:trHeight w:val="437" w:hRule="atLeast"/>
        </w:trPr>
        <w:tc>
          <w:tcPr>
            <w:tcW w:w="417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Монтаж предохранителя, устанавливаемый на изоляционном основании, на ток: до 250 А</w:t>
            </w:r>
          </w:p>
        </w:tc>
        <w:tc>
          <w:tcPr>
            <w:tcW w:w="924"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шт</w:t>
            </w:r>
          </w:p>
        </w:tc>
        <w:tc>
          <w:tcPr>
            <w:tcW w:w="4835" w:type="dxa"/>
            <w:gridSpan w:val="2"/>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8"/>
                <w:szCs w:val="18"/>
              </w:rPr>
            </w:pPr>
            <w:r>
              <w:rPr>
                <w:sz w:val="18"/>
                <w:szCs w:val="18"/>
              </w:rPr>
              <w:t>Вставки плавкие к предохранителям типа ПН-2 200А</w:t>
            </w:r>
          </w:p>
        </w:tc>
      </w:tr>
    </w:tbl>
    <w:p>
      <w:pPr>
        <w:pStyle w:val="Normal"/>
        <w:jc w:val="end"/>
        <w:rPr>
          <w:sz w:val="18"/>
          <w:szCs w:val="18"/>
        </w:rPr>
      </w:pPr>
      <w:r>
        <w:rPr>
          <w:sz w:val="18"/>
          <w:szCs w:val="18"/>
        </w:rPr>
      </w:r>
    </w:p>
    <w:p>
      <w:pPr>
        <w:pStyle w:val="Normal"/>
        <w:jc w:val="end"/>
        <w:rPr>
          <w:sz w:val="18"/>
          <w:szCs w:val="18"/>
        </w:rPr>
      </w:pPr>
      <w:r>
        <w:rPr>
          <w:sz w:val="18"/>
          <w:szCs w:val="18"/>
        </w:rPr>
      </w:r>
    </w:p>
    <w:p>
      <w:pPr>
        <w:pStyle w:val="Normal"/>
        <w:jc w:val="end"/>
        <w:rPr>
          <w:sz w:val="18"/>
          <w:szCs w:val="18"/>
        </w:rPr>
      </w:pPr>
      <w:r>
        <w:rPr>
          <w:sz w:val="18"/>
          <w:szCs w:val="18"/>
        </w:rPr>
      </w:r>
    </w:p>
    <w:p>
      <w:pPr>
        <w:pStyle w:val="Normal"/>
        <w:jc w:val="end"/>
        <w:rPr>
          <w:sz w:val="18"/>
          <w:szCs w:val="18"/>
        </w:rPr>
      </w:pPr>
      <w:r>
        <w:rPr>
          <w:sz w:val="18"/>
          <w:szCs w:val="18"/>
        </w:rPr>
      </w:r>
    </w:p>
    <w:p>
      <w:pPr>
        <w:pStyle w:val="Normal"/>
        <w:jc w:val="end"/>
        <w:rPr>
          <w:sz w:val="18"/>
          <w:szCs w:val="18"/>
        </w:rPr>
      </w:pPr>
      <w:r>
        <w:rPr>
          <w:sz w:val="18"/>
          <w:szCs w:val="18"/>
        </w:rPr>
      </w:r>
    </w:p>
    <w:p>
      <w:pPr>
        <w:pStyle w:val="Normal"/>
        <w:jc w:val="end"/>
        <w:rPr>
          <w:sz w:val="18"/>
          <w:szCs w:val="18"/>
        </w:rPr>
      </w:pPr>
      <w:r>
        <w:rPr>
          <w:sz w:val="18"/>
          <w:szCs w:val="18"/>
        </w:rPr>
      </w:r>
    </w:p>
    <w:p>
      <w:pPr>
        <w:pStyle w:val="Normal"/>
        <w:jc w:val="end"/>
        <w:rPr>
          <w:sz w:val="18"/>
          <w:szCs w:val="18"/>
        </w:rPr>
      </w:pPr>
      <w:r>
        <w:rPr>
          <w:sz w:val="18"/>
          <w:szCs w:val="18"/>
        </w:rPr>
      </w:r>
    </w:p>
    <w:p>
      <w:pPr>
        <w:pStyle w:val="Normal"/>
        <w:jc w:val="end"/>
        <w:rPr>
          <w:sz w:val="18"/>
          <w:szCs w:val="18"/>
        </w:rPr>
      </w:pPr>
      <w:r>
        <w:rPr>
          <w:sz w:val="18"/>
          <w:szCs w:val="18"/>
        </w:rPr>
      </w:r>
    </w:p>
    <w:p>
      <w:pPr>
        <w:pStyle w:val="Normal"/>
        <w:jc w:val="end"/>
        <w:rPr>
          <w:sz w:val="18"/>
          <w:szCs w:val="18"/>
        </w:rPr>
      </w:pPr>
      <w:r>
        <w:rPr>
          <w:sz w:val="18"/>
          <w:szCs w:val="18"/>
        </w:rPr>
      </w:r>
    </w:p>
    <w:p>
      <w:pPr>
        <w:pStyle w:val="Normal"/>
        <w:jc w:val="end"/>
        <w:rPr>
          <w:sz w:val="18"/>
          <w:szCs w:val="18"/>
        </w:rPr>
      </w:pPr>
      <w:r>
        <w:rPr>
          <w:sz w:val="18"/>
          <w:szCs w:val="18"/>
        </w:rPr>
      </w:r>
    </w:p>
    <w:p>
      <w:pPr>
        <w:pStyle w:val="Normal"/>
        <w:jc w:val="end"/>
        <w:rPr>
          <w:sz w:val="18"/>
          <w:szCs w:val="18"/>
        </w:rPr>
      </w:pPr>
      <w:r>
        <w:rPr>
          <w:sz w:val="18"/>
          <w:szCs w:val="18"/>
        </w:rPr>
      </w:r>
    </w:p>
    <w:p>
      <w:pPr>
        <w:pStyle w:val="Normal"/>
        <w:jc w:val="end"/>
        <w:rPr>
          <w:sz w:val="18"/>
          <w:szCs w:val="18"/>
        </w:rPr>
      </w:pPr>
      <w:r>
        <w:rPr>
          <w:sz w:val="18"/>
          <w:szCs w:val="18"/>
        </w:rPr>
      </w:r>
    </w:p>
    <w:p>
      <w:pPr>
        <w:pStyle w:val="Normal"/>
        <w:jc w:val="end"/>
        <w:rPr>
          <w:sz w:val="18"/>
          <w:szCs w:val="18"/>
        </w:rPr>
      </w:pPr>
      <w:r>
        <w:rPr>
          <w:sz w:val="18"/>
          <w:szCs w:val="18"/>
        </w:rPr>
      </w:r>
    </w:p>
    <w:p>
      <w:pPr>
        <w:pStyle w:val="Normal"/>
        <w:jc w:val="end"/>
        <w:rPr>
          <w:sz w:val="18"/>
          <w:szCs w:val="18"/>
        </w:rPr>
      </w:pPr>
      <w:r>
        <w:rPr>
          <w:sz w:val="18"/>
          <w:szCs w:val="18"/>
        </w:rPr>
      </w:r>
    </w:p>
    <w:p>
      <w:pPr>
        <w:pStyle w:val="Normal"/>
        <w:jc w:val="end"/>
        <w:rPr>
          <w:sz w:val="18"/>
          <w:szCs w:val="18"/>
        </w:rPr>
      </w:pPr>
      <w:r>
        <w:rPr>
          <w:sz w:val="18"/>
          <w:szCs w:val="18"/>
        </w:rPr>
      </w:r>
    </w:p>
    <w:p>
      <w:pPr>
        <w:pStyle w:val="Normal"/>
        <w:jc w:val="end"/>
        <w:rPr>
          <w:sz w:val="18"/>
          <w:szCs w:val="18"/>
        </w:rPr>
      </w:pPr>
      <w:r>
        <w:rPr>
          <w:sz w:val="18"/>
          <w:szCs w:val="18"/>
        </w:rPr>
      </w:r>
    </w:p>
    <w:p>
      <w:pPr>
        <w:pStyle w:val="Normal"/>
        <w:jc w:val="end"/>
        <w:rPr>
          <w:sz w:val="18"/>
          <w:szCs w:val="18"/>
        </w:rPr>
      </w:pPr>
      <w:r>
        <w:rPr>
          <w:sz w:val="18"/>
          <w:szCs w:val="18"/>
        </w:rPr>
      </w:r>
    </w:p>
    <w:p>
      <w:pPr>
        <w:pStyle w:val="Normal"/>
        <w:jc w:val="end"/>
        <w:rPr>
          <w:sz w:val="18"/>
          <w:szCs w:val="18"/>
        </w:rPr>
      </w:pPr>
      <w:r>
        <w:rPr>
          <w:sz w:val="18"/>
          <w:szCs w:val="18"/>
        </w:rPr>
      </w:r>
    </w:p>
    <w:p>
      <w:pPr>
        <w:pStyle w:val="Normal"/>
        <w:jc w:val="end"/>
        <w:rPr>
          <w:sz w:val="18"/>
          <w:szCs w:val="18"/>
        </w:rPr>
      </w:pPr>
      <w:r>
        <w:rPr>
          <w:sz w:val="18"/>
          <w:szCs w:val="18"/>
        </w:rPr>
      </w:r>
    </w:p>
    <w:p>
      <w:pPr>
        <w:pStyle w:val="Normal"/>
        <w:jc w:val="end"/>
        <w:rPr>
          <w:sz w:val="18"/>
          <w:szCs w:val="18"/>
        </w:rPr>
      </w:pPr>
      <w:r>
        <w:rPr>
          <w:sz w:val="18"/>
          <w:szCs w:val="18"/>
        </w:rPr>
      </w:r>
    </w:p>
    <w:p>
      <w:pPr>
        <w:pStyle w:val="Normal"/>
        <w:jc w:val="end"/>
        <w:rPr>
          <w:sz w:val="18"/>
          <w:szCs w:val="18"/>
        </w:rPr>
      </w:pPr>
      <w:r>
        <w:rPr>
          <w:sz w:val="18"/>
          <w:szCs w:val="18"/>
        </w:rPr>
      </w:r>
    </w:p>
    <w:p>
      <w:pPr>
        <w:pStyle w:val="Normal"/>
        <w:jc w:val="end"/>
        <w:rPr>
          <w:sz w:val="18"/>
          <w:szCs w:val="18"/>
        </w:rPr>
      </w:pPr>
      <w:r>
        <w:rPr>
          <w:sz w:val="18"/>
          <w:szCs w:val="18"/>
        </w:rPr>
      </w:r>
    </w:p>
    <w:p>
      <w:pPr>
        <w:pStyle w:val="Normal"/>
        <w:jc w:val="end"/>
        <w:rPr>
          <w:sz w:val="18"/>
          <w:szCs w:val="18"/>
        </w:rPr>
      </w:pPr>
      <w:r>
        <w:rPr>
          <w:sz w:val="18"/>
          <w:szCs w:val="18"/>
        </w:rPr>
      </w:r>
    </w:p>
    <w:p>
      <w:pPr>
        <w:pStyle w:val="Normal"/>
        <w:jc w:val="end"/>
        <w:rPr>
          <w:sz w:val="18"/>
          <w:szCs w:val="18"/>
        </w:rPr>
      </w:pPr>
      <w:r>
        <w:rPr>
          <w:sz w:val="18"/>
          <w:szCs w:val="18"/>
        </w:rPr>
      </w:r>
    </w:p>
    <w:p>
      <w:pPr>
        <w:pStyle w:val="Normal"/>
        <w:jc w:val="end"/>
        <w:rPr>
          <w:sz w:val="18"/>
          <w:szCs w:val="18"/>
        </w:rPr>
      </w:pPr>
      <w:r>
        <w:rPr>
          <w:sz w:val="18"/>
          <w:szCs w:val="18"/>
        </w:rPr>
      </w:r>
    </w:p>
    <w:p>
      <w:pPr>
        <w:pStyle w:val="Normal"/>
        <w:jc w:val="end"/>
        <w:rPr>
          <w:sz w:val="18"/>
          <w:szCs w:val="18"/>
        </w:rPr>
      </w:pPr>
      <w:r>
        <w:rPr>
          <w:sz w:val="18"/>
          <w:szCs w:val="18"/>
        </w:rPr>
      </w:r>
    </w:p>
    <w:p>
      <w:pPr>
        <w:pStyle w:val="Normal"/>
        <w:jc w:val="end"/>
        <w:rPr>
          <w:sz w:val="18"/>
          <w:szCs w:val="18"/>
        </w:rPr>
      </w:pPr>
      <w:r>
        <w:rPr>
          <w:sz w:val="18"/>
          <w:szCs w:val="18"/>
        </w:rPr>
      </w:r>
    </w:p>
    <w:p>
      <w:pPr>
        <w:pStyle w:val="Normal"/>
        <w:jc w:val="end"/>
        <w:rPr>
          <w:sz w:val="18"/>
          <w:szCs w:val="18"/>
        </w:rPr>
      </w:pPr>
      <w:r>
        <w:rPr>
          <w:sz w:val="18"/>
          <w:szCs w:val="18"/>
        </w:rPr>
      </w:r>
    </w:p>
    <w:p>
      <w:pPr>
        <w:pStyle w:val="Normal"/>
        <w:jc w:val="end"/>
        <w:rPr>
          <w:sz w:val="18"/>
          <w:szCs w:val="18"/>
        </w:rPr>
      </w:pPr>
      <w:r>
        <w:rPr>
          <w:sz w:val="18"/>
          <w:szCs w:val="18"/>
        </w:rPr>
      </w:r>
    </w:p>
    <w:p>
      <w:pPr>
        <w:pStyle w:val="Normal"/>
        <w:jc w:val="end"/>
        <w:rPr>
          <w:sz w:val="18"/>
          <w:szCs w:val="18"/>
        </w:rPr>
      </w:pPr>
      <w:r>
        <w:rPr>
          <w:sz w:val="18"/>
          <w:szCs w:val="18"/>
        </w:rPr>
      </w:r>
    </w:p>
    <w:p>
      <w:pPr>
        <w:pStyle w:val="Normal"/>
        <w:jc w:val="end"/>
        <w:rPr>
          <w:sz w:val="18"/>
          <w:szCs w:val="18"/>
        </w:rPr>
      </w:pPr>
      <w:r>
        <w:rPr>
          <w:sz w:val="18"/>
          <w:szCs w:val="18"/>
        </w:rPr>
      </w:r>
    </w:p>
    <w:sectPr>
      <w:headerReference w:type="default" r:id="rId2"/>
      <w:headerReference w:type="first" r:id="rId3"/>
      <w:type w:val="nextPage"/>
      <w:pgSz w:w="11906" w:h="16838"/>
      <w:pgMar w:left="1701" w:right="851" w:gutter="0" w:header="720" w:top="1134" w:footer="0"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PT Astra Serif">
    <w:charset w:val="01"/>
    <w:family w:val="roman"/>
    <w:pitch w:val="default"/>
  </w:font>
  <w:font w:name="Times New Roman">
    <w:charset w:val="cc" w:characterSet="windows-1251"/>
    <w:family w:val="roman"/>
    <w:pitch w:val="variable"/>
  </w:font>
  <w:font w:name="Arial">
    <w:charset w:val="cc" w:characterSet="windows-1251"/>
    <w:family w:val="swiss"/>
    <w:pitch w:val="variable"/>
  </w:font>
  <w:font w:name="Bookman Old Style">
    <w:charset w:val="cc" w:characterSet="windows-1251"/>
    <w:family w:val="roman"/>
    <w:pitch w:val="variable"/>
  </w:font>
  <w:font w:name="Calibri Light">
    <w:charset w:val="cc" w:characterSet="windows-1251"/>
    <w:family w:val="swiss"/>
    <w:pitch w:val="variable"/>
  </w:font>
  <w:font w:name="Calibri">
    <w:charset w:val="cc" w:characterSet="windows-1251"/>
    <w:family w:val="swiss"/>
    <w:pitch w:val="variable"/>
  </w:font>
  <w:font w:name="Courier New">
    <w:charset w:val="cc" w:characterSet="windows-1251"/>
    <w:family w:val="modern"/>
    <w:pitch w:val="default"/>
  </w:font>
  <w:font w:name="Cambria">
    <w:charset w:val="cc" w:characterSet="windows-1251"/>
    <w:family w:val="roman"/>
    <w:pitch w:val="variable"/>
  </w:font>
  <w:font w:name="Tahoma">
    <w:charset w:val="cc" w:characterSet="windows-1251"/>
    <w:family w:val="swiss"/>
    <w:pitch w:val="variable"/>
  </w:font>
  <w:font w:name="Consolas">
    <w:charset w:val="cc" w:characterSet="windows-1251"/>
    <w:family w:val="modern"/>
    <w:pitch w:val="default"/>
  </w:font>
  <w:font w:name="Wingdings">
    <w:charset w:val="02"/>
    <w:family w:val="auto"/>
    <w:pitch w:val="variable"/>
  </w:font>
  <w:font w:name="Segoe UI">
    <w:charset w:val="cc" w:characterSet="windows-1251"/>
    <w:family w:val="swiss"/>
    <w:pitch w:val="variable"/>
  </w:font>
  <w:font w:name="PT Astra Serif">
    <w:altName w:val="Times New Roman"/>
    <w:charset w:val="01"/>
    <w:family w:val="roman"/>
    <w:pitch w:val="default"/>
  </w:font>
  <w:font w:name="Times New Roman Bold">
    <w:charset w:val="00" w:characterSet="windows-1252"/>
    <w:family w:val="roman"/>
    <w:pitch w:val="default"/>
  </w:font>
  <w:font w:name="Arial Narrow">
    <w:charset w:val="cc" w:characterSet="windows-1251"/>
    <w:family w:val="swiss"/>
    <w:pitch w:val="variable"/>
  </w:font>
  <w:font w:name="Verdana">
    <w:charset w:val="cc" w:characterSet="windows-1251"/>
    <w:family w:val="swiss"/>
    <w:pitch w:val="variable"/>
  </w:font>
  <w:font w:name="TimesET">
    <w:charset w:val="00" w:characterSet="windows-1252"/>
    <w:family w:val="auto"/>
    <w:pitch w:val="default"/>
  </w:font>
  <w:font w:name="Arial CYR">
    <w:charset w:val="cc" w:characterSet="windows-1251"/>
    <w:family w:val="swiss"/>
    <w:pitch w:val="variable"/>
  </w:font>
  <w:font w:name="Times">
    <w:altName w:val="Times New Roman"/>
    <w:charset w:val="cc" w:characterSet="windows-1251"/>
    <w:family w:val="roman"/>
    <w:pitch w:val="variable"/>
  </w:font>
  <w:font w:name="Calibri">
    <w:charset w:val="01"/>
    <w:family w:val="roman"/>
    <w:pitch w:val="default"/>
  </w:font>
  <w:font w:name="Times New Roman">
    <w:charset w:val="01"/>
    <w:family w:val="roman"/>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20</w:t>
    </w:r>
    <w:r>
      <w:rPr/>
      <w:fldChar w:fldCharType="end"/>
    </w:r>
  </w:p>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pStyle w:val="Heading6"/>
      <w:numFmt w:val="none"/>
      <w:suff w:val="nothing"/>
      <w:lvlText w:val=""/>
      <w:lvlJc w:val="start"/>
      <w:pPr>
        <w:tabs>
          <w:tab w:val="num" w:pos="0"/>
        </w:tabs>
        <w:ind w:start="0" w:hanging="0"/>
      </w:pPr>
    </w:lvl>
    <w:lvl w:ilvl="6">
      <w:start w:val="1"/>
      <w:pStyle w:val="Heading7"/>
      <w:numFmt w:val="none"/>
      <w:suff w:val="nothing"/>
      <w:lvlText w:val=""/>
      <w:lvlJc w:val="start"/>
      <w:pPr>
        <w:tabs>
          <w:tab w:val="num" w:pos="0"/>
        </w:tabs>
        <w:ind w:start="0" w:hanging="0"/>
      </w:pPr>
    </w:lvl>
    <w:lvl w:ilvl="7">
      <w:start w:val="1"/>
      <w:pStyle w:val="Heading8"/>
      <w:numFmt w:val="none"/>
      <w:suff w:val="nothing"/>
      <w:lvlText w:val=""/>
      <w:lvlJc w:val="start"/>
      <w:pPr>
        <w:tabs>
          <w:tab w:val="num" w:pos="0"/>
        </w:tabs>
        <w:ind w:start="0" w:hanging="0"/>
      </w:pPr>
    </w:lvl>
    <w:lvl w:ilvl="8">
      <w:start w:val="1"/>
      <w:pStyle w:val="Heading9"/>
      <w:numFmt w:val="none"/>
      <w:suff w:val="nothing"/>
      <w:lvlText w:val=""/>
      <w:lvlJc w:val="start"/>
      <w:pPr>
        <w:tabs>
          <w:tab w:val="num" w:pos="0"/>
        </w:tabs>
        <w:ind w:start="0" w:hanging="0"/>
      </w:pPr>
    </w:lvl>
  </w:abstractNum>
  <w:abstractNum w:abstractNumId="2">
    <w:lvl w:ilvl="0">
      <w:start w:val="3"/>
      <w:numFmt w:val="decimal"/>
      <w:lvlText w:val="%1."/>
      <w:lvlJc w:val="start"/>
      <w:pPr>
        <w:tabs>
          <w:tab w:val="num" w:pos="720"/>
        </w:tabs>
        <w:ind w:start="720" w:hanging="360"/>
      </w:pPr>
    </w:lvl>
    <w:lvl w:ilvl="1">
      <w:start w:val="1"/>
      <w:numFmt w:val="lowerLetter"/>
      <w:lvlText w:val="%2."/>
      <w:lvlJc w:val="start"/>
      <w:pPr>
        <w:tabs>
          <w:tab w:val="num" w:pos="1440"/>
        </w:tabs>
        <w:ind w:start="1440" w:hanging="360"/>
      </w:pPr>
    </w:lvl>
    <w:lvl w:ilvl="2">
      <w:start w:val="1"/>
      <w:numFmt w:val="lowerRoman"/>
      <w:lvlText w:val="%3."/>
      <w:lvlJc w:val="end"/>
      <w:pPr>
        <w:tabs>
          <w:tab w:val="num" w:pos="2160"/>
        </w:tabs>
        <w:ind w:start="2160" w:hanging="180"/>
      </w:pPr>
    </w:lvl>
    <w:lvl w:ilvl="3">
      <w:start w:val="1"/>
      <w:numFmt w:val="decimal"/>
      <w:lvlText w:val="%4."/>
      <w:lvlJc w:val="start"/>
      <w:pPr>
        <w:tabs>
          <w:tab w:val="num" w:pos="2880"/>
        </w:tabs>
        <w:ind w:start="2880" w:hanging="360"/>
      </w:pPr>
    </w:lvl>
    <w:lvl w:ilvl="4">
      <w:start w:val="1"/>
      <w:numFmt w:val="lowerLetter"/>
      <w:lvlText w:val="%5."/>
      <w:lvlJc w:val="start"/>
      <w:pPr>
        <w:tabs>
          <w:tab w:val="num" w:pos="3600"/>
        </w:tabs>
        <w:ind w:start="3600" w:hanging="360"/>
      </w:pPr>
    </w:lvl>
    <w:lvl w:ilvl="5">
      <w:start w:val="1"/>
      <w:numFmt w:val="lowerRoman"/>
      <w:lvlText w:val="%6."/>
      <w:lvlJc w:val="end"/>
      <w:pPr>
        <w:tabs>
          <w:tab w:val="num" w:pos="4320"/>
        </w:tabs>
        <w:ind w:start="4320" w:hanging="180"/>
      </w:pPr>
    </w:lvl>
    <w:lvl w:ilvl="6">
      <w:start w:val="1"/>
      <w:numFmt w:val="decimal"/>
      <w:lvlText w:val="%7."/>
      <w:lvlJc w:val="start"/>
      <w:pPr>
        <w:tabs>
          <w:tab w:val="num" w:pos="5040"/>
        </w:tabs>
        <w:ind w:start="5040" w:hanging="360"/>
      </w:pPr>
    </w:lvl>
    <w:lvl w:ilvl="7">
      <w:start w:val="1"/>
      <w:numFmt w:val="lowerLetter"/>
      <w:lvlText w:val="%8."/>
      <w:lvlJc w:val="start"/>
      <w:pPr>
        <w:tabs>
          <w:tab w:val="num" w:pos="5760"/>
        </w:tabs>
        <w:ind w:start="5760" w:hanging="360"/>
      </w:pPr>
    </w:lvl>
    <w:lvl w:ilvl="8">
      <w:start w:val="1"/>
      <w:numFmt w:val="lowerRoman"/>
      <w:lvlText w:val="%9."/>
      <w:lvlJc w:val="end"/>
      <w:pPr>
        <w:tabs>
          <w:tab w:val="num" w:pos="6480"/>
        </w:tabs>
        <w:ind w:start="6480" w:hanging="180"/>
      </w:pPr>
    </w:lvl>
  </w:abstractNum>
  <w:abstractNum w:abstractNumId="3">
    <w:lvl w:ilvl="0">
      <w:start w:val="1"/>
      <w:numFmt w:val="decimal"/>
      <w:lvlText w:val="%1."/>
      <w:lvlJc w:val="start"/>
      <w:pPr>
        <w:tabs>
          <w:tab w:val="num" w:pos="540"/>
        </w:tabs>
        <w:ind w:start="540" w:hanging="360"/>
      </w:pPr>
    </w:lvl>
    <w:lvl w:ilvl="1">
      <w:start w:val="1"/>
      <w:numFmt w:val="lowerLetter"/>
      <w:lvlText w:val="%2."/>
      <w:lvlJc w:val="start"/>
      <w:pPr>
        <w:tabs>
          <w:tab w:val="num" w:pos="1260"/>
        </w:tabs>
        <w:ind w:start="1260" w:hanging="360"/>
      </w:pPr>
    </w:lvl>
    <w:lvl w:ilvl="2">
      <w:start w:val="1"/>
      <w:numFmt w:val="lowerRoman"/>
      <w:lvlText w:val="%3."/>
      <w:lvlJc w:val="end"/>
      <w:pPr>
        <w:tabs>
          <w:tab w:val="num" w:pos="1980"/>
        </w:tabs>
        <w:ind w:start="1980" w:hanging="180"/>
      </w:pPr>
    </w:lvl>
    <w:lvl w:ilvl="3">
      <w:start w:val="1"/>
      <w:numFmt w:val="decimal"/>
      <w:lvlText w:val="%4."/>
      <w:lvlJc w:val="start"/>
      <w:pPr>
        <w:tabs>
          <w:tab w:val="num" w:pos="2700"/>
        </w:tabs>
        <w:ind w:start="2700" w:hanging="360"/>
      </w:pPr>
    </w:lvl>
    <w:lvl w:ilvl="4">
      <w:start w:val="1"/>
      <w:numFmt w:val="lowerLetter"/>
      <w:lvlText w:val="%5."/>
      <w:lvlJc w:val="start"/>
      <w:pPr>
        <w:tabs>
          <w:tab w:val="num" w:pos="3420"/>
        </w:tabs>
        <w:ind w:start="3420" w:hanging="360"/>
      </w:pPr>
    </w:lvl>
    <w:lvl w:ilvl="5">
      <w:start w:val="1"/>
      <w:numFmt w:val="lowerRoman"/>
      <w:lvlText w:val="%6."/>
      <w:lvlJc w:val="end"/>
      <w:pPr>
        <w:tabs>
          <w:tab w:val="num" w:pos="4140"/>
        </w:tabs>
        <w:ind w:start="4140" w:hanging="180"/>
      </w:pPr>
    </w:lvl>
    <w:lvl w:ilvl="6">
      <w:start w:val="1"/>
      <w:numFmt w:val="decimal"/>
      <w:lvlText w:val="%7."/>
      <w:lvlJc w:val="start"/>
      <w:pPr>
        <w:tabs>
          <w:tab w:val="num" w:pos="4860"/>
        </w:tabs>
        <w:ind w:start="4860" w:hanging="360"/>
      </w:pPr>
    </w:lvl>
    <w:lvl w:ilvl="7">
      <w:start w:val="1"/>
      <w:numFmt w:val="lowerLetter"/>
      <w:lvlText w:val="%8."/>
      <w:lvlJc w:val="start"/>
      <w:pPr>
        <w:tabs>
          <w:tab w:val="num" w:pos="5580"/>
        </w:tabs>
        <w:ind w:start="5580" w:hanging="360"/>
      </w:pPr>
    </w:lvl>
    <w:lvl w:ilvl="8">
      <w:start w:val="1"/>
      <w:numFmt w:val="lowerRoman"/>
      <w:lvlText w:val="%9."/>
      <w:lvlJc w:val="end"/>
      <w:pPr>
        <w:tabs>
          <w:tab w:val="num" w:pos="6300"/>
        </w:tabs>
        <w:ind w:start="6300" w:hanging="18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defaultTabStop w:val="709"/>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Tahoma" w:cs="Noto Sans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ru-RU" w:eastAsia="zh-CN" w:bidi="ar-SA"/>
    </w:rPr>
  </w:style>
  <w:style w:type="paragraph" w:styleId="Heading1">
    <w:name w:val="heading 1"/>
    <w:basedOn w:val="Normal"/>
    <w:next w:val="Normal"/>
    <w:qFormat/>
    <w:pPr>
      <w:keepNext w:val="true"/>
      <w:numPr>
        <w:ilvl w:val="0"/>
        <w:numId w:val="1"/>
      </w:numPr>
      <w:spacing w:before="240" w:after="60"/>
      <w:outlineLvl w:val="0"/>
    </w:pPr>
    <w:rPr>
      <w:rFonts w:ascii="Arial" w:hAnsi="Arial" w:cs="Arial"/>
      <w:b/>
      <w:bCs/>
      <w:sz w:val="32"/>
      <w:szCs w:val="32"/>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lang w:val="en-US"/>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lang w:val="en-US"/>
    </w:rPr>
  </w:style>
  <w:style w:type="paragraph" w:styleId="Heading4">
    <w:name w:val="heading 4"/>
    <w:basedOn w:val="Normal"/>
    <w:next w:val="Normal"/>
    <w:qFormat/>
    <w:pPr>
      <w:keepNext w:val="true"/>
      <w:numPr>
        <w:ilvl w:val="3"/>
        <w:numId w:val="1"/>
      </w:numPr>
      <w:spacing w:before="240" w:after="60"/>
      <w:outlineLvl w:val="3"/>
    </w:pPr>
    <w:rPr>
      <w:b/>
      <w:bCs/>
      <w:sz w:val="28"/>
      <w:szCs w:val="28"/>
      <w:lang w:val="en-US"/>
    </w:rPr>
  </w:style>
  <w:style w:type="paragraph" w:styleId="Heading5">
    <w:name w:val="heading 5"/>
    <w:basedOn w:val="Normal"/>
    <w:next w:val="Normal"/>
    <w:qFormat/>
    <w:pPr>
      <w:numPr>
        <w:ilvl w:val="4"/>
        <w:numId w:val="1"/>
      </w:numPr>
      <w:spacing w:before="240" w:after="60"/>
      <w:outlineLvl w:val="4"/>
    </w:pPr>
    <w:rPr>
      <w:b/>
      <w:bCs/>
      <w:i/>
      <w:iCs/>
      <w:sz w:val="26"/>
      <w:szCs w:val="26"/>
      <w:lang w:val="en-US"/>
    </w:rPr>
  </w:style>
  <w:style w:type="paragraph" w:styleId="Heading6">
    <w:name w:val="heading 6"/>
    <w:basedOn w:val="Normal"/>
    <w:next w:val="Normal"/>
    <w:qFormat/>
    <w:pPr>
      <w:numPr>
        <w:ilvl w:val="5"/>
        <w:numId w:val="1"/>
      </w:numPr>
      <w:spacing w:before="240" w:after="60"/>
      <w:outlineLvl w:val="5"/>
    </w:pPr>
    <w:rPr>
      <w:b/>
      <w:bCs/>
      <w:sz w:val="22"/>
      <w:szCs w:val="22"/>
    </w:rPr>
  </w:style>
  <w:style w:type="paragraph" w:styleId="Heading7">
    <w:name w:val="heading 7"/>
    <w:basedOn w:val="Normal"/>
    <w:next w:val="Normal"/>
    <w:qFormat/>
    <w:pPr>
      <w:keepNext w:val="true"/>
      <w:numPr>
        <w:ilvl w:val="6"/>
        <w:numId w:val="1"/>
      </w:numPr>
      <w:jc w:val="center"/>
      <w:outlineLvl w:val="6"/>
    </w:pPr>
    <w:rPr>
      <w:sz w:val="28"/>
      <w:szCs w:val="20"/>
      <w:lang w:val="en-US"/>
    </w:rPr>
  </w:style>
  <w:style w:type="paragraph" w:styleId="Heading8">
    <w:name w:val="heading 8"/>
    <w:basedOn w:val="Normal"/>
    <w:next w:val="Normal"/>
    <w:qFormat/>
    <w:pPr>
      <w:keepNext w:val="true"/>
      <w:widowControl w:val="false"/>
      <w:numPr>
        <w:ilvl w:val="7"/>
        <w:numId w:val="1"/>
      </w:numPr>
      <w:jc w:val="center"/>
      <w:outlineLvl w:val="7"/>
    </w:pPr>
    <w:rPr>
      <w:rFonts w:ascii="Bookman Old Style" w:hAnsi="Bookman Old Style" w:cs="Bookman Old Style"/>
      <w:b/>
      <w:bCs/>
      <w:sz w:val="56"/>
      <w:szCs w:val="56"/>
    </w:rPr>
  </w:style>
  <w:style w:type="paragraph" w:styleId="Heading9">
    <w:name w:val="heading 9"/>
    <w:basedOn w:val="Normal"/>
    <w:next w:val="Normal"/>
    <w:qFormat/>
    <w:pPr>
      <w:keepNext w:val="true"/>
      <w:keepLines/>
      <w:numPr>
        <w:ilvl w:val="8"/>
        <w:numId w:val="1"/>
      </w:numPr>
      <w:spacing w:before="320" w:after="200"/>
      <w:outlineLvl w:val="8"/>
    </w:pPr>
    <w:rPr>
      <w:rFonts w:ascii="Arial" w:hAnsi="Arial" w:eastAsia="Arial" w:cs="Arial"/>
      <w:i/>
      <w:iCs/>
      <w:sz w:val="21"/>
      <w:szCs w:val="21"/>
    </w:rPr>
  </w:style>
  <w:style w:type="character" w:styleId="WW8Num1z0">
    <w:name w:val="WW8Num1z0"/>
    <w:qFormat/>
    <w:rPr/>
  </w:style>
  <w:style w:type="character" w:styleId="WW8Num2z0">
    <w:name w:val="WW8Num2z0"/>
    <w:qFormat/>
    <w:rPr/>
  </w:style>
  <w:style w:type="character" w:styleId="WW8Num4z0">
    <w:name w:val="WW8Num4z0"/>
    <w:qFormat/>
    <w:rPr/>
  </w:style>
  <w:style w:type="character" w:styleId="Style5">
    <w:name w:val="Основной шрифт абзаца"/>
    <w:qFormat/>
    <w:rPr/>
  </w:style>
  <w:style w:type="character" w:styleId="WW8Num3z0">
    <w:name w:val="WW8Num3z0"/>
    <w:qFormat/>
    <w:rPr>
      <w:rFonts w:ascii="Times New Roman" w:hAnsi="Times New Roman" w:cs="Times New Roman"/>
    </w:rPr>
  </w:style>
  <w:style w:type="character" w:styleId="1">
    <w:name w:val="Основной шрифт абзаца1"/>
    <w:qFormat/>
    <w:rPr/>
  </w:style>
  <w:style w:type="character" w:styleId="Hyperlink">
    <w:name w:val="Hyperlink"/>
    <w:rPr>
      <w:color w:val="0000FF"/>
      <w:u w:val="single"/>
    </w:rPr>
  </w:style>
  <w:style w:type="character" w:styleId="Style6">
    <w:name w:val="Верхний колонтитул Знак"/>
    <w:qFormat/>
    <w:rPr>
      <w:sz w:val="24"/>
      <w:szCs w:val="24"/>
      <w:lang w:eastAsia="zh-CN"/>
    </w:rPr>
  </w:style>
  <w:style w:type="character" w:styleId="Style7">
    <w:name w:val="Нижний колонтитул Знак"/>
    <w:qFormat/>
    <w:rPr>
      <w:sz w:val="24"/>
      <w:szCs w:val="24"/>
      <w:lang w:eastAsia="zh-CN"/>
    </w:rPr>
  </w:style>
  <w:style w:type="character" w:styleId="11">
    <w:name w:val="Заголовок 1 Знак"/>
    <w:qFormat/>
    <w:rPr>
      <w:rFonts w:ascii="Calibri Light" w:hAnsi="Calibri Light" w:eastAsia="Times New Roman" w:cs="Times New Roman"/>
      <w:b/>
      <w:bCs/>
      <w:kern w:val="2"/>
      <w:sz w:val="32"/>
      <w:szCs w:val="32"/>
      <w:lang w:eastAsia="zh-CN"/>
    </w:rPr>
  </w:style>
  <w:style w:type="character" w:styleId="2">
    <w:name w:val="Заголовок 2 Знак"/>
    <w:qFormat/>
    <w:rPr>
      <w:rFonts w:ascii="Arial" w:hAnsi="Arial" w:cs="Arial"/>
      <w:b/>
      <w:bCs/>
      <w:i/>
      <w:iCs/>
      <w:sz w:val="28"/>
      <w:szCs w:val="28"/>
      <w:lang w:val="en-US"/>
    </w:rPr>
  </w:style>
  <w:style w:type="character" w:styleId="3">
    <w:name w:val="Заголовок 3 Знак"/>
    <w:qFormat/>
    <w:rPr>
      <w:rFonts w:ascii="Calibri Light" w:hAnsi="Calibri Light" w:eastAsia="Times New Roman" w:cs="Times New Roman"/>
      <w:b/>
      <w:bCs/>
      <w:sz w:val="26"/>
      <w:szCs w:val="26"/>
      <w:lang w:eastAsia="zh-CN"/>
    </w:rPr>
  </w:style>
  <w:style w:type="character" w:styleId="4">
    <w:name w:val="Заголовок 4 Знак"/>
    <w:qFormat/>
    <w:rPr>
      <w:rFonts w:ascii="Calibri" w:hAnsi="Calibri" w:eastAsia="Times New Roman" w:cs="Times New Roman"/>
      <w:b/>
      <w:bCs/>
      <w:sz w:val="28"/>
      <w:szCs w:val="28"/>
      <w:lang w:eastAsia="zh-CN"/>
    </w:rPr>
  </w:style>
  <w:style w:type="character" w:styleId="5">
    <w:name w:val="Заголовок 5 Знак"/>
    <w:qFormat/>
    <w:rPr>
      <w:rFonts w:ascii="Calibri" w:hAnsi="Calibri" w:eastAsia="Times New Roman" w:cs="Times New Roman"/>
      <w:b/>
      <w:bCs/>
      <w:i/>
      <w:iCs/>
      <w:sz w:val="26"/>
      <w:szCs w:val="26"/>
      <w:lang w:eastAsia="zh-CN"/>
    </w:rPr>
  </w:style>
  <w:style w:type="character" w:styleId="6">
    <w:name w:val="Заголовок 6 Знак"/>
    <w:qFormat/>
    <w:rPr>
      <w:b/>
      <w:bCs/>
      <w:sz w:val="22"/>
      <w:szCs w:val="22"/>
    </w:rPr>
  </w:style>
  <w:style w:type="character" w:styleId="7">
    <w:name w:val="Заголовок 7 Знак"/>
    <w:qFormat/>
    <w:rPr>
      <w:sz w:val="28"/>
      <w:lang w:val="en-US"/>
    </w:rPr>
  </w:style>
  <w:style w:type="character" w:styleId="8">
    <w:name w:val="Заголовок 8 Знак"/>
    <w:qFormat/>
    <w:rPr>
      <w:rFonts w:ascii="Bookman Old Style" w:hAnsi="Bookman Old Style" w:cs="Bookman Old Style"/>
      <w:b/>
      <w:bCs/>
      <w:sz w:val="56"/>
      <w:szCs w:val="56"/>
    </w:rPr>
  </w:style>
  <w:style w:type="character" w:styleId="9">
    <w:name w:val="Заголовок 9 Знак"/>
    <w:qFormat/>
    <w:rPr>
      <w:rFonts w:ascii="Arial" w:hAnsi="Arial" w:eastAsia="Arial" w:cs="Arial"/>
      <w:i/>
      <w:iCs/>
      <w:sz w:val="21"/>
      <w:szCs w:val="21"/>
    </w:rPr>
  </w:style>
  <w:style w:type="character" w:styleId="Heading9Char">
    <w:name w:val="Heading 9 Char"/>
    <w:qFormat/>
    <w:rPr>
      <w:rFonts w:ascii="Arial" w:hAnsi="Arial" w:eastAsia="Arial" w:cs="Arial"/>
      <w:i/>
      <w:iCs/>
      <w:sz w:val="21"/>
      <w:szCs w:val="21"/>
    </w:rPr>
  </w:style>
  <w:style w:type="character" w:styleId="QuoteChar">
    <w:name w:val="Quote Char"/>
    <w:qFormat/>
    <w:rPr>
      <w:i/>
    </w:rPr>
  </w:style>
  <w:style w:type="character" w:styleId="IntenseQuoteChar">
    <w:name w:val="Intense Quote Char"/>
    <w:qFormat/>
    <w:rPr>
      <w:i/>
    </w:rPr>
  </w:style>
  <w:style w:type="character" w:styleId="EndnoteTextChar">
    <w:name w:val="Endnote Text Char"/>
    <w:qFormat/>
    <w:rPr>
      <w:sz w:val="20"/>
    </w:rPr>
  </w:style>
  <w:style w:type="character" w:styleId="Heading3Char">
    <w:name w:val="Heading 3 Char"/>
    <w:qFormat/>
    <w:rPr>
      <w:rFonts w:ascii="Arial" w:hAnsi="Arial" w:eastAsia="Arial" w:cs="Arial"/>
      <w:sz w:val="30"/>
      <w:szCs w:val="30"/>
    </w:rPr>
  </w:style>
  <w:style w:type="character" w:styleId="Heading4Char">
    <w:name w:val="Heading 4 Char"/>
    <w:qFormat/>
    <w:rPr>
      <w:rFonts w:ascii="Arial" w:hAnsi="Arial" w:eastAsia="Arial" w:cs="Arial"/>
      <w:b/>
      <w:bCs/>
      <w:sz w:val="26"/>
      <w:szCs w:val="26"/>
    </w:rPr>
  </w:style>
  <w:style w:type="character" w:styleId="Heading6Char">
    <w:name w:val="Heading 6 Char"/>
    <w:qFormat/>
    <w:rPr>
      <w:rFonts w:ascii="Arial" w:hAnsi="Arial" w:eastAsia="Arial" w:cs="Arial"/>
      <w:b/>
      <w:bCs/>
      <w:sz w:val="22"/>
      <w:szCs w:val="22"/>
    </w:rPr>
  </w:style>
  <w:style w:type="character" w:styleId="Heading7Char">
    <w:name w:val="Heading 7 Char"/>
    <w:qFormat/>
    <w:rPr>
      <w:rFonts w:ascii="Arial" w:hAnsi="Arial" w:eastAsia="Arial" w:cs="Arial"/>
      <w:b/>
      <w:bCs/>
      <w:i/>
      <w:iCs/>
      <w:sz w:val="22"/>
      <w:szCs w:val="22"/>
    </w:rPr>
  </w:style>
  <w:style w:type="character" w:styleId="Heading8Char">
    <w:name w:val="Heading 8 Char"/>
    <w:qFormat/>
    <w:rPr>
      <w:rFonts w:ascii="Arial" w:hAnsi="Arial" w:eastAsia="Arial" w:cs="Arial"/>
      <w:i/>
      <w:iCs/>
      <w:sz w:val="22"/>
      <w:szCs w:val="22"/>
    </w:rPr>
  </w:style>
  <w:style w:type="character" w:styleId="SubtitleChar">
    <w:name w:val="Subtitle Char"/>
    <w:qFormat/>
    <w:rPr>
      <w:sz w:val="24"/>
      <w:szCs w:val="24"/>
    </w:rPr>
  </w:style>
  <w:style w:type="character" w:styleId="21">
    <w:name w:val="Цитата 2 Знак"/>
    <w:qFormat/>
    <w:rPr>
      <w:i/>
    </w:rPr>
  </w:style>
  <w:style w:type="character" w:styleId="Style8">
    <w:name w:val="Выделенная цитата Знак"/>
    <w:qFormat/>
    <w:rPr>
      <w:i/>
      <w:shd w:fill="F2F2F2" w:val="clear"/>
    </w:rPr>
  </w:style>
  <w:style w:type="character" w:styleId="CaptionChar">
    <w:name w:val="Caption Char"/>
    <w:qFormat/>
    <w:rPr/>
  </w:style>
  <w:style w:type="character" w:styleId="FootnoteTextChar">
    <w:name w:val="Footnote Text Char"/>
    <w:qFormat/>
    <w:rPr>
      <w:sz w:val="18"/>
    </w:rPr>
  </w:style>
  <w:style w:type="character" w:styleId="Style9">
    <w:name w:val="Символ сноски"/>
    <w:qFormat/>
    <w:rPr>
      <w:vertAlign w:val="superscript"/>
    </w:rPr>
  </w:style>
  <w:style w:type="character" w:styleId="Style10">
    <w:name w:val="Знак сноски"/>
    <w:qFormat/>
    <w:rPr>
      <w:vertAlign w:val="superscript"/>
    </w:rPr>
  </w:style>
  <w:style w:type="character" w:styleId="Style11">
    <w:name w:val="Текст концевой сноски Знак"/>
    <w:qFormat/>
    <w:rPr/>
  </w:style>
  <w:style w:type="character" w:styleId="Style12">
    <w:name w:val="Символ концевой сноски"/>
    <w:qFormat/>
    <w:rPr>
      <w:vertAlign w:val="superscript"/>
    </w:rPr>
  </w:style>
  <w:style w:type="character" w:styleId="Style13">
    <w:name w:val="Знак концевой сноски"/>
    <w:qFormat/>
    <w:rPr>
      <w:vertAlign w:val="superscript"/>
    </w:rPr>
  </w:style>
  <w:style w:type="character" w:styleId="Strong">
    <w:name w:val="Strong"/>
    <w:qFormat/>
    <w:rPr>
      <w:b/>
      <w:bCs/>
    </w:rPr>
  </w:style>
  <w:style w:type="character" w:styleId="ConsPlusNormal">
    <w:name w:val="ConsPlusNormal Знак"/>
    <w:qFormat/>
    <w:rPr>
      <w:rFonts w:ascii="Arial" w:hAnsi="Arial" w:cs="Arial"/>
    </w:rPr>
  </w:style>
  <w:style w:type="character" w:styleId="PageNumber">
    <w:name w:val="page number"/>
    <w:rPr/>
  </w:style>
  <w:style w:type="character" w:styleId="bodytext2bodytext2bodytext1bt1ndradndrad1bodytext11bt11bodytext21bt21bodytext111bt111bodytext31bt31paragraph21b1">
    <w:name w:val="Основной текст Знак;body text Знак2;body text Знак Знак2;body text Знак Знак Знак1;bt Знак1;ändrad Знак;ändrad Знак1;body text1 Знак1;bt1 Знак1;body text2 Знак1;bt2 Знак1;body text11 Знак1;bt11 Знак1;body text3 Знак1;bt3 Знак1;paragraph 2 Знак1;b Знак1"/>
    <w:qFormat/>
    <w:rPr/>
  </w:style>
  <w:style w:type="character" w:styleId="22">
    <w:name w:val="Основной текст 2 Знак"/>
    <w:qFormat/>
    <w:rPr/>
  </w:style>
  <w:style w:type="character" w:styleId="Style14">
    <w:name w:val="Текст Знак"/>
    <w:qFormat/>
    <w:rPr>
      <w:rFonts w:ascii="Courier New" w:hAnsi="Courier New" w:cs="Courier New"/>
    </w:rPr>
  </w:style>
  <w:style w:type="character" w:styleId="FontStyle12">
    <w:name w:val="Font Style12"/>
    <w:qFormat/>
    <w:rPr>
      <w:rFonts w:ascii="Times New Roman" w:hAnsi="Times New Roman" w:cs="Times New Roman"/>
      <w:sz w:val="28"/>
      <w:szCs w:val="28"/>
    </w:rPr>
  </w:style>
  <w:style w:type="character" w:styleId="23">
    <w:name w:val="Основной текст с отступом 2 Знак"/>
    <w:qFormat/>
    <w:rPr/>
  </w:style>
  <w:style w:type="character" w:styleId="Style15">
    <w:name w:val="Основной текст с отступом Знак"/>
    <w:qFormat/>
    <w:rPr>
      <w:rFonts w:ascii="Arial" w:hAnsi="Arial" w:eastAsia="Arial Unicode MS" w:cs="Arial"/>
    </w:rPr>
  </w:style>
  <w:style w:type="character" w:styleId="apple-style-span">
    <w:name w:val="apple-style-span"/>
    <w:qFormat/>
    <w:rPr/>
  </w:style>
  <w:style w:type="character" w:styleId="Heading1Char">
    <w:name w:val="Heading 1 Char"/>
    <w:qFormat/>
    <w:rPr>
      <w:rFonts w:ascii="Cambria" w:hAnsi="Cambria" w:cs="Cambria"/>
      <w:b/>
      <w:bCs/>
      <w:sz w:val="32"/>
      <w:szCs w:val="32"/>
    </w:rPr>
  </w:style>
  <w:style w:type="character" w:styleId="Style16">
    <w:name w:val="Название Знак"/>
    <w:qFormat/>
    <w:rPr>
      <w:sz w:val="28"/>
      <w:szCs w:val="28"/>
    </w:rPr>
  </w:style>
  <w:style w:type="character" w:styleId="TitleChar">
    <w:name w:val="Title Char"/>
    <w:qFormat/>
    <w:rPr>
      <w:rFonts w:ascii="Cambria" w:hAnsi="Cambria" w:cs="Cambria"/>
      <w:b/>
      <w:bCs/>
      <w:sz w:val="32"/>
      <w:szCs w:val="32"/>
    </w:rPr>
  </w:style>
  <w:style w:type="character" w:styleId="91">
    <w:name w:val="Знак Знак9"/>
    <w:qFormat/>
    <w:rPr/>
  </w:style>
  <w:style w:type="character" w:styleId="31">
    <w:name w:val="Основной текст с отступом 3 Знак"/>
    <w:qFormat/>
    <w:rPr>
      <w:sz w:val="16"/>
      <w:szCs w:val="16"/>
    </w:rPr>
  </w:style>
  <w:style w:type="character" w:styleId="51">
    <w:name w:val="Знак Знак5"/>
    <w:qFormat/>
    <w:rPr>
      <w:sz w:val="24"/>
      <w:szCs w:val="24"/>
      <w:lang w:val="ru-RU"/>
    </w:rPr>
  </w:style>
  <w:style w:type="character" w:styleId="Style17">
    <w:name w:val="Текст сноски Знак"/>
    <w:qFormat/>
    <w:rPr/>
  </w:style>
  <w:style w:type="character" w:styleId="32">
    <w:name w:val="Основной текст 3 Знак"/>
    <w:qFormat/>
    <w:rPr>
      <w:sz w:val="16"/>
      <w:szCs w:val="16"/>
    </w:rPr>
  </w:style>
  <w:style w:type="character" w:styleId="Style18">
    <w:name w:val="Текст выноски Знак"/>
    <w:qFormat/>
    <w:rPr>
      <w:rFonts w:ascii="Tahoma" w:hAnsi="Tahoma" w:cs="Tahoma"/>
      <w:sz w:val="16"/>
      <w:szCs w:val="16"/>
      <w:lang w:eastAsia="zh-CN"/>
    </w:rPr>
  </w:style>
  <w:style w:type="character" w:styleId="FollowedHyperlink">
    <w:name w:val="FollowedHyperlink"/>
    <w:rPr>
      <w:color w:val="800080"/>
      <w:u w:val="single"/>
    </w:rPr>
  </w:style>
  <w:style w:type="character" w:styleId="bodytext1bodytext1bodytextbtndradbodytext1bt1bodytext2bt2bodytext11bt11bodytext3bt3paragraph2paragraph21EHPTbBodyText2">
    <w:name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b Знак;Body Text2 Знак"/>
    <w:qFormat/>
    <w:rPr>
      <w:lang w:val="ru-RU"/>
    </w:rPr>
  </w:style>
  <w:style w:type="character" w:styleId="12">
    <w:name w:val="Знак Знак1"/>
    <w:qFormat/>
    <w:rPr>
      <w:lang w:val="ru-RU"/>
    </w:rPr>
  </w:style>
  <w:style w:type="character" w:styleId="Emphasis">
    <w:name w:val="Emphasis"/>
    <w:qFormat/>
    <w:rPr>
      <w:i/>
      <w:iCs/>
    </w:rPr>
  </w:style>
  <w:style w:type="character" w:styleId="Style19">
    <w:name w:val="Знак Знак"/>
    <w:qFormat/>
    <w:rPr>
      <w:rFonts w:ascii="Courier New" w:hAnsi="Courier New" w:cs="Courier New"/>
      <w:lang w:val="ru-RU"/>
    </w:rPr>
  </w:style>
  <w:style w:type="character" w:styleId="Style20">
    <w:name w:val="Гипертекстовая ссылка"/>
    <w:qFormat/>
    <w:rPr>
      <w:color w:val="000000"/>
    </w:rPr>
  </w:style>
  <w:style w:type="character" w:styleId="14">
    <w:name w:val="Знак Знак14"/>
    <w:qFormat/>
    <w:rPr>
      <w:rFonts w:ascii="Courier New" w:hAnsi="Courier New" w:cs="Courier New"/>
      <w:lang w:val="ru-RU" w:bidi="ar-SA"/>
    </w:rPr>
  </w:style>
  <w:style w:type="character" w:styleId="13">
    <w:name w:val="Знак Знак13"/>
    <w:qFormat/>
    <w:rPr>
      <w:sz w:val="24"/>
      <w:szCs w:val="24"/>
      <w:lang w:val="ru-RU" w:bidi="ar-SA"/>
    </w:rPr>
  </w:style>
  <w:style w:type="character" w:styleId="iceouttxt">
    <w:name w:val="iceouttxt"/>
    <w:qFormat/>
    <w:rPr/>
  </w:style>
  <w:style w:type="character" w:styleId="iceouttxt1">
    <w:name w:val="iceouttxt1"/>
    <w:qFormat/>
    <w:rPr>
      <w:rFonts w:ascii="Arial" w:hAnsi="Arial" w:cs="Arial"/>
      <w:color w:val="666666"/>
      <w:sz w:val="14"/>
      <w:szCs w:val="14"/>
    </w:rPr>
  </w:style>
  <w:style w:type="character" w:styleId="24">
    <w:name w:val="Основной текст (2)_"/>
    <w:qFormat/>
    <w:rPr>
      <w:sz w:val="26"/>
      <w:shd w:fill="FFFFFF" w:val="clear"/>
    </w:rPr>
  </w:style>
  <w:style w:type="character" w:styleId="2915pt1">
    <w:name w:val="Основной текст (2) + 91;5 pt1;Курсив"/>
    <w:qFormat/>
    <w:rPr>
      <w:rFonts w:ascii="Times New Roman" w:hAnsi="Times New Roman" w:cs="Times New Roman"/>
      <w:i/>
      <w:color w:val="000000"/>
      <w:spacing w:val="0"/>
      <w:sz w:val="19"/>
      <w:u w:val="none"/>
      <w:lang w:val="ru-RU"/>
    </w:rPr>
  </w:style>
  <w:style w:type="character" w:styleId="15">
    <w:name w:val="Название Знак1"/>
    <w:qFormat/>
    <w:rPr>
      <w:rFonts w:ascii="Calibri Light" w:hAnsi="Calibri Light" w:eastAsia="Times New Roman" w:cs="Times New Roman"/>
      <w:spacing w:val="-10"/>
      <w:sz w:val="56"/>
      <w:szCs w:val="56"/>
    </w:rPr>
  </w:style>
  <w:style w:type="character" w:styleId="16">
    <w:name w:val="Текст Знак1"/>
    <w:qFormat/>
    <w:rPr>
      <w:rFonts w:ascii="Consolas" w:hAnsi="Consolas" w:cs="Consolas"/>
      <w:sz w:val="21"/>
      <w:szCs w:val="21"/>
    </w:rPr>
  </w:style>
  <w:style w:type="character" w:styleId="17">
    <w:name w:val="Основной текст Знак1"/>
    <w:qFormat/>
    <w:rPr/>
  </w:style>
  <w:style w:type="character" w:styleId="FontStyle20">
    <w:name w:val="Font Style20"/>
    <w:qFormat/>
    <w:rPr>
      <w:rFonts w:ascii="Courier New" w:hAnsi="Courier New" w:eastAsia="Courier New" w:cs="Courier New"/>
      <w:sz w:val="18"/>
      <w:szCs w:val="18"/>
    </w:rPr>
  </w:style>
  <w:style w:type="character" w:styleId="Style21">
    <w:name w:val="Схема документа Знак"/>
    <w:qFormat/>
    <w:rPr>
      <w:rFonts w:ascii="Tahoma" w:hAnsi="Tahoma" w:cs="Tahoma"/>
      <w:shd w:fill="000080" w:val="clear"/>
      <w:lang w:val="en-US"/>
    </w:rPr>
  </w:style>
  <w:style w:type="character" w:styleId="Style22">
    <w:name w:val="Цветовое выделение"/>
    <w:qFormat/>
    <w:rPr>
      <w:b/>
      <w:bCs/>
      <w:color w:val="000080"/>
    </w:rPr>
  </w:style>
  <w:style w:type="character" w:styleId="apple-converted-space">
    <w:name w:val="apple-converted-space"/>
    <w:qFormat/>
    <w:rPr/>
  </w:style>
  <w:style w:type="character" w:styleId="PlainTextChar">
    <w:name w:val="Plain Text Char"/>
    <w:qFormat/>
    <w:rPr>
      <w:rFonts w:ascii="Courier New" w:hAnsi="Courier New" w:cs="Times New Roman"/>
    </w:rPr>
  </w:style>
  <w:style w:type="character" w:styleId="25">
    <w:name w:val="Знак Знак2"/>
    <w:qFormat/>
    <w:rPr>
      <w:sz w:val="24"/>
      <w:szCs w:val="24"/>
    </w:rPr>
  </w:style>
  <w:style w:type="character" w:styleId="71">
    <w:name w:val="Знак Знак7"/>
    <w:qFormat/>
    <w:rPr>
      <w:rFonts w:ascii="Courier New" w:hAnsi="Courier New" w:cs="Courier New"/>
      <w:lang w:val="ru-RU" w:bidi="ar-SA"/>
    </w:rPr>
  </w:style>
  <w:style w:type="character" w:styleId="41">
    <w:name w:val="Знак Знак4"/>
    <w:qFormat/>
    <w:rPr>
      <w:sz w:val="24"/>
      <w:szCs w:val="24"/>
      <w:lang w:val="ru-RU" w:bidi="ar-SA"/>
    </w:rPr>
  </w:style>
  <w:style w:type="character" w:styleId="33">
    <w:name w:val="Знак Знак3"/>
    <w:qFormat/>
    <w:rPr>
      <w:rFonts w:ascii="Courier New" w:hAnsi="Courier New" w:cs="Courier New"/>
    </w:rPr>
  </w:style>
  <w:style w:type="character" w:styleId="Heading1Char1">
    <w:name w:val="Heading 1 Char1"/>
    <w:qFormat/>
    <w:rPr>
      <w:rFonts w:ascii="Arial" w:hAnsi="Arial" w:cs="Arial"/>
      <w:b/>
      <w:bCs/>
      <w:sz w:val="32"/>
      <w:szCs w:val="32"/>
      <w:lang w:val="ru-RU"/>
    </w:rPr>
  </w:style>
  <w:style w:type="character" w:styleId="TitleChar1">
    <w:name w:val="Title Char1"/>
    <w:qFormat/>
    <w:rPr>
      <w:sz w:val="28"/>
      <w:szCs w:val="28"/>
      <w:lang w:val="ru-RU"/>
    </w:rPr>
  </w:style>
  <w:style w:type="character" w:styleId="BodyTextCharbodytextCharbodytextCharbodytextCharbtCharndradCharbodytext1Charbt1Charbodytext2Charbt2Charbodytext11Charbt11Charbodytext3Charbt3Charparagraph2Charparagraph21CharEHPTCharbChar">
    <w:name w:val="Body Text Char;body text Char;body text Знак Char;body text Знак Знак Char;bt Char;ändrad Char;body text1 Char;bt1 Char;body text2 Char;bt2 Char;body text11 Char;bt11 Char;body text3 Char;bt3 Char;paragraph 2 Char;paragraph 21 Char;EHPT Char;b Char"/>
    <w:qFormat/>
    <w:rPr>
      <w:rFonts w:ascii="Calibri" w:hAnsi="Calibri" w:cs="Calibri"/>
      <w:sz w:val="22"/>
      <w:szCs w:val="22"/>
      <w:lang w:val="en-US" w:bidi="ar-SA"/>
    </w:rPr>
  </w:style>
  <w:style w:type="character" w:styleId="FooterChar">
    <w:name w:val="Footer Char"/>
    <w:qFormat/>
    <w:rPr/>
  </w:style>
  <w:style w:type="character" w:styleId="HeaderChar1">
    <w:name w:val="Header Char1"/>
    <w:qFormat/>
    <w:rPr>
      <w:sz w:val="24"/>
      <w:szCs w:val="24"/>
      <w:lang w:val="ru-RU"/>
    </w:rPr>
  </w:style>
  <w:style w:type="character" w:styleId="WW8Num1z1">
    <w:name w:val="WW8Num1z1"/>
    <w:qFormat/>
    <w:rPr/>
  </w:style>
  <w:style w:type="character" w:styleId="WW8Num1z3">
    <w:name w:val="WW8Num1z3"/>
    <w:qFormat/>
    <w:rPr/>
  </w:style>
  <w:style w:type="character" w:styleId="WW8Num5z0">
    <w:name w:val="WW8Num5z0"/>
    <w:qFormat/>
    <w:rPr>
      <w:sz w:val="22"/>
      <w:szCs w:val="22"/>
    </w:rPr>
  </w:style>
  <w:style w:type="character" w:styleId="WW8Num6z0">
    <w:name w:val="WW8Num6z0"/>
    <w:qFormat/>
    <w:rPr/>
  </w:style>
  <w:style w:type="character" w:styleId="WW8Num7z0">
    <w:name w:val="WW8Num7z0"/>
    <w:qFormat/>
    <w:rPr/>
  </w:style>
  <w:style w:type="character" w:styleId="WW8Num7z2">
    <w:name w:val="WW8Num7z2"/>
    <w:qFormat/>
    <w:rPr/>
  </w:style>
  <w:style w:type="character" w:styleId="WW8Num8z0">
    <w:name w:val="WW8Num8z0"/>
    <w:qFormat/>
    <w:rPr>
      <w:rFonts w:ascii="Wingdings" w:hAnsi="Wingdings" w:cs="Wingdings"/>
      <w:sz w:val="16"/>
      <w:szCs w:val="16"/>
    </w:rPr>
  </w:style>
  <w:style w:type="character" w:styleId="WW8Num9z0">
    <w:name w:val="WW8Num9z0"/>
    <w:qFormat/>
    <w:rPr/>
  </w:style>
  <w:style w:type="character" w:styleId="WW8Num10z0">
    <w:name w:val="WW8Num10z0"/>
    <w:qFormat/>
    <w:rPr/>
  </w:style>
  <w:style w:type="character" w:styleId="WW8Num11z0">
    <w:name w:val="WW8Num11z0"/>
    <w:qFormat/>
    <w:rPr/>
  </w:style>
  <w:style w:type="character" w:styleId="WW8Num12z0">
    <w:name w:val="WW8Num12z0"/>
    <w:qFormat/>
    <w:rPr/>
  </w:style>
  <w:style w:type="character" w:styleId="WW8Num13z0">
    <w:name w:val="WW8Num13z0"/>
    <w:qFormat/>
    <w:rPr/>
  </w:style>
  <w:style w:type="character" w:styleId="WW8Num15z0">
    <w:name w:val="WW8Num15z0"/>
    <w:qFormat/>
    <w:rPr/>
  </w:style>
  <w:style w:type="character" w:styleId="WW8Num17z0">
    <w:name w:val="WW8Num17z0"/>
    <w:qFormat/>
    <w:rPr/>
  </w:style>
  <w:style w:type="character" w:styleId="WW8Num18z0">
    <w:name w:val="WW8Num18z0"/>
    <w:qFormat/>
    <w:rPr/>
  </w:style>
  <w:style w:type="character" w:styleId="WW8Num19z0">
    <w:name w:val="WW8Num19z0"/>
    <w:qFormat/>
    <w:rPr>
      <w:rFonts w:ascii="Times New Roman" w:hAnsi="Times New Roman" w:cs="Times New Roman"/>
      <w:sz w:val="24"/>
      <w:szCs w:val="24"/>
      <w:u w:val="none"/>
    </w:rPr>
  </w:style>
  <w:style w:type="character" w:styleId="WW8Num20z0">
    <w:name w:val="WW8Num20z0"/>
    <w:qFormat/>
    <w:rPr/>
  </w:style>
  <w:style w:type="character" w:styleId="WW8Num21z0">
    <w:name w:val="WW8Num21z0"/>
    <w:qFormat/>
    <w:rPr/>
  </w:style>
  <w:style w:type="character" w:styleId="WW8Num22z0">
    <w:name w:val="WW8Num22z0"/>
    <w:qFormat/>
    <w:rPr/>
  </w:style>
  <w:style w:type="character" w:styleId="Style23">
    <w:name w:val="Подзаголовок Знак"/>
    <w:qFormat/>
    <w:rPr>
      <w:rFonts w:ascii="Arial" w:hAnsi="Arial" w:cs="Arial"/>
      <w:i/>
      <w:iCs/>
      <w:sz w:val="28"/>
      <w:szCs w:val="28"/>
    </w:rPr>
  </w:style>
  <w:style w:type="character" w:styleId="19">
    <w:name w:val="Знак Знак19"/>
    <w:qFormat/>
    <w:rPr>
      <w:b/>
      <w:sz w:val="28"/>
      <w:lang w:val="ru-RU" w:bidi="ar-SA"/>
    </w:rPr>
  </w:style>
  <w:style w:type="character" w:styleId="18">
    <w:name w:val="Знак Знак18"/>
    <w:qFormat/>
    <w:rPr>
      <w:rFonts w:ascii="Arial" w:hAnsi="Arial" w:cs="Arial"/>
      <w:b/>
      <w:sz w:val="22"/>
      <w:lang w:val="ru-RU" w:bidi="ar-SA"/>
    </w:rPr>
  </w:style>
  <w:style w:type="character" w:styleId="121">
    <w:name w:val="Знак Знак12"/>
    <w:qFormat/>
    <w:rPr>
      <w:rFonts w:ascii="Arial" w:hAnsi="Arial" w:cs="Arial"/>
      <w:b/>
      <w:sz w:val="44"/>
      <w:lang w:val="ru-RU" w:bidi="ar-SA"/>
    </w:rPr>
  </w:style>
  <w:style w:type="character" w:styleId="61">
    <w:name w:val="Знак Знак6"/>
    <w:qFormat/>
    <w:rPr>
      <w:lang w:val="ru-RU" w:bidi="ar-SA"/>
    </w:rPr>
  </w:style>
  <w:style w:type="character" w:styleId="Heading2Char">
    <w:name w:val="Heading 2 Char"/>
    <w:qFormat/>
    <w:rPr>
      <w:rFonts w:cs="Times New Roman"/>
      <w:b/>
      <w:bCs/>
      <w:color w:val="000000"/>
      <w:sz w:val="24"/>
      <w:szCs w:val="24"/>
    </w:rPr>
  </w:style>
  <w:style w:type="character" w:styleId="Heading5Char">
    <w:name w:val="Heading 5 Char"/>
    <w:qFormat/>
    <w:rPr>
      <w:rFonts w:cs="Times New Roman"/>
      <w:b/>
      <w:bCs/>
      <w:i/>
      <w:iCs/>
      <w:sz w:val="26"/>
      <w:szCs w:val="26"/>
    </w:rPr>
  </w:style>
  <w:style w:type="character" w:styleId="BodyTextIndent3Char">
    <w:name w:val="Body Text Indent 3 Char"/>
    <w:qFormat/>
    <w:rPr>
      <w:rFonts w:cs="Times New Roman"/>
      <w:sz w:val="16"/>
      <w:szCs w:val="16"/>
    </w:rPr>
  </w:style>
  <w:style w:type="character" w:styleId="BodyText2Char">
    <w:name w:val="Body Text 2 Char"/>
    <w:qFormat/>
    <w:rPr>
      <w:rFonts w:cs="Times New Roman"/>
      <w:sz w:val="24"/>
      <w:szCs w:val="24"/>
    </w:rPr>
  </w:style>
  <w:style w:type="character" w:styleId="BalloonTextChar">
    <w:name w:val="Balloon Text Char"/>
    <w:qFormat/>
    <w:rPr>
      <w:rFonts w:ascii="Tahoma" w:hAnsi="Tahoma" w:cs="Tahoma"/>
      <w:sz w:val="16"/>
      <w:szCs w:val="16"/>
    </w:rPr>
  </w:style>
  <w:style w:type="character" w:styleId="HeaderChar">
    <w:name w:val="Header Char"/>
    <w:qFormat/>
    <w:rPr>
      <w:rFonts w:cs="Times New Roman"/>
      <w:sz w:val="24"/>
      <w:szCs w:val="24"/>
    </w:rPr>
  </w:style>
  <w:style w:type="character" w:styleId="26">
    <w:name w:val="Название Знак2"/>
    <w:qFormat/>
    <w:rPr>
      <w:rFonts w:ascii="Calibri Light" w:hAnsi="Calibri Light" w:eastAsia="Times New Roman" w:cs="Times New Roman"/>
      <w:b/>
      <w:bCs/>
      <w:kern w:val="2"/>
      <w:sz w:val="32"/>
      <w:szCs w:val="32"/>
      <w:lang w:eastAsia="zh-CN"/>
    </w:rPr>
  </w:style>
  <w:style w:type="character" w:styleId="110">
    <w:name w:val="Подзаголовок Знак1"/>
    <w:qFormat/>
    <w:rPr>
      <w:rFonts w:ascii="Calibri Light" w:hAnsi="Calibri Light" w:eastAsia="Times New Roman" w:cs="Times New Roman"/>
      <w:sz w:val="24"/>
      <w:szCs w:val="24"/>
      <w:lang w:eastAsia="zh-CN"/>
    </w:rPr>
  </w:style>
  <w:style w:type="character" w:styleId="211">
    <w:name w:val="Цитата 2 Знак1"/>
    <w:qFormat/>
    <w:rPr>
      <w:i/>
      <w:iCs/>
      <w:color w:val="404040"/>
      <w:sz w:val="24"/>
      <w:szCs w:val="24"/>
      <w:lang w:eastAsia="zh-CN"/>
    </w:rPr>
  </w:style>
  <w:style w:type="character" w:styleId="111">
    <w:name w:val="Выделенная цитата Знак1"/>
    <w:qFormat/>
    <w:rPr>
      <w:i/>
      <w:iCs/>
      <w:color w:val="5B9BD5"/>
      <w:sz w:val="24"/>
      <w:szCs w:val="24"/>
      <w:lang w:eastAsia="zh-CN"/>
    </w:rPr>
  </w:style>
  <w:style w:type="character" w:styleId="112">
    <w:name w:val="Текст сноски Знак1"/>
    <w:qFormat/>
    <w:rPr>
      <w:lang w:eastAsia="zh-CN"/>
    </w:rPr>
  </w:style>
  <w:style w:type="character" w:styleId="113">
    <w:name w:val="Текст концевой сноски Знак1"/>
    <w:qFormat/>
    <w:rPr>
      <w:lang w:eastAsia="zh-CN"/>
    </w:rPr>
  </w:style>
  <w:style w:type="character" w:styleId="212">
    <w:name w:val="Основной текст 2 Знак1"/>
    <w:qFormat/>
    <w:rPr>
      <w:sz w:val="24"/>
      <w:szCs w:val="24"/>
      <w:lang w:eastAsia="zh-CN"/>
    </w:rPr>
  </w:style>
  <w:style w:type="character" w:styleId="27">
    <w:name w:val="Текст Знак2"/>
    <w:qFormat/>
    <w:rPr>
      <w:rFonts w:ascii="Courier New" w:hAnsi="Courier New" w:cs="Courier New"/>
      <w:lang w:eastAsia="zh-CN"/>
    </w:rPr>
  </w:style>
  <w:style w:type="character" w:styleId="213">
    <w:name w:val="Основной текст с отступом 2 Знак1"/>
    <w:qFormat/>
    <w:rPr>
      <w:sz w:val="24"/>
      <w:szCs w:val="24"/>
      <w:lang w:eastAsia="zh-CN"/>
    </w:rPr>
  </w:style>
  <w:style w:type="character" w:styleId="114">
    <w:name w:val="Основной текст с отступом Знак1"/>
    <w:qFormat/>
    <w:rPr>
      <w:sz w:val="24"/>
      <w:szCs w:val="24"/>
      <w:lang w:eastAsia="zh-CN"/>
    </w:rPr>
  </w:style>
  <w:style w:type="character" w:styleId="311">
    <w:name w:val="Основной текст с отступом 3 Знак1"/>
    <w:qFormat/>
    <w:rPr>
      <w:sz w:val="16"/>
      <w:szCs w:val="16"/>
      <w:lang w:eastAsia="zh-CN"/>
    </w:rPr>
  </w:style>
  <w:style w:type="character" w:styleId="312">
    <w:name w:val="Основной текст 3 Знак1"/>
    <w:qFormat/>
    <w:rPr>
      <w:sz w:val="16"/>
      <w:szCs w:val="16"/>
      <w:lang w:eastAsia="zh-CN"/>
    </w:rPr>
  </w:style>
  <w:style w:type="character" w:styleId="115">
    <w:name w:val="Схема документа Знак1"/>
    <w:qFormat/>
    <w:rPr>
      <w:rFonts w:ascii="Segoe UI" w:hAnsi="Segoe UI" w:cs="Segoe UI"/>
      <w:sz w:val="16"/>
      <w:szCs w:val="16"/>
      <w:lang w:eastAsia="zh-CN"/>
    </w:rPr>
  </w:style>
  <w:style w:type="paragraph" w:styleId="Style24">
    <w:name w:val="Заголовок"/>
    <w:basedOn w:val="Normal"/>
    <w:next w:val="BodyText"/>
    <w:qFormat/>
    <w:pPr>
      <w:keepNext w:val="true"/>
      <w:spacing w:before="240" w:after="120"/>
    </w:pPr>
    <w:rPr>
      <w:rFonts w:ascii="PT Astra Serif;Times New Roman" w:hAnsi="PT Astra Serif;Times New Roman" w:eastAsia="Tahoma" w:cs="Noto Sans Devanagari;Times New Roman"/>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Times New Roman" w:hAnsi="PT Astra Serif;Times New Roman" w:cs="Noto Sans Devanagari;Times New Roman"/>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25">
    <w:name w:val="Указатель"/>
    <w:basedOn w:val="Normal"/>
    <w:qFormat/>
    <w:pPr>
      <w:suppressLineNumbers/>
    </w:pPr>
    <w:rPr>
      <w:rFonts w:ascii="PT Astra Serif" w:hAnsi="PT Astra Serif" w:cs="Noto Sans Devanagari"/>
    </w:rPr>
  </w:style>
  <w:style w:type="paragraph" w:styleId="caption1">
    <w:name w:val="caption1"/>
    <w:basedOn w:val="Normal"/>
    <w:qFormat/>
    <w:pPr>
      <w:widowControl w:val="false"/>
      <w:jc w:val="center"/>
    </w:pPr>
    <w:rPr>
      <w:sz w:val="28"/>
      <w:szCs w:val="28"/>
    </w:rPr>
  </w:style>
  <w:style w:type="paragraph" w:styleId="Style26">
    <w:name w:val="Название объекта"/>
    <w:basedOn w:val="Normal"/>
    <w:qFormat/>
    <w:pPr>
      <w:suppressLineNumbers/>
      <w:spacing w:before="120" w:after="120"/>
    </w:pPr>
    <w:rPr>
      <w:rFonts w:ascii="PT Astra Serif;Times New Roman" w:hAnsi="PT Astra Serif;Times New Roman" w:cs="Noto Sans Devanagari;Times New Roman"/>
      <w:i/>
      <w:iCs/>
      <w:sz w:val="24"/>
      <w:szCs w:val="24"/>
    </w:rPr>
  </w:style>
  <w:style w:type="paragraph" w:styleId="116">
    <w:name w:val="Указатель1"/>
    <w:basedOn w:val="Normal"/>
    <w:qFormat/>
    <w:pPr>
      <w:suppressLineNumbers/>
    </w:pPr>
    <w:rPr>
      <w:rFonts w:ascii="PT Astra Serif;Times New Roman" w:hAnsi="PT Astra Serif;Times New Roman" w:cs="Noto Sans Devanagari;Times New Roman"/>
    </w:rPr>
  </w:style>
  <w:style w:type="paragraph" w:styleId="CharChar">
    <w:name w:val="Char Char"/>
    <w:basedOn w:val="Normal"/>
    <w:qFormat/>
    <w:pPr>
      <w:spacing w:before="280" w:after="280"/>
      <w:jc w:val="both"/>
    </w:pPr>
    <w:rPr>
      <w:rFonts w:ascii="Tahoma" w:hAnsi="Tahoma" w:cs="Tahoma"/>
      <w:sz w:val="20"/>
      <w:szCs w:val="20"/>
      <w:lang w:val="en-US"/>
    </w:rPr>
  </w:style>
  <w:style w:type="paragraph" w:styleId="Style27">
    <w:name w:val=" Знак Знак Знак Знак"/>
    <w:basedOn w:val="Normal"/>
    <w:qFormat/>
    <w:pPr>
      <w:spacing w:before="280" w:after="280"/>
      <w:jc w:val="both"/>
    </w:pPr>
    <w:rPr>
      <w:rFonts w:ascii="Tahoma" w:hAnsi="Tahoma" w:cs="Tahoma"/>
      <w:sz w:val="20"/>
      <w:szCs w:val="20"/>
      <w:lang w:val="en-US"/>
    </w:rPr>
  </w:style>
  <w:style w:type="paragraph" w:styleId="Style28">
    <w:name w:val="Текст выноски"/>
    <w:basedOn w:val="Normal"/>
    <w:qFormat/>
    <w:pPr/>
    <w:rPr>
      <w:rFonts w:ascii="Tahoma" w:hAnsi="Tahoma" w:cs="Tahoma"/>
      <w:sz w:val="16"/>
      <w:szCs w:val="16"/>
    </w:rPr>
  </w:style>
  <w:style w:type="paragraph" w:styleId="Style29">
    <w:name w:val="Содержимое таблицы"/>
    <w:basedOn w:val="Normal"/>
    <w:qFormat/>
    <w:pPr>
      <w:widowControl w:val="false"/>
      <w:suppressLineNumbers/>
    </w:pPr>
    <w:rPr/>
  </w:style>
  <w:style w:type="paragraph" w:styleId="Style30">
    <w:name w:val="Заголовок таблицы"/>
    <w:basedOn w:val="Style29"/>
    <w:qFormat/>
    <w:pPr>
      <w:suppressLineNumbers/>
      <w:jc w:val="center"/>
    </w:pPr>
    <w:rPr>
      <w:b/>
      <w:bCs/>
    </w:rPr>
  </w:style>
  <w:style w:type="paragraph" w:styleId="Style31">
    <w:name w:val="Колонтитулы"/>
    <w:basedOn w:val="Normal"/>
    <w:qFormat/>
    <w:pPr>
      <w:suppressLineNumbers/>
      <w:tabs>
        <w:tab w:val="clear" w:pos="709"/>
        <w:tab w:val="center" w:pos="4819" w:leader="none"/>
        <w:tab w:val="right" w:pos="9638" w:leader="none"/>
      </w:tabs>
    </w:pPr>
    <w:rPr/>
  </w:style>
  <w:style w:type="paragraph" w:styleId="Header">
    <w:name w:val="header"/>
    <w:basedOn w:val="Normal"/>
    <w:pPr>
      <w:tabs>
        <w:tab w:val="clear" w:pos="709"/>
        <w:tab w:val="center" w:pos="4677" w:leader="none"/>
        <w:tab w:val="right" w:pos="9355" w:leader="none"/>
      </w:tabs>
    </w:pPr>
    <w:rPr/>
  </w:style>
  <w:style w:type="paragraph" w:styleId="Footer">
    <w:name w:val="footer"/>
    <w:basedOn w:val="Normal"/>
    <w:pPr>
      <w:tabs>
        <w:tab w:val="clear" w:pos="709"/>
        <w:tab w:val="center" w:pos="4677" w:leader="none"/>
        <w:tab w:val="right" w:pos="9355" w:leader="none"/>
      </w:tabs>
    </w:pPr>
    <w:rPr/>
  </w:style>
  <w:style w:type="paragraph" w:styleId="Index1">
    <w:name w:val="index 1"/>
    <w:basedOn w:val="Normal"/>
    <w:next w:val="Normal"/>
    <w:pPr>
      <w:ind w:hanging="240" w:start="240" w:end="0"/>
    </w:pPr>
    <w:rPr/>
  </w:style>
  <w:style w:type="paragraph" w:styleId="IndexHeading">
    <w:name w:val="index heading"/>
    <w:basedOn w:val="Style24"/>
    <w:pPr/>
    <w:rPr>
      <w:rFonts w:ascii="Arial" w:hAnsi="Arial" w:eastAsia="Times New Roman" w:cs="Arial"/>
    </w:rPr>
  </w:style>
  <w:style w:type="paragraph" w:styleId="Style32">
    <w:name w:val="Без интервала"/>
    <w:qFormat/>
    <w:pPr>
      <w:widowControl/>
      <w:suppressAutoHyphens w:val="true"/>
      <w:bidi w:val="0"/>
    </w:pPr>
    <w:rPr>
      <w:rFonts w:ascii="Calibri" w:hAnsi="Calibri" w:eastAsia="Times New Roman" w:cs="Calibri"/>
      <w:color w:val="auto"/>
      <w:sz w:val="22"/>
      <w:szCs w:val="22"/>
      <w:lang w:val="ru-RU" w:eastAsia="zh-CN" w:bidi="ar-SA"/>
    </w:rPr>
  </w:style>
  <w:style w:type="paragraph" w:styleId="Subtitle">
    <w:name w:val="Subtitle"/>
    <w:basedOn w:val="Normal"/>
    <w:next w:val="Normal"/>
    <w:qFormat/>
    <w:pPr>
      <w:jc w:val="center"/>
    </w:pPr>
    <w:rPr>
      <w:rFonts w:ascii="Arial" w:hAnsi="Arial" w:cs="Arial"/>
      <w:i/>
      <w:iCs/>
      <w:sz w:val="28"/>
      <w:szCs w:val="28"/>
    </w:rPr>
  </w:style>
  <w:style w:type="paragraph" w:styleId="28">
    <w:name w:val="Цитата 2"/>
    <w:basedOn w:val="Normal"/>
    <w:next w:val="Normal"/>
    <w:qFormat/>
    <w:pPr>
      <w:ind w:hanging="0" w:start="720" w:end="720"/>
    </w:pPr>
    <w:rPr>
      <w:i/>
      <w:sz w:val="20"/>
      <w:szCs w:val="20"/>
    </w:rPr>
  </w:style>
  <w:style w:type="paragraph" w:styleId="Style33">
    <w:name w:val="Выделенная цитата"/>
    <w:basedOn w:val="Normal"/>
    <w:next w:val="Normal"/>
    <w:qFormat/>
    <w:pPr>
      <w:pBdr>
        <w:top w:val="single" w:sz="4" w:space="5" w:color="FFFFFF"/>
        <w:left w:val="single" w:sz="4" w:space="10" w:color="FFFFFF"/>
        <w:bottom w:val="single" w:sz="4" w:space="5" w:color="FFFFFF"/>
        <w:right w:val="single" w:sz="4" w:space="10" w:color="FFFFFF"/>
      </w:pBdr>
      <w:shd w:fill="F2F2F2" w:val="clear"/>
      <w:ind w:hanging="0" w:start="720" w:end="720"/>
    </w:pPr>
    <w:rPr>
      <w:i/>
      <w:sz w:val="20"/>
      <w:szCs w:val="20"/>
    </w:rPr>
  </w:style>
  <w:style w:type="paragraph" w:styleId="Style34">
    <w:name w:val="Колонтитул"/>
    <w:basedOn w:val="Normal"/>
    <w:qFormat/>
    <w:pPr/>
    <w:rPr>
      <w:sz w:val="20"/>
      <w:szCs w:val="20"/>
    </w:rPr>
  </w:style>
  <w:style w:type="paragraph" w:styleId="FootnoteText">
    <w:name w:val="footnote text"/>
    <w:basedOn w:val="Normal"/>
    <w:pPr/>
    <w:rPr>
      <w:sz w:val="20"/>
      <w:szCs w:val="20"/>
    </w:rPr>
  </w:style>
  <w:style w:type="paragraph" w:styleId="EndnoteText">
    <w:name w:val="endnote text"/>
    <w:basedOn w:val="Normal"/>
    <w:pPr/>
    <w:rPr>
      <w:sz w:val="20"/>
      <w:szCs w:val="20"/>
    </w:rPr>
  </w:style>
  <w:style w:type="paragraph" w:styleId="TOC1">
    <w:name w:val="toc 1"/>
    <w:basedOn w:val="Normal"/>
    <w:next w:val="Normal"/>
    <w:pPr>
      <w:spacing w:before="0" w:after="57"/>
    </w:pPr>
    <w:rPr>
      <w:sz w:val="20"/>
      <w:szCs w:val="20"/>
    </w:rPr>
  </w:style>
  <w:style w:type="paragraph" w:styleId="TOC2">
    <w:name w:val="toc 2"/>
    <w:basedOn w:val="Normal"/>
    <w:next w:val="Normal"/>
    <w:pPr>
      <w:spacing w:before="0" w:after="57"/>
      <w:ind w:hanging="0" w:start="283" w:end="0"/>
    </w:pPr>
    <w:rPr>
      <w:sz w:val="20"/>
      <w:szCs w:val="20"/>
    </w:rPr>
  </w:style>
  <w:style w:type="paragraph" w:styleId="TOC3">
    <w:name w:val="toc 3"/>
    <w:basedOn w:val="Normal"/>
    <w:next w:val="Normal"/>
    <w:pPr>
      <w:spacing w:before="0" w:after="57"/>
      <w:ind w:hanging="0" w:start="567" w:end="0"/>
    </w:pPr>
    <w:rPr>
      <w:sz w:val="20"/>
      <w:szCs w:val="20"/>
    </w:rPr>
  </w:style>
  <w:style w:type="paragraph" w:styleId="TOC4">
    <w:name w:val="toc 4"/>
    <w:basedOn w:val="Normal"/>
    <w:next w:val="Normal"/>
    <w:pPr>
      <w:spacing w:before="0" w:after="57"/>
      <w:ind w:hanging="0" w:start="850" w:end="0"/>
    </w:pPr>
    <w:rPr>
      <w:sz w:val="20"/>
      <w:szCs w:val="20"/>
    </w:rPr>
  </w:style>
  <w:style w:type="paragraph" w:styleId="TOC5">
    <w:name w:val="toc 5"/>
    <w:basedOn w:val="Normal"/>
    <w:next w:val="Normal"/>
    <w:pPr>
      <w:spacing w:before="0" w:after="57"/>
      <w:ind w:hanging="0" w:start="1134" w:end="0"/>
    </w:pPr>
    <w:rPr>
      <w:sz w:val="20"/>
      <w:szCs w:val="20"/>
    </w:rPr>
  </w:style>
  <w:style w:type="paragraph" w:styleId="TOC6">
    <w:name w:val="toc 6"/>
    <w:basedOn w:val="Normal"/>
    <w:next w:val="Normal"/>
    <w:pPr>
      <w:spacing w:before="0" w:after="57"/>
      <w:ind w:hanging="0" w:start="1417" w:end="0"/>
    </w:pPr>
    <w:rPr>
      <w:sz w:val="20"/>
      <w:szCs w:val="20"/>
    </w:rPr>
  </w:style>
  <w:style w:type="paragraph" w:styleId="TOC7">
    <w:name w:val="toc 7"/>
    <w:basedOn w:val="Normal"/>
    <w:next w:val="Normal"/>
    <w:pPr>
      <w:spacing w:before="0" w:after="57"/>
      <w:ind w:hanging="0" w:start="1701" w:end="0"/>
    </w:pPr>
    <w:rPr>
      <w:sz w:val="20"/>
      <w:szCs w:val="20"/>
    </w:rPr>
  </w:style>
  <w:style w:type="paragraph" w:styleId="TOC8">
    <w:name w:val="toc 8"/>
    <w:basedOn w:val="Normal"/>
    <w:next w:val="Normal"/>
    <w:pPr>
      <w:spacing w:before="0" w:after="57"/>
      <w:ind w:hanging="0" w:start="1984" w:end="0"/>
    </w:pPr>
    <w:rPr>
      <w:sz w:val="20"/>
      <w:szCs w:val="20"/>
    </w:rPr>
  </w:style>
  <w:style w:type="paragraph" w:styleId="TOC9">
    <w:name w:val="toc 9"/>
    <w:basedOn w:val="Normal"/>
    <w:next w:val="Normal"/>
    <w:pPr>
      <w:spacing w:before="0" w:after="57"/>
      <w:ind w:hanging="0" w:start="2268" w:end="0"/>
    </w:pPr>
    <w:rPr>
      <w:sz w:val="20"/>
      <w:szCs w:val="20"/>
    </w:rPr>
  </w:style>
  <w:style w:type="paragraph" w:styleId="TOCHeading">
    <w:name w:val="TOC Heading"/>
    <w:qFormat/>
    <w:pPr>
      <w:widowControl/>
      <w:suppressAutoHyphens w:val="true"/>
      <w:bidi w:val="0"/>
    </w:pPr>
    <w:rPr>
      <w:rFonts w:ascii="Times New Roman" w:hAnsi="Times New Roman" w:eastAsia="Times New Roman" w:cs="Times New Roman"/>
      <w:color w:val="auto"/>
      <w:sz w:val="20"/>
      <w:szCs w:val="20"/>
      <w:lang w:val="ru-RU" w:eastAsia="zh-CN" w:bidi="ar-SA"/>
    </w:rPr>
  </w:style>
  <w:style w:type="paragraph" w:styleId="Style35">
    <w:name w:val="Перечень рисунков"/>
    <w:basedOn w:val="Normal"/>
    <w:next w:val="Normal"/>
    <w:qFormat/>
    <w:pPr/>
    <w:rPr>
      <w:sz w:val="20"/>
      <w:szCs w:val="20"/>
    </w:rPr>
  </w:style>
  <w:style w:type="paragraph" w:styleId="ConsNormal">
    <w:name w:val="ConsNormal"/>
    <w:qFormat/>
    <w:pPr>
      <w:widowControl/>
      <w:suppressAutoHyphens w:val="true"/>
      <w:bidi w:val="0"/>
      <w:ind w:firstLine="720" w:start="0" w:end="19772"/>
    </w:pPr>
    <w:rPr>
      <w:rFonts w:ascii="Arial" w:hAnsi="Arial" w:eastAsia="Times New Roman" w:cs="Arial"/>
      <w:color w:val="auto"/>
      <w:sz w:val="20"/>
      <w:szCs w:val="20"/>
      <w:lang w:val="ru-RU" w:eastAsia="zh-CN" w:bidi="ar-SA"/>
    </w:rPr>
  </w:style>
  <w:style w:type="paragraph" w:styleId="BodyText1">
    <w:name w:val="Body Text1"/>
    <w:basedOn w:val="Normal"/>
    <w:qFormat/>
    <w:pPr>
      <w:spacing w:lineRule="auto" w:line="360" w:before="360" w:after="0"/>
      <w:jc w:val="center"/>
    </w:pPr>
    <w:rPr>
      <w:b/>
      <w:bCs/>
    </w:rPr>
  </w:style>
  <w:style w:type="paragraph" w:styleId="34">
    <w:name w:val="3"/>
    <w:basedOn w:val="Normal"/>
    <w:qFormat/>
    <w:pPr>
      <w:jc w:val="both"/>
    </w:pPr>
    <w:rPr/>
  </w:style>
  <w:style w:type="paragraph" w:styleId="ConsPlusNormal1">
    <w:name w:val="ConsPlusNormal"/>
    <w:qFormat/>
    <w:pPr>
      <w:widowControl w:val="false"/>
      <w:suppressAutoHyphens w:val="true"/>
      <w:bidi w:val="0"/>
      <w:ind w:firstLine="720" w:start="0" w:end="0"/>
    </w:pPr>
    <w:rPr>
      <w:rFonts w:ascii="Arial" w:hAnsi="Arial" w:eastAsia="Times New Roman" w:cs="Arial"/>
      <w:color w:val="auto"/>
      <w:sz w:val="20"/>
      <w:szCs w:val="20"/>
      <w:lang w:val="ru-RU" w:eastAsia="zh-CN" w:bidi="ar-SA"/>
    </w:rPr>
  </w:style>
  <w:style w:type="paragraph" w:styleId="ConsNonformat">
    <w:name w:val="ConsNonformat"/>
    <w:qFormat/>
    <w:pPr>
      <w:widowControl w:val="false"/>
      <w:suppressAutoHyphens w:val="true"/>
      <w:bidi w:val="0"/>
      <w:ind w:hanging="0" w:start="0" w:end="19772"/>
    </w:pPr>
    <w:rPr>
      <w:rFonts w:ascii="Courier New" w:hAnsi="Courier New" w:eastAsia="Times New Roman" w:cs="Courier New"/>
      <w:color w:val="auto"/>
      <w:sz w:val="20"/>
      <w:szCs w:val="20"/>
      <w:lang w:val="ru-RU" w:eastAsia="zh-CN" w:bidi="ar-SA"/>
    </w:rPr>
  </w:style>
  <w:style w:type="paragraph" w:styleId="bodytextbodytextbodytextbtndradbodytext1bt1bodytext2bt2bodytext11bt11bodytext3bt3paragraph2paragraph21EHPTBodyText2bBodyTextlevel2">
    <w:name w:val="Основной текст;body text;body text Знак;body text Знак Знак;bt;ändrad;body text1;bt1;body text2;bt2;body text11;bt11;body text3;bt3;paragraph 2;paragraph 21;EHPT;Body Text2;b;Body Text level 2"/>
    <w:basedOn w:val="Normal"/>
    <w:qFormat/>
    <w:pPr>
      <w:jc w:val="both"/>
    </w:pPr>
    <w:rPr>
      <w:sz w:val="20"/>
      <w:szCs w:val="20"/>
    </w:rPr>
  </w:style>
  <w:style w:type="paragraph" w:styleId="29">
    <w:name w:val="Основной текст 2"/>
    <w:basedOn w:val="Normal"/>
    <w:qFormat/>
    <w:pPr>
      <w:spacing w:lineRule="auto" w:line="480" w:before="0" w:after="120"/>
    </w:pPr>
    <w:rPr>
      <w:sz w:val="20"/>
      <w:szCs w:val="20"/>
    </w:rPr>
  </w:style>
  <w:style w:type="paragraph" w:styleId="Style36">
    <w:name w:val="Стиль"/>
    <w:qFormat/>
    <w:pPr>
      <w:widowControl w:val="false"/>
      <w:suppressAutoHyphens w:val="true"/>
      <w:bidi w:val="0"/>
      <w:ind w:firstLine="720" w:start="0" w:end="0"/>
      <w:jc w:val="both"/>
    </w:pPr>
    <w:rPr>
      <w:rFonts w:ascii="Arial" w:hAnsi="Arial" w:eastAsia="Times New Roman" w:cs="Arial"/>
      <w:color w:val="auto"/>
      <w:sz w:val="20"/>
      <w:szCs w:val="20"/>
      <w:lang w:val="ru-RU" w:eastAsia="zh-CN" w:bidi="ar-SA"/>
    </w:rPr>
  </w:style>
  <w:style w:type="paragraph" w:styleId="Style37">
    <w:name w:val="Таблицы (моноширинный)"/>
    <w:basedOn w:val="Style36"/>
    <w:next w:val="Style36"/>
    <w:qFormat/>
    <w:pPr>
      <w:ind w:hanging="0" w:start="0" w:end="0"/>
    </w:pPr>
    <w:rPr>
      <w:rFonts w:ascii="Courier New" w:hAnsi="Courier New" w:cs="Courier New"/>
    </w:rPr>
  </w:style>
  <w:style w:type="paragraph" w:styleId="117">
    <w:name w:val="Обычный1"/>
    <w:qFormat/>
    <w:pPr>
      <w:widowControl/>
      <w:suppressAutoHyphens w:val="true"/>
      <w:bidi w:val="0"/>
      <w:jc w:val="both"/>
    </w:pPr>
    <w:rPr>
      <w:rFonts w:ascii="Arial" w:hAnsi="Arial" w:eastAsia="Arial" w:cs="Calibri"/>
      <w:color w:val="auto"/>
      <w:sz w:val="28"/>
      <w:szCs w:val="20"/>
      <w:lang w:val="ru-RU" w:eastAsia="zh-CN" w:bidi="ar-SA"/>
    </w:rPr>
  </w:style>
  <w:style w:type="paragraph" w:styleId="Style38">
    <w:name w:val="Текст"/>
    <w:basedOn w:val="Normal"/>
    <w:qFormat/>
    <w:pPr/>
    <w:rPr>
      <w:rFonts w:ascii="Courier New" w:hAnsi="Courier New" w:cs="Courier New"/>
      <w:sz w:val="20"/>
      <w:szCs w:val="20"/>
    </w:rPr>
  </w:style>
  <w:style w:type="paragraph" w:styleId="Style39">
    <w:name w:val="Style3"/>
    <w:basedOn w:val="Normal"/>
    <w:qFormat/>
    <w:pPr>
      <w:widowControl w:val="false"/>
      <w:spacing w:lineRule="exact" w:line="259"/>
      <w:jc w:val="center"/>
    </w:pPr>
    <w:rPr>
      <w:rFonts w:eastAsia="Calibri"/>
    </w:rPr>
  </w:style>
  <w:style w:type="paragraph" w:styleId="Style51">
    <w:name w:val="Style5"/>
    <w:basedOn w:val="Normal"/>
    <w:qFormat/>
    <w:pPr>
      <w:widowControl w:val="false"/>
      <w:spacing w:lineRule="exact" w:line="486"/>
      <w:ind w:hanging="353" w:start="0" w:end="0"/>
      <w:jc w:val="both"/>
    </w:pPr>
    <w:rPr/>
  </w:style>
  <w:style w:type="paragraph" w:styleId="Style41">
    <w:name w:val="Style4"/>
    <w:basedOn w:val="Normal"/>
    <w:qFormat/>
    <w:pPr>
      <w:widowControl w:val="false"/>
      <w:spacing w:lineRule="exact" w:line="493"/>
      <w:ind w:firstLine="713" w:start="0" w:end="0"/>
      <w:jc w:val="both"/>
    </w:pPr>
    <w:rPr/>
  </w:style>
  <w:style w:type="paragraph" w:styleId="210">
    <w:name w:val="Абзац списка2"/>
    <w:basedOn w:val="Normal"/>
    <w:qFormat/>
    <w:pPr>
      <w:widowControl w:val="false"/>
      <w:spacing w:lineRule="auto" w:line="276" w:before="0" w:after="200"/>
      <w:ind w:hanging="0" w:start="720" w:end="0"/>
      <w:contextualSpacing/>
    </w:pPr>
    <w:rPr>
      <w:rFonts w:ascii="Calibri" w:hAnsi="Calibri" w:eastAsia="Calibri" w:cs="Calibri"/>
      <w:color w:val="00000A"/>
      <w:sz w:val="22"/>
      <w:szCs w:val="22"/>
    </w:rPr>
  </w:style>
  <w:style w:type="paragraph" w:styleId="214">
    <w:name w:val="Основной текст с отступом 2"/>
    <w:basedOn w:val="Normal"/>
    <w:qFormat/>
    <w:pPr>
      <w:ind w:hanging="0" w:start="5580" w:end="0"/>
    </w:pPr>
    <w:rPr>
      <w:sz w:val="20"/>
      <w:szCs w:val="20"/>
    </w:rPr>
  </w:style>
  <w:style w:type="paragraph" w:styleId="BodyTextIndent">
    <w:name w:val="Body Text Indent"/>
    <w:basedOn w:val="Normal"/>
    <w:pPr>
      <w:widowControl w:val="false"/>
      <w:ind w:firstLine="708" w:start="0" w:end="0"/>
      <w:jc w:val="both"/>
    </w:pPr>
    <w:rPr>
      <w:rFonts w:ascii="Arial" w:hAnsi="Arial" w:eastAsia="Arial Unicode MS" w:cs="Arial"/>
      <w:sz w:val="20"/>
      <w:szCs w:val="20"/>
    </w:rPr>
  </w:style>
  <w:style w:type="paragraph" w:styleId="2Char">
    <w:name w:val="Знак2 Знак Знак Знак Знак Знак Знак Знак Знак Знак Знак Знак Знак Знак Знак Знак Char"/>
    <w:basedOn w:val="Normal"/>
    <w:qFormat/>
    <w:pPr>
      <w:spacing w:lineRule="exact" w:line="240" w:before="0" w:after="160"/>
    </w:pPr>
    <w:rPr>
      <w:rFonts w:ascii="Tahoma" w:hAnsi="Tahoma" w:cs="Tahoma"/>
      <w:sz w:val="20"/>
      <w:szCs w:val="20"/>
      <w:lang w:val="en-US"/>
    </w:rPr>
  </w:style>
  <w:style w:type="paragraph" w:styleId="118">
    <w:name w:val="заголовок 11"/>
    <w:basedOn w:val="Normal"/>
    <w:next w:val="Normal"/>
    <w:qFormat/>
    <w:pPr>
      <w:keepNext w:val="true"/>
      <w:jc w:val="center"/>
    </w:pPr>
    <w:rPr/>
  </w:style>
  <w:style w:type="paragraph" w:styleId="Head93">
    <w:name w:val="Head 9.3"/>
    <w:basedOn w:val="Normal"/>
    <w:next w:val="Normal"/>
    <w:qFormat/>
    <w:pPr>
      <w:keepNext w:val="true"/>
      <w:widowControl w:val="false"/>
      <w:spacing w:before="240" w:after="60"/>
      <w:jc w:val="center"/>
    </w:pPr>
    <w:rPr>
      <w:rFonts w:ascii="Times New Roman Bold" w:hAnsi="Times New Roman Bold" w:cs="Times New Roman Bold"/>
      <w:b/>
      <w:bCs/>
      <w:sz w:val="28"/>
      <w:szCs w:val="28"/>
    </w:rPr>
  </w:style>
  <w:style w:type="paragraph" w:styleId="Style40">
    <w:name w:val="Раздел"/>
    <w:basedOn w:val="Normal"/>
    <w:next w:val="Normal"/>
    <w:qFormat/>
    <w:pPr>
      <w:tabs>
        <w:tab w:val="clear" w:pos="709"/>
        <w:tab w:val="left" w:pos="1418" w:leader="none"/>
      </w:tabs>
      <w:spacing w:before="120" w:after="120"/>
      <w:ind w:hanging="680" w:start="680" w:end="0"/>
      <w:jc w:val="center"/>
    </w:pPr>
    <w:rPr>
      <w:rFonts w:ascii="Arial Narrow" w:hAnsi="Arial Narrow" w:cs="Arial Narrow"/>
      <w:b/>
      <w:bCs/>
      <w:caps/>
      <w:sz w:val="32"/>
      <w:szCs w:val="32"/>
    </w:rPr>
  </w:style>
  <w:style w:type="paragraph" w:styleId="Style42">
    <w:name w:val="Знак Знак Знак Знак Знак Знак Знак Знак Знак Знак"/>
    <w:basedOn w:val="Normal"/>
    <w:qFormat/>
    <w:pPr>
      <w:spacing w:lineRule="exact" w:line="240" w:before="0" w:after="160"/>
    </w:pPr>
    <w:rPr>
      <w:rFonts w:ascii="Verdana" w:hAnsi="Verdana" w:cs="Verdana"/>
      <w:sz w:val="20"/>
      <w:szCs w:val="20"/>
      <w:lang w:val="en-US"/>
    </w:rPr>
  </w:style>
  <w:style w:type="paragraph" w:styleId="Style43">
    <w:name w:val="Знак"/>
    <w:basedOn w:val="Normal"/>
    <w:qFormat/>
    <w:pPr>
      <w:widowControl w:val="false"/>
      <w:jc w:val="both"/>
    </w:pPr>
    <w:rPr>
      <w:rFonts w:ascii="Arial" w:hAnsi="Arial" w:eastAsia="SimSun;宋体" w:cs="Arial"/>
      <w:sz w:val="21"/>
      <w:szCs w:val="21"/>
      <w:lang w:val="en-US"/>
    </w:rPr>
  </w:style>
  <w:style w:type="paragraph"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qFormat/>
    <w:pPr>
      <w:spacing w:before="280" w:after="280"/>
    </w:pPr>
    <w:rPr>
      <w:rFonts w:ascii="Tahoma" w:hAnsi="Tahoma" w:cs="Tahoma"/>
      <w:sz w:val="20"/>
      <w:szCs w:val="20"/>
      <w:lang w:val="en-US"/>
    </w:rPr>
  </w:style>
  <w:style w:type="paragraph" w:styleId="35">
    <w:name w:val="Основной текст с отступом 3"/>
    <w:basedOn w:val="Normal"/>
    <w:qFormat/>
    <w:pPr>
      <w:widowControl w:val="false"/>
      <w:spacing w:before="0" w:after="120"/>
      <w:ind w:hanging="0" w:start="283" w:end="0"/>
    </w:pPr>
    <w:rPr>
      <w:sz w:val="16"/>
      <w:szCs w:val="16"/>
    </w:rPr>
  </w:style>
  <w:style w:type="paragraph" w:styleId="119">
    <w:name w:val="Обычный11"/>
    <w:qFormat/>
    <w:pPr>
      <w:widowControl/>
      <w:suppressAutoHyphens w:val="true"/>
      <w:bidi w:val="0"/>
      <w:jc w:val="both"/>
    </w:pPr>
    <w:rPr>
      <w:rFonts w:ascii="TimesET" w:hAnsi="TimesET" w:eastAsia="Times New Roman" w:cs="TimesET"/>
      <w:color w:val="auto"/>
      <w:sz w:val="24"/>
      <w:szCs w:val="24"/>
      <w:lang w:val="ru-RU" w:eastAsia="zh-CN" w:bidi="ar-SA"/>
    </w:rPr>
  </w:style>
  <w:style w:type="paragraph" w:styleId="120">
    <w:name w:val="Знак1"/>
    <w:basedOn w:val="Normal"/>
    <w:qFormat/>
    <w:pPr>
      <w:spacing w:lineRule="exact" w:line="240" w:before="0" w:after="160"/>
    </w:pPr>
    <w:rPr>
      <w:rFonts w:ascii="Verdana" w:hAnsi="Verdana" w:cs="Verdana"/>
      <w:sz w:val="20"/>
      <w:szCs w:val="20"/>
      <w:lang w:val="en-US"/>
    </w:rPr>
  </w:style>
  <w:style w:type="paragraph" w:styleId="122">
    <w:name w:val="Знак Знак Знак Знак Знак Знак Знак Знак Знак Знак1"/>
    <w:basedOn w:val="Normal"/>
    <w:qFormat/>
    <w:pPr>
      <w:spacing w:lineRule="exact" w:line="240" w:before="0" w:after="160"/>
    </w:pPr>
    <w:rPr>
      <w:rFonts w:ascii="Verdana" w:hAnsi="Verdana" w:cs="Verdana"/>
      <w:sz w:val="20"/>
      <w:szCs w:val="20"/>
      <w:lang w:val="en-US"/>
    </w:rPr>
  </w:style>
  <w:style w:type="paragraph" w:styleId="2Char1">
    <w:name w:val="Знак2 Знак Знак Знак Знак Знак Знак Знак Знак Знак Знак Знак Знак Знак Знак Знак Char1"/>
    <w:basedOn w:val="Normal"/>
    <w:qFormat/>
    <w:pPr>
      <w:spacing w:lineRule="exact" w:line="240" w:before="0" w:after="160"/>
    </w:pPr>
    <w:rPr>
      <w:rFonts w:ascii="Tahoma" w:hAnsi="Tahoma" w:cs="Tahoma"/>
      <w:sz w:val="20"/>
      <w:szCs w:val="20"/>
      <w:lang w:val="en-US"/>
    </w:rPr>
  </w:style>
  <w:style w:type="paragraph" w:styleId="36">
    <w:name w:val="Основной текст 3"/>
    <w:basedOn w:val="Normal"/>
    <w:qFormat/>
    <w:pPr>
      <w:spacing w:before="0" w:after="120"/>
    </w:pPr>
    <w:rPr>
      <w:sz w:val="16"/>
      <w:szCs w:val="16"/>
    </w:rPr>
  </w:style>
  <w:style w:type="paragraph" w:styleId="n">
    <w:name w:val="n"/>
    <w:basedOn w:val="Normal"/>
    <w:qFormat/>
    <w:pPr>
      <w:tabs>
        <w:tab w:val="clear" w:pos="709"/>
        <w:tab w:val="left" w:pos="1800" w:leader="none"/>
      </w:tabs>
      <w:spacing w:before="100" w:after="100"/>
      <w:ind w:hanging="1800" w:start="1800" w:end="0"/>
    </w:pPr>
    <w:rPr/>
  </w:style>
  <w:style w:type="paragraph" w:styleId="123">
    <w:name w:val="Абзац списка1"/>
    <w:basedOn w:val="Normal"/>
    <w:qFormat/>
    <w:pPr>
      <w:ind w:hanging="0" w:start="708" w:end="0"/>
    </w:pPr>
    <w:rPr/>
  </w:style>
  <w:style w:type="paragraph" w:styleId="font0">
    <w:name w:val="font0"/>
    <w:basedOn w:val="Normal"/>
    <w:qFormat/>
    <w:pPr>
      <w:spacing w:before="280" w:after="280"/>
    </w:pPr>
    <w:rPr>
      <w:rFonts w:ascii="Arial CYR" w:hAnsi="Arial CYR" w:cs="Arial CYR"/>
      <w:sz w:val="20"/>
      <w:szCs w:val="20"/>
    </w:rPr>
  </w:style>
  <w:style w:type="paragraph" w:styleId="font5">
    <w:name w:val="font5"/>
    <w:basedOn w:val="Normal"/>
    <w:qFormat/>
    <w:pPr>
      <w:spacing w:before="280" w:after="280"/>
    </w:pPr>
    <w:rPr>
      <w:rFonts w:ascii="Tahoma" w:hAnsi="Tahoma" w:cs="Tahoma"/>
      <w:b/>
      <w:bCs/>
      <w:color w:val="000000"/>
      <w:sz w:val="16"/>
      <w:szCs w:val="16"/>
    </w:rPr>
  </w:style>
  <w:style w:type="paragraph" w:styleId="font6">
    <w:name w:val="font6"/>
    <w:basedOn w:val="Normal"/>
    <w:qFormat/>
    <w:pPr>
      <w:spacing w:before="280" w:after="280"/>
    </w:pPr>
    <w:rPr>
      <w:rFonts w:ascii="Tahoma" w:hAnsi="Tahoma" w:cs="Tahoma"/>
      <w:color w:val="000000"/>
      <w:sz w:val="16"/>
      <w:szCs w:val="16"/>
    </w:rPr>
  </w:style>
  <w:style w:type="paragraph" w:styleId="font7">
    <w:name w:val="font7"/>
    <w:basedOn w:val="Normal"/>
    <w:qFormat/>
    <w:pPr>
      <w:spacing w:before="280" w:after="280"/>
    </w:pPr>
    <w:rPr>
      <w:rFonts w:ascii="Tahoma" w:hAnsi="Tahoma" w:cs="Tahoma"/>
      <w:color w:val="000000"/>
      <w:sz w:val="16"/>
      <w:szCs w:val="16"/>
    </w:rPr>
  </w:style>
  <w:style w:type="paragraph" w:styleId="xl91">
    <w:name w:val="xl91"/>
    <w:basedOn w:val="Normal"/>
    <w:qFormat/>
    <w:pPr>
      <w:spacing w:before="280" w:after="280"/>
    </w:pPr>
    <w:rPr>
      <w:rFonts w:ascii="Verdana" w:hAnsi="Verdana" w:cs="Verdana"/>
      <w:sz w:val="18"/>
      <w:szCs w:val="18"/>
    </w:rPr>
  </w:style>
  <w:style w:type="paragraph" w:styleId="xl92">
    <w:name w:val="xl92"/>
    <w:basedOn w:val="Normal"/>
    <w:qFormat/>
    <w:pPr>
      <w:spacing w:before="280" w:after="280"/>
    </w:pPr>
    <w:rPr>
      <w:rFonts w:ascii="Verdana" w:hAnsi="Verdana" w:cs="Verdana"/>
      <w:sz w:val="18"/>
      <w:szCs w:val="18"/>
    </w:rPr>
  </w:style>
  <w:style w:type="paragraph" w:styleId="xl93">
    <w:name w:val="xl93"/>
    <w:basedOn w:val="Normal"/>
    <w:qFormat/>
    <w:pPr>
      <w:spacing w:before="280" w:after="280"/>
    </w:pPr>
    <w:rPr>
      <w:rFonts w:ascii="Verdana" w:hAnsi="Verdana" w:cs="Verdana"/>
      <w:sz w:val="18"/>
      <w:szCs w:val="18"/>
    </w:rPr>
  </w:style>
  <w:style w:type="paragraph" w:styleId="xl94">
    <w:name w:val="xl94"/>
    <w:basedOn w:val="Normal"/>
    <w:qFormat/>
    <w:pPr>
      <w:spacing w:before="280" w:after="280"/>
    </w:pPr>
    <w:rPr>
      <w:rFonts w:ascii="Verdana" w:hAnsi="Verdana" w:cs="Verdana"/>
      <w:sz w:val="18"/>
      <w:szCs w:val="18"/>
    </w:rPr>
  </w:style>
  <w:style w:type="paragraph" w:styleId="xl95">
    <w:name w:val="xl95"/>
    <w:basedOn w:val="Normal"/>
    <w:qFormat/>
    <w:pPr>
      <w:spacing w:before="280" w:after="280"/>
      <w:jc w:val="end"/>
    </w:pPr>
    <w:rPr>
      <w:rFonts w:ascii="Verdana" w:hAnsi="Verdana" w:cs="Verdana"/>
      <w:sz w:val="18"/>
      <w:szCs w:val="18"/>
    </w:rPr>
  </w:style>
  <w:style w:type="paragraph" w:styleId="xl96">
    <w:name w:val="xl96"/>
    <w:basedOn w:val="Normal"/>
    <w:qFormat/>
    <w:pPr>
      <w:spacing w:before="280" w:after="280"/>
    </w:pPr>
    <w:rPr>
      <w:rFonts w:ascii="Verdana" w:hAnsi="Verdana" w:cs="Verdana"/>
      <w:b/>
      <w:bCs/>
      <w:sz w:val="18"/>
      <w:szCs w:val="18"/>
    </w:rPr>
  </w:style>
  <w:style w:type="paragraph" w:styleId="xl97">
    <w:name w:val="xl97"/>
    <w:basedOn w:val="Normal"/>
    <w:qFormat/>
    <w:pPr>
      <w:spacing w:before="280" w:after="280"/>
      <w:jc w:val="end"/>
    </w:pPr>
    <w:rPr>
      <w:rFonts w:ascii="Verdana" w:hAnsi="Verdana" w:cs="Verdana"/>
      <w:b/>
      <w:bCs/>
      <w:sz w:val="18"/>
      <w:szCs w:val="18"/>
    </w:rPr>
  </w:style>
  <w:style w:type="paragraph" w:styleId="xl98">
    <w:name w:val="xl98"/>
    <w:basedOn w:val="Normal"/>
    <w:qFormat/>
    <w:pPr>
      <w:spacing w:before="280" w:after="280"/>
    </w:pPr>
    <w:rPr>
      <w:rFonts w:ascii="Verdana" w:hAnsi="Verdana" w:cs="Verdana"/>
      <w:sz w:val="18"/>
      <w:szCs w:val="18"/>
    </w:rPr>
  </w:style>
  <w:style w:type="paragraph" w:styleId="xl99">
    <w:name w:val="xl99"/>
    <w:basedOn w:val="Normal"/>
    <w:qFormat/>
    <w:pPr>
      <w:spacing w:before="280" w:after="280"/>
    </w:pPr>
    <w:rPr>
      <w:rFonts w:ascii="Verdana" w:hAnsi="Verdana" w:cs="Verdana"/>
      <w:sz w:val="18"/>
      <w:szCs w:val="18"/>
    </w:rPr>
  </w:style>
  <w:style w:type="paragraph" w:styleId="xl100">
    <w:name w:val="xl100"/>
    <w:basedOn w:val="Normal"/>
    <w:qFormat/>
    <w:pPr>
      <w:spacing w:before="280" w:after="280"/>
    </w:pPr>
    <w:rPr>
      <w:rFonts w:ascii="Verdana" w:hAnsi="Verdana" w:cs="Verdana"/>
    </w:rPr>
  </w:style>
  <w:style w:type="paragraph" w:styleId="xl101">
    <w:name w:val="xl101"/>
    <w:basedOn w:val="Normal"/>
    <w:qFormat/>
    <w:pPr>
      <w:spacing w:before="280" w:after="280"/>
    </w:pPr>
    <w:rPr>
      <w:rFonts w:ascii="Verdana" w:hAnsi="Verdana" w:cs="Verdana"/>
      <w:sz w:val="18"/>
      <w:szCs w:val="18"/>
    </w:rPr>
  </w:style>
  <w:style w:type="paragraph" w:styleId="xl102">
    <w:name w:val="xl102"/>
    <w:basedOn w:val="Normal"/>
    <w:qFormat/>
    <w:pPr>
      <w:spacing w:before="280" w:after="280"/>
      <w:jc w:val="end"/>
    </w:pPr>
    <w:rPr>
      <w:rFonts w:ascii="Verdana" w:hAnsi="Verdana" w:cs="Verdana"/>
      <w:b/>
      <w:bCs/>
      <w:sz w:val="18"/>
      <w:szCs w:val="18"/>
    </w:rPr>
  </w:style>
  <w:style w:type="paragraph" w:styleId="xl103">
    <w:name w:val="xl103"/>
    <w:basedOn w:val="Normal"/>
    <w:qFormat/>
    <w:pPr>
      <w:pBdr>
        <w:top w:val="single" w:sz="4" w:space="0" w:color="000000"/>
        <w:bottom w:val="single" w:sz="4" w:space="0" w:color="000000"/>
        <w:right w:val="single" w:sz="4" w:space="0" w:color="000000"/>
      </w:pBdr>
      <w:spacing w:before="280" w:after="280"/>
    </w:pPr>
    <w:rPr>
      <w:rFonts w:ascii="Verdana" w:hAnsi="Verdana" w:cs="Verdana"/>
      <w:b/>
      <w:bCs/>
      <w:sz w:val="18"/>
      <w:szCs w:val="18"/>
    </w:rPr>
  </w:style>
  <w:style w:type="paragraph" w:styleId="xl104">
    <w:name w:val="xl104"/>
    <w:basedOn w:val="Normal"/>
    <w:qFormat/>
    <w:pPr>
      <w:pBdr>
        <w:top w:val="single" w:sz="4" w:space="0" w:color="000000"/>
        <w:bottom w:val="single" w:sz="4" w:space="0" w:color="000000"/>
      </w:pBdr>
      <w:spacing w:before="280" w:after="280"/>
    </w:pPr>
    <w:rPr>
      <w:rFonts w:ascii="Verdana" w:hAnsi="Verdana" w:cs="Verdana"/>
      <w:b/>
      <w:bCs/>
      <w:sz w:val="18"/>
      <w:szCs w:val="18"/>
    </w:rPr>
  </w:style>
  <w:style w:type="paragraph" w:styleId="xl105">
    <w:name w:val="xl105"/>
    <w:basedOn w:val="Normal"/>
    <w:qFormat/>
    <w:pPr>
      <w:pBdr>
        <w:top w:val="single" w:sz="8" w:space="0" w:color="000000"/>
        <w:bottom w:val="single" w:sz="8" w:space="0" w:color="000000"/>
        <w:right w:val="single" w:sz="8" w:space="0" w:color="000000"/>
      </w:pBdr>
      <w:spacing w:before="280" w:after="280"/>
      <w:jc w:val="center"/>
    </w:pPr>
    <w:rPr>
      <w:rFonts w:ascii="Verdana" w:hAnsi="Verdana" w:cs="Verdana"/>
      <w:sz w:val="18"/>
      <w:szCs w:val="18"/>
    </w:rPr>
  </w:style>
  <w:style w:type="paragraph" w:styleId="xl106">
    <w:name w:val="xl106"/>
    <w:basedOn w:val="Normal"/>
    <w:qFormat/>
    <w:pPr>
      <w:pBdr>
        <w:top w:val="single" w:sz="4" w:space="0" w:color="000000"/>
      </w:pBdr>
      <w:spacing w:before="280" w:after="280"/>
      <w:jc w:val="end"/>
    </w:pPr>
    <w:rPr>
      <w:rFonts w:ascii="Verdana" w:hAnsi="Verdana" w:cs="Verdana"/>
      <w:b/>
      <w:bCs/>
      <w:sz w:val="18"/>
      <w:szCs w:val="18"/>
    </w:rPr>
  </w:style>
  <w:style w:type="paragraph" w:styleId="xl107">
    <w:name w:val="xl107"/>
    <w:basedOn w:val="Normal"/>
    <w:qFormat/>
    <w:pPr>
      <w:pBdr>
        <w:top w:val="single" w:sz="4" w:space="0" w:color="000000"/>
      </w:pBdr>
      <w:spacing w:before="280" w:after="280"/>
    </w:pPr>
    <w:rPr>
      <w:rFonts w:ascii="Verdana" w:hAnsi="Verdana" w:cs="Verdana"/>
      <w:b/>
      <w:bCs/>
      <w:sz w:val="18"/>
      <w:szCs w:val="18"/>
    </w:rPr>
  </w:style>
  <w:style w:type="paragraph" w:styleId="xl108">
    <w:name w:val="xl108"/>
    <w:basedOn w:val="Normal"/>
    <w:qFormat/>
    <w:pPr>
      <w:pBdr>
        <w:top w:val="single" w:sz="4" w:space="0" w:color="000000"/>
      </w:pBdr>
      <w:spacing w:before="280" w:after="280"/>
    </w:pPr>
    <w:rPr>
      <w:rFonts w:ascii="Verdana" w:hAnsi="Verdana" w:cs="Verdana"/>
      <w:sz w:val="18"/>
      <w:szCs w:val="18"/>
    </w:rPr>
  </w:style>
  <w:style w:type="paragraph" w:styleId="xl109">
    <w:name w:val="xl109"/>
    <w:basedOn w:val="Normal"/>
    <w:qFormat/>
    <w:pPr>
      <w:spacing w:before="280" w:after="280"/>
      <w:jc w:val="center"/>
    </w:pPr>
    <w:rPr>
      <w:rFonts w:ascii="Verdana" w:hAnsi="Verdana" w:cs="Verdana"/>
      <w:sz w:val="18"/>
      <w:szCs w:val="18"/>
    </w:rPr>
  </w:style>
  <w:style w:type="paragraph" w:styleId="xl110">
    <w:name w:val="xl110"/>
    <w:basedOn w:val="Normal"/>
    <w:qFormat/>
    <w:pPr>
      <w:spacing w:before="280" w:after="280"/>
      <w:jc w:val="end"/>
    </w:pPr>
    <w:rPr>
      <w:rFonts w:ascii="Verdana" w:hAnsi="Verdana" w:cs="Verdana"/>
      <w:b/>
      <w:bCs/>
      <w:sz w:val="18"/>
      <w:szCs w:val="18"/>
    </w:rPr>
  </w:style>
  <w:style w:type="paragraph" w:styleId="xl111">
    <w:name w:val="xl111"/>
    <w:basedOn w:val="Normal"/>
    <w:qFormat/>
    <w:pPr>
      <w:spacing w:before="280" w:after="280"/>
      <w:jc w:val="end"/>
    </w:pPr>
    <w:rPr>
      <w:rFonts w:ascii="Verdana" w:hAnsi="Verdana" w:cs="Verdana"/>
      <w:sz w:val="18"/>
      <w:szCs w:val="18"/>
    </w:rPr>
  </w:style>
  <w:style w:type="paragraph" w:styleId="xl112">
    <w:name w:val="xl112"/>
    <w:basedOn w:val="Normal"/>
    <w:qFormat/>
    <w:pPr>
      <w:spacing w:before="280" w:after="280"/>
      <w:ind w:firstLine="100" w:start="0" w:end="0"/>
    </w:pPr>
    <w:rPr>
      <w:rFonts w:ascii="Verdana" w:hAnsi="Verdana" w:cs="Verdana"/>
      <w:sz w:val="18"/>
      <w:szCs w:val="18"/>
    </w:rPr>
  </w:style>
  <w:style w:type="paragraph" w:styleId="xl113">
    <w:name w:val="xl113"/>
    <w:basedOn w:val="Normal"/>
    <w:qFormat/>
    <w:pPr>
      <w:pBdr>
        <w:top w:val="single" w:sz="4" w:space="0" w:color="000000"/>
        <w:bottom w:val="single" w:sz="4" w:space="0" w:color="000000"/>
      </w:pBdr>
      <w:spacing w:before="280" w:after="280"/>
      <w:jc w:val="end"/>
    </w:pPr>
    <w:rPr>
      <w:rFonts w:ascii="Verdana" w:hAnsi="Verdana" w:cs="Verdana"/>
      <w:b/>
      <w:bCs/>
    </w:rPr>
  </w:style>
  <w:style w:type="paragraph" w:styleId="xl114">
    <w:name w:val="xl114"/>
    <w:basedOn w:val="Normal"/>
    <w:qFormat/>
    <w:pPr>
      <w:pBdr>
        <w:top w:val="single" w:sz="8" w:space="0" w:color="000000"/>
        <w:right w:val="single" w:sz="8" w:space="0" w:color="000000"/>
      </w:pBdr>
      <w:spacing w:before="280" w:after="280"/>
      <w:jc w:val="center"/>
    </w:pPr>
    <w:rPr>
      <w:rFonts w:ascii="Verdana" w:hAnsi="Verdana" w:cs="Verdana"/>
    </w:rPr>
  </w:style>
  <w:style w:type="paragraph" w:styleId="xl115">
    <w:name w:val="xl115"/>
    <w:basedOn w:val="Normal"/>
    <w:qFormat/>
    <w:pPr>
      <w:pBdr>
        <w:right w:val="single" w:sz="8" w:space="0" w:color="000000"/>
      </w:pBdr>
      <w:spacing w:before="280" w:after="280"/>
      <w:jc w:val="center"/>
    </w:pPr>
    <w:rPr>
      <w:rFonts w:ascii="Verdana" w:hAnsi="Verdana" w:cs="Verdana"/>
    </w:rPr>
  </w:style>
  <w:style w:type="paragraph" w:styleId="xl116">
    <w:name w:val="xl116"/>
    <w:basedOn w:val="Normal"/>
    <w:qFormat/>
    <w:pPr>
      <w:spacing w:before="280" w:after="280"/>
      <w:jc w:val="end"/>
    </w:pPr>
    <w:rPr>
      <w:rFonts w:ascii="Verdana" w:hAnsi="Verdana" w:cs="Verdana"/>
    </w:rPr>
  </w:style>
  <w:style w:type="paragraph" w:styleId="xl117">
    <w:name w:val="xl117"/>
    <w:basedOn w:val="Normal"/>
    <w:qFormat/>
    <w:pPr>
      <w:spacing w:before="280" w:after="280"/>
    </w:pPr>
    <w:rPr>
      <w:rFonts w:ascii="Verdana" w:hAnsi="Verdana" w:cs="Verdana"/>
    </w:rPr>
  </w:style>
  <w:style w:type="paragraph" w:styleId="xl118">
    <w:name w:val="xl118"/>
    <w:basedOn w:val="Normal"/>
    <w:qFormat/>
    <w:pPr>
      <w:spacing w:before="280" w:after="280"/>
    </w:pPr>
    <w:rPr/>
  </w:style>
  <w:style w:type="paragraph" w:styleId="xl120">
    <w:name w:val="xl120"/>
    <w:basedOn w:val="Normal"/>
    <w:qFormat/>
    <w:pPr>
      <w:spacing w:before="280" w:after="280"/>
      <w:jc w:val="end"/>
    </w:pPr>
    <w:rPr>
      <w:rFonts w:ascii="Verdana" w:hAnsi="Verdana" w:cs="Verdana"/>
      <w:sz w:val="18"/>
      <w:szCs w:val="18"/>
    </w:rPr>
  </w:style>
  <w:style w:type="paragraph" w:styleId="xl121">
    <w:name w:val="xl121"/>
    <w:basedOn w:val="Normal"/>
    <w:qFormat/>
    <w:pPr>
      <w:spacing w:before="280" w:after="280"/>
      <w:jc w:val="end"/>
    </w:pPr>
    <w:rPr>
      <w:rFonts w:ascii="Verdana" w:hAnsi="Verdana" w:cs="Verdana"/>
      <w:sz w:val="18"/>
      <w:szCs w:val="18"/>
    </w:rPr>
  </w:style>
  <w:style w:type="paragraph" w:styleId="xl122">
    <w:name w:val="xl122"/>
    <w:basedOn w:val="Normal"/>
    <w:qFormat/>
    <w:pPr>
      <w:pBdr>
        <w:top w:val="single" w:sz="4" w:space="0" w:color="000000"/>
        <w:left w:val="single" w:sz="4" w:space="0" w:color="000000"/>
        <w:bottom w:val="single" w:sz="4" w:space="0" w:color="000000"/>
        <w:right w:val="single" w:sz="4" w:space="0" w:color="000000"/>
      </w:pBdr>
      <w:spacing w:before="280" w:after="280"/>
    </w:pPr>
    <w:rPr>
      <w:rFonts w:ascii="Verdana" w:hAnsi="Verdana" w:cs="Verdana"/>
      <w:b/>
      <w:bCs/>
      <w:sz w:val="18"/>
      <w:szCs w:val="18"/>
    </w:rPr>
  </w:style>
  <w:style w:type="paragraph" w:styleId="xl123">
    <w:name w:val="xl123"/>
    <w:basedOn w:val="Normal"/>
    <w:qFormat/>
    <w:pPr>
      <w:pBdr>
        <w:top w:val="single" w:sz="4" w:space="0" w:color="000000"/>
        <w:left w:val="single" w:sz="4" w:space="0" w:color="000000"/>
        <w:bottom w:val="single" w:sz="4" w:space="0" w:color="000000"/>
        <w:right w:val="single" w:sz="4" w:space="0" w:color="000000"/>
      </w:pBdr>
      <w:spacing w:before="280" w:after="280"/>
    </w:pPr>
    <w:rPr>
      <w:rFonts w:ascii="Verdana" w:hAnsi="Verdana" w:cs="Verdana"/>
      <w:sz w:val="18"/>
      <w:szCs w:val="18"/>
    </w:rPr>
  </w:style>
  <w:style w:type="paragraph" w:styleId="xl124">
    <w:name w:val="xl124"/>
    <w:basedOn w:val="Normal"/>
    <w:qFormat/>
    <w:pPr>
      <w:pBdr>
        <w:right w:val="single" w:sz="8" w:space="0" w:color="000000"/>
      </w:pBdr>
      <w:spacing w:before="280" w:after="280"/>
      <w:jc w:val="center"/>
    </w:pPr>
    <w:rPr>
      <w:rFonts w:ascii="Verdana" w:hAnsi="Verdana" w:cs="Verdana"/>
      <w:sz w:val="18"/>
      <w:szCs w:val="18"/>
    </w:rPr>
  </w:style>
  <w:style w:type="paragraph" w:styleId="xl125">
    <w:name w:val="xl125"/>
    <w:basedOn w:val="Normal"/>
    <w:qFormat/>
    <w:pPr>
      <w:pBdr>
        <w:top w:val="single" w:sz="4" w:space="0" w:color="000000"/>
        <w:left w:val="single" w:sz="4" w:space="0" w:color="000000"/>
        <w:bottom w:val="single" w:sz="4" w:space="0" w:color="000000"/>
        <w:right w:val="single" w:sz="4" w:space="0" w:color="000000"/>
      </w:pBdr>
      <w:spacing w:before="280" w:after="280"/>
      <w:jc w:val="center"/>
    </w:pPr>
    <w:rPr>
      <w:rFonts w:ascii="Verdana" w:hAnsi="Verdana" w:cs="Verdana"/>
      <w:sz w:val="18"/>
      <w:szCs w:val="18"/>
    </w:rPr>
  </w:style>
  <w:style w:type="paragraph" w:styleId="xl126">
    <w:name w:val="xl126"/>
    <w:basedOn w:val="Normal"/>
    <w:qFormat/>
    <w:pPr>
      <w:pBdr>
        <w:top w:val="single" w:sz="4" w:space="0" w:color="000000"/>
        <w:left w:val="single" w:sz="4" w:space="0" w:color="000000"/>
        <w:bottom w:val="single" w:sz="4" w:space="0" w:color="000000"/>
        <w:right w:val="single" w:sz="4" w:space="0" w:color="000000"/>
      </w:pBdr>
      <w:spacing w:before="280" w:after="280"/>
      <w:jc w:val="center"/>
    </w:pPr>
    <w:rPr>
      <w:rFonts w:ascii="Verdana" w:hAnsi="Verdana" w:cs="Verdana"/>
    </w:rPr>
  </w:style>
  <w:style w:type="paragraph" w:styleId="xl127">
    <w:name w:val="xl127"/>
    <w:basedOn w:val="Normal"/>
    <w:qFormat/>
    <w:pPr>
      <w:pBdr>
        <w:top w:val="single" w:sz="4" w:space="0" w:color="000000"/>
        <w:left w:val="single" w:sz="4" w:space="0" w:color="000000"/>
        <w:bottom w:val="single" w:sz="4" w:space="0" w:color="000000"/>
        <w:right w:val="single" w:sz="4" w:space="0" w:color="000000"/>
      </w:pBdr>
      <w:spacing w:before="280" w:after="280"/>
      <w:jc w:val="end"/>
    </w:pPr>
    <w:rPr>
      <w:rFonts w:ascii="Verdana" w:hAnsi="Verdana" w:cs="Verdana"/>
      <w:sz w:val="18"/>
      <w:szCs w:val="18"/>
    </w:rPr>
  </w:style>
  <w:style w:type="paragraph" w:styleId="xl128">
    <w:name w:val="xl128"/>
    <w:basedOn w:val="Normal"/>
    <w:qFormat/>
    <w:pPr>
      <w:pBdr>
        <w:top w:val="single" w:sz="4" w:space="0" w:color="000000"/>
        <w:left w:val="single" w:sz="4" w:space="0" w:color="000000"/>
        <w:bottom w:val="single" w:sz="4" w:space="0" w:color="000000"/>
        <w:right w:val="single" w:sz="4" w:space="0" w:color="000000"/>
      </w:pBdr>
      <w:spacing w:before="280" w:after="280"/>
    </w:pPr>
    <w:rPr>
      <w:rFonts w:ascii="Verdana" w:hAnsi="Verdana" w:cs="Verdana"/>
      <w:sz w:val="18"/>
      <w:szCs w:val="18"/>
    </w:rPr>
  </w:style>
  <w:style w:type="paragraph" w:styleId="xl129">
    <w:name w:val="xl129"/>
    <w:basedOn w:val="Normal"/>
    <w:qFormat/>
    <w:pPr>
      <w:pBdr>
        <w:top w:val="single" w:sz="4" w:space="0" w:color="000000"/>
        <w:left w:val="single" w:sz="4" w:space="0" w:color="000000"/>
        <w:bottom w:val="single" w:sz="4" w:space="0" w:color="000000"/>
        <w:right w:val="single" w:sz="4" w:space="0" w:color="000000"/>
      </w:pBdr>
      <w:spacing w:before="280" w:after="280"/>
      <w:jc w:val="center"/>
    </w:pPr>
    <w:rPr>
      <w:rFonts w:ascii="Verdana" w:hAnsi="Verdana" w:cs="Verdana"/>
      <w:sz w:val="18"/>
      <w:szCs w:val="18"/>
    </w:rPr>
  </w:style>
  <w:style w:type="paragraph" w:styleId="xl130">
    <w:name w:val="xl130"/>
    <w:basedOn w:val="Normal"/>
    <w:qFormat/>
    <w:pPr>
      <w:pBdr>
        <w:top w:val="single" w:sz="4" w:space="0" w:color="000000"/>
        <w:left w:val="single" w:sz="4" w:space="0" w:color="000000"/>
        <w:bottom w:val="single" w:sz="4" w:space="0" w:color="000000"/>
        <w:right w:val="single" w:sz="4" w:space="0" w:color="000000"/>
      </w:pBdr>
      <w:spacing w:before="280" w:after="280"/>
      <w:jc w:val="center"/>
    </w:pPr>
    <w:rPr>
      <w:rFonts w:ascii="Verdana" w:hAnsi="Verdana" w:cs="Verdana"/>
      <w:sz w:val="18"/>
      <w:szCs w:val="18"/>
    </w:rPr>
  </w:style>
  <w:style w:type="paragraph" w:styleId="xl131">
    <w:name w:val="xl131"/>
    <w:basedOn w:val="Normal"/>
    <w:qFormat/>
    <w:pPr>
      <w:pBdr>
        <w:top w:val="single" w:sz="4" w:space="0" w:color="000000"/>
        <w:left w:val="single" w:sz="4" w:space="0" w:color="000000"/>
        <w:bottom w:val="single" w:sz="4" w:space="0" w:color="000000"/>
        <w:right w:val="single" w:sz="4" w:space="0" w:color="000000"/>
      </w:pBdr>
      <w:spacing w:before="280" w:after="280"/>
      <w:jc w:val="end"/>
    </w:pPr>
    <w:rPr>
      <w:rFonts w:ascii="Verdana" w:hAnsi="Verdana" w:cs="Verdana"/>
      <w:sz w:val="18"/>
      <w:szCs w:val="18"/>
    </w:rPr>
  </w:style>
  <w:style w:type="paragraph" w:styleId="xl132">
    <w:name w:val="xl132"/>
    <w:basedOn w:val="Normal"/>
    <w:qFormat/>
    <w:pPr>
      <w:pBdr>
        <w:top w:val="single" w:sz="4" w:space="0" w:color="000000"/>
        <w:left w:val="single" w:sz="4" w:space="0" w:color="000000"/>
        <w:bottom w:val="single" w:sz="4" w:space="0" w:color="000000"/>
        <w:right w:val="single" w:sz="4" w:space="0" w:color="000000"/>
      </w:pBdr>
      <w:spacing w:before="280" w:after="280"/>
      <w:jc w:val="end"/>
    </w:pPr>
    <w:rPr>
      <w:rFonts w:ascii="Verdana" w:hAnsi="Verdana" w:cs="Verdana"/>
      <w:sz w:val="18"/>
      <w:szCs w:val="18"/>
    </w:rPr>
  </w:style>
  <w:style w:type="paragraph" w:styleId="xl133">
    <w:name w:val="xl133"/>
    <w:basedOn w:val="Normal"/>
    <w:qFormat/>
    <w:pPr>
      <w:pBdr>
        <w:top w:val="single" w:sz="4" w:space="0" w:color="000000"/>
        <w:left w:val="single" w:sz="4" w:space="0" w:color="000000"/>
        <w:bottom w:val="single" w:sz="4" w:space="0" w:color="000000"/>
        <w:right w:val="single" w:sz="4" w:space="0" w:color="000000"/>
      </w:pBdr>
      <w:spacing w:before="280" w:after="280"/>
      <w:jc w:val="end"/>
    </w:pPr>
    <w:rPr>
      <w:rFonts w:ascii="Verdana" w:hAnsi="Verdana" w:cs="Verdana"/>
    </w:rPr>
  </w:style>
  <w:style w:type="paragraph" w:styleId="xl134">
    <w:name w:val="xl134"/>
    <w:basedOn w:val="Normal"/>
    <w:qFormat/>
    <w:pPr>
      <w:pBdr>
        <w:top w:val="single" w:sz="4" w:space="0" w:color="000000"/>
        <w:left w:val="single" w:sz="4" w:space="0" w:color="000000"/>
        <w:bottom w:val="single" w:sz="4" w:space="0" w:color="000000"/>
        <w:right w:val="single" w:sz="4" w:space="0" w:color="000000"/>
      </w:pBdr>
      <w:spacing w:before="280" w:after="280"/>
      <w:jc w:val="end"/>
    </w:pPr>
    <w:rPr>
      <w:rFonts w:ascii="Verdana" w:hAnsi="Verdana" w:cs="Verdana"/>
      <w:b/>
      <w:bCs/>
      <w:sz w:val="18"/>
      <w:szCs w:val="18"/>
    </w:rPr>
  </w:style>
  <w:style w:type="paragraph" w:styleId="xl135">
    <w:name w:val="xl135"/>
    <w:basedOn w:val="Normal"/>
    <w:qFormat/>
    <w:pPr>
      <w:pBdr>
        <w:top w:val="single" w:sz="4" w:space="0" w:color="000000"/>
        <w:left w:val="single" w:sz="4" w:space="0" w:color="000000"/>
        <w:bottom w:val="single" w:sz="4" w:space="0" w:color="000000"/>
        <w:right w:val="single" w:sz="4" w:space="0" w:color="000000"/>
      </w:pBdr>
      <w:spacing w:before="280" w:after="280"/>
    </w:pPr>
    <w:rPr>
      <w:rFonts w:ascii="Verdana" w:hAnsi="Verdana" w:cs="Verdana"/>
      <w:b/>
      <w:bCs/>
      <w:sz w:val="18"/>
      <w:szCs w:val="18"/>
    </w:rPr>
  </w:style>
  <w:style w:type="paragraph" w:styleId="xl136">
    <w:name w:val="xl136"/>
    <w:basedOn w:val="Normal"/>
    <w:qFormat/>
    <w:pPr>
      <w:pBdr>
        <w:top w:val="single" w:sz="4" w:space="0" w:color="000000"/>
        <w:left w:val="single" w:sz="4" w:space="0" w:color="000000"/>
        <w:bottom w:val="single" w:sz="4" w:space="0" w:color="000000"/>
        <w:right w:val="single" w:sz="4" w:space="0" w:color="000000"/>
      </w:pBdr>
      <w:spacing w:before="280" w:after="280"/>
      <w:jc w:val="center"/>
    </w:pPr>
    <w:rPr>
      <w:rFonts w:ascii="Verdana" w:hAnsi="Verdana" w:cs="Verdana"/>
      <w:b/>
      <w:bCs/>
      <w:sz w:val="18"/>
      <w:szCs w:val="18"/>
    </w:rPr>
  </w:style>
  <w:style w:type="paragraph" w:styleId="xl137">
    <w:name w:val="xl137"/>
    <w:basedOn w:val="Normal"/>
    <w:qFormat/>
    <w:pPr>
      <w:pBdr>
        <w:top w:val="single" w:sz="4" w:space="0" w:color="000000"/>
        <w:left w:val="single" w:sz="4" w:space="0" w:color="000000"/>
        <w:bottom w:val="single" w:sz="4" w:space="0" w:color="000000"/>
        <w:right w:val="single" w:sz="4" w:space="0" w:color="000000"/>
      </w:pBdr>
      <w:spacing w:before="280" w:after="280"/>
      <w:jc w:val="center"/>
    </w:pPr>
    <w:rPr>
      <w:rFonts w:ascii="Verdana" w:hAnsi="Verdana" w:cs="Verdana"/>
      <w:b/>
      <w:bCs/>
      <w:sz w:val="18"/>
      <w:szCs w:val="18"/>
    </w:rPr>
  </w:style>
  <w:style w:type="paragraph" w:styleId="xl138">
    <w:name w:val="xl138"/>
    <w:basedOn w:val="Normal"/>
    <w:qFormat/>
    <w:pPr>
      <w:pBdr>
        <w:top w:val="single" w:sz="4" w:space="0" w:color="000000"/>
        <w:left w:val="single" w:sz="4" w:space="0" w:color="000000"/>
        <w:bottom w:val="single" w:sz="4" w:space="0" w:color="000000"/>
        <w:right w:val="single" w:sz="4" w:space="0" w:color="000000"/>
      </w:pBdr>
      <w:spacing w:before="280" w:after="280"/>
      <w:jc w:val="end"/>
    </w:pPr>
    <w:rPr>
      <w:rFonts w:ascii="Verdana" w:hAnsi="Verdana" w:cs="Verdana"/>
      <w:b/>
      <w:bCs/>
      <w:sz w:val="18"/>
      <w:szCs w:val="18"/>
    </w:rPr>
  </w:style>
  <w:style w:type="paragraph" w:styleId="xl139">
    <w:name w:val="xl139"/>
    <w:basedOn w:val="Normal"/>
    <w:qFormat/>
    <w:pPr>
      <w:pBdr>
        <w:top w:val="single" w:sz="4" w:space="0" w:color="000000"/>
        <w:left w:val="single" w:sz="4" w:space="0" w:color="000000"/>
        <w:bottom w:val="single" w:sz="4" w:space="0" w:color="000000"/>
        <w:right w:val="single" w:sz="4" w:space="0" w:color="000000"/>
      </w:pBdr>
      <w:spacing w:before="280" w:after="280"/>
      <w:jc w:val="end"/>
    </w:pPr>
    <w:rPr>
      <w:rFonts w:ascii="Verdana" w:hAnsi="Verdana" w:cs="Verdana"/>
      <w:b/>
      <w:bCs/>
      <w:sz w:val="18"/>
      <w:szCs w:val="18"/>
    </w:rPr>
  </w:style>
  <w:style w:type="paragraph" w:styleId="xl140">
    <w:name w:val="xl140"/>
    <w:basedOn w:val="Normal"/>
    <w:qFormat/>
    <w:pPr>
      <w:pBdr>
        <w:top w:val="single" w:sz="4" w:space="0" w:color="000000"/>
        <w:left w:val="single" w:sz="4" w:space="0" w:color="000000"/>
        <w:bottom w:val="single" w:sz="4" w:space="0" w:color="000000"/>
        <w:right w:val="single" w:sz="4" w:space="0" w:color="000000"/>
      </w:pBdr>
      <w:spacing w:before="280" w:after="280"/>
      <w:jc w:val="end"/>
    </w:pPr>
    <w:rPr>
      <w:rFonts w:ascii="Verdana" w:hAnsi="Verdana" w:cs="Verdana"/>
      <w:b/>
      <w:bCs/>
    </w:rPr>
  </w:style>
  <w:style w:type="paragraph" w:styleId="xl141">
    <w:name w:val="xl141"/>
    <w:basedOn w:val="Normal"/>
    <w:qFormat/>
    <w:pPr>
      <w:pBdr>
        <w:top w:val="single" w:sz="4" w:space="0" w:color="000000"/>
        <w:left w:val="single" w:sz="4" w:space="0" w:color="000000"/>
        <w:bottom w:val="single" w:sz="4" w:space="0" w:color="000000"/>
        <w:right w:val="single" w:sz="4" w:space="0" w:color="000000"/>
      </w:pBdr>
      <w:spacing w:before="280" w:after="280"/>
      <w:jc w:val="center"/>
    </w:pPr>
    <w:rPr>
      <w:rFonts w:ascii="Verdana" w:hAnsi="Verdana" w:cs="Verdana"/>
      <w:sz w:val="18"/>
      <w:szCs w:val="18"/>
    </w:rPr>
  </w:style>
  <w:style w:type="paragraph" w:styleId="xl142">
    <w:name w:val="xl142"/>
    <w:basedOn w:val="Normal"/>
    <w:qFormat/>
    <w:pPr>
      <w:pBdr>
        <w:top w:val="single" w:sz="4" w:space="0" w:color="000000"/>
        <w:left w:val="single" w:sz="4" w:space="0" w:color="000000"/>
        <w:bottom w:val="single" w:sz="4" w:space="0" w:color="000000"/>
        <w:right w:val="single" w:sz="4" w:space="0" w:color="000000"/>
      </w:pBdr>
      <w:spacing w:before="280" w:after="280"/>
      <w:jc w:val="end"/>
    </w:pPr>
    <w:rPr>
      <w:rFonts w:ascii="Verdana" w:hAnsi="Verdana" w:cs="Verdana"/>
      <w:sz w:val="18"/>
      <w:szCs w:val="18"/>
    </w:rPr>
  </w:style>
  <w:style w:type="paragraph" w:styleId="xl143">
    <w:name w:val="xl143"/>
    <w:basedOn w:val="Normal"/>
    <w:qFormat/>
    <w:pPr>
      <w:pBdr>
        <w:top w:val="single" w:sz="4" w:space="0" w:color="000000"/>
        <w:left w:val="single" w:sz="4" w:space="0" w:color="000000"/>
        <w:bottom w:val="single" w:sz="4" w:space="0" w:color="000000"/>
        <w:right w:val="single" w:sz="4" w:space="0" w:color="000000"/>
      </w:pBdr>
      <w:spacing w:before="280" w:after="280"/>
    </w:pPr>
    <w:rPr>
      <w:rFonts w:ascii="Verdana" w:hAnsi="Verdana" w:cs="Verdana"/>
    </w:rPr>
  </w:style>
  <w:style w:type="paragraph" w:styleId="xl144">
    <w:name w:val="xl144"/>
    <w:basedOn w:val="Normal"/>
    <w:qFormat/>
    <w:pPr>
      <w:pBdr>
        <w:top w:val="single" w:sz="4" w:space="0" w:color="000000"/>
        <w:left w:val="single" w:sz="4" w:space="0" w:color="000000"/>
        <w:bottom w:val="single" w:sz="4" w:space="0" w:color="000000"/>
        <w:right w:val="single" w:sz="4" w:space="0" w:color="000000"/>
      </w:pBdr>
      <w:spacing w:before="280" w:after="280"/>
      <w:jc w:val="end"/>
    </w:pPr>
    <w:rPr>
      <w:rFonts w:ascii="Verdana" w:hAnsi="Verdana" w:cs="Verdana"/>
    </w:rPr>
  </w:style>
  <w:style w:type="paragraph" w:styleId="xl145">
    <w:name w:val="xl145"/>
    <w:basedOn w:val="Normal"/>
    <w:qFormat/>
    <w:pPr>
      <w:pBdr>
        <w:top w:val="single" w:sz="4" w:space="0" w:color="000000"/>
        <w:left w:val="single" w:sz="4" w:space="0" w:color="000000"/>
        <w:bottom w:val="single" w:sz="4" w:space="0" w:color="000000"/>
        <w:right w:val="single" w:sz="4" w:space="0" w:color="000000"/>
      </w:pBdr>
      <w:spacing w:before="280" w:after="280"/>
      <w:jc w:val="end"/>
    </w:pPr>
    <w:rPr>
      <w:rFonts w:ascii="Verdana" w:hAnsi="Verdana" w:cs="Verdana"/>
      <w:sz w:val="18"/>
      <w:szCs w:val="18"/>
    </w:rPr>
  </w:style>
  <w:style w:type="paragraph" w:styleId="xl146">
    <w:name w:val="xl146"/>
    <w:basedOn w:val="Normal"/>
    <w:qFormat/>
    <w:pPr>
      <w:pBdr>
        <w:top w:val="single" w:sz="4" w:space="0" w:color="000000"/>
        <w:left w:val="single" w:sz="4" w:space="0" w:color="000000"/>
        <w:bottom w:val="single" w:sz="4" w:space="0" w:color="000000"/>
        <w:right w:val="single" w:sz="4" w:space="0" w:color="000000"/>
      </w:pBdr>
      <w:spacing w:before="280" w:after="280"/>
      <w:jc w:val="end"/>
    </w:pPr>
    <w:rPr>
      <w:rFonts w:ascii="Verdana" w:hAnsi="Verdana" w:cs="Verdana"/>
      <w:sz w:val="18"/>
      <w:szCs w:val="18"/>
    </w:rPr>
  </w:style>
  <w:style w:type="paragraph" w:styleId="xl147">
    <w:name w:val="xl147"/>
    <w:basedOn w:val="Normal"/>
    <w:qFormat/>
    <w:pPr>
      <w:spacing w:before="280" w:after="280"/>
      <w:jc w:val="center"/>
    </w:pPr>
    <w:rPr>
      <w:rFonts w:ascii="Verdana" w:hAnsi="Verdana" w:cs="Verdana"/>
      <w:b/>
      <w:bCs/>
      <w:sz w:val="22"/>
      <w:szCs w:val="22"/>
    </w:rPr>
  </w:style>
  <w:style w:type="paragraph" w:styleId="xl148">
    <w:name w:val="xl148"/>
    <w:basedOn w:val="Normal"/>
    <w:qFormat/>
    <w:pPr>
      <w:spacing w:before="280" w:after="280"/>
      <w:jc w:val="center"/>
    </w:pPr>
    <w:rPr>
      <w:rFonts w:ascii="Verdana" w:hAnsi="Verdana" w:cs="Verdana"/>
      <w:sz w:val="18"/>
      <w:szCs w:val="18"/>
    </w:rPr>
  </w:style>
  <w:style w:type="paragraph" w:styleId="xl149">
    <w:name w:val="xl149"/>
    <w:basedOn w:val="Normal"/>
    <w:qFormat/>
    <w:pPr>
      <w:pBdr>
        <w:top w:val="single" w:sz="4" w:space="0" w:color="000000"/>
        <w:left w:val="single" w:sz="4" w:space="0" w:color="000000"/>
        <w:bottom w:val="single" w:sz="4" w:space="0" w:color="000000"/>
      </w:pBdr>
      <w:spacing w:before="280" w:after="280"/>
      <w:jc w:val="end"/>
    </w:pPr>
    <w:rPr>
      <w:rFonts w:ascii="Verdana" w:hAnsi="Verdana" w:cs="Verdana"/>
      <w:b/>
      <w:bCs/>
      <w:sz w:val="18"/>
      <w:szCs w:val="18"/>
    </w:rPr>
  </w:style>
  <w:style w:type="paragraph" w:styleId="xl150">
    <w:name w:val="xl150"/>
    <w:basedOn w:val="Normal"/>
    <w:qFormat/>
    <w:pPr>
      <w:pBdr>
        <w:top w:val="single" w:sz="4" w:space="0" w:color="000000"/>
        <w:bottom w:val="single" w:sz="4" w:space="0" w:color="000000"/>
      </w:pBdr>
      <w:spacing w:before="280" w:after="280"/>
      <w:jc w:val="end"/>
    </w:pPr>
    <w:rPr>
      <w:rFonts w:ascii="Verdana" w:hAnsi="Verdana" w:cs="Verdana"/>
      <w:b/>
      <w:bCs/>
      <w:sz w:val="18"/>
      <w:szCs w:val="18"/>
    </w:rPr>
  </w:style>
  <w:style w:type="paragraph" w:styleId="xl151">
    <w:name w:val="xl151"/>
    <w:basedOn w:val="Normal"/>
    <w:qFormat/>
    <w:pPr>
      <w:pBdr>
        <w:top w:val="single" w:sz="4" w:space="0" w:color="000000"/>
        <w:left w:val="single" w:sz="4" w:space="0" w:color="000000"/>
        <w:bottom w:val="single" w:sz="4" w:space="0" w:color="000000"/>
      </w:pBdr>
      <w:spacing w:before="280" w:after="280"/>
      <w:jc w:val="end"/>
    </w:pPr>
    <w:rPr>
      <w:rFonts w:ascii="Verdana" w:hAnsi="Verdana" w:cs="Verdana"/>
      <w:b/>
      <w:bCs/>
    </w:rPr>
  </w:style>
  <w:style w:type="paragraph" w:styleId="xl152">
    <w:name w:val="xl152"/>
    <w:basedOn w:val="Normal"/>
    <w:qFormat/>
    <w:pPr>
      <w:pBdr>
        <w:top w:val="single" w:sz="4" w:space="0" w:color="000000"/>
        <w:bottom w:val="single" w:sz="4" w:space="0" w:color="000000"/>
      </w:pBdr>
      <w:spacing w:before="280" w:after="280"/>
      <w:jc w:val="end"/>
    </w:pPr>
    <w:rPr>
      <w:rFonts w:ascii="Verdana" w:hAnsi="Verdana" w:cs="Verdana"/>
      <w:b/>
      <w:bCs/>
    </w:rPr>
  </w:style>
  <w:style w:type="paragraph" w:styleId="xl153">
    <w:name w:val="xl153"/>
    <w:basedOn w:val="Normal"/>
    <w:qFormat/>
    <w:pPr>
      <w:pBdr>
        <w:top w:val="single" w:sz="8" w:space="0" w:color="000000"/>
        <w:left w:val="single" w:sz="8" w:space="0" w:color="000000"/>
        <w:right w:val="single" w:sz="8" w:space="0" w:color="000000"/>
      </w:pBdr>
      <w:spacing w:before="280" w:after="280"/>
      <w:jc w:val="center"/>
    </w:pPr>
    <w:rPr>
      <w:rFonts w:ascii="Verdana" w:hAnsi="Verdana" w:cs="Verdana"/>
      <w:sz w:val="18"/>
      <w:szCs w:val="18"/>
    </w:rPr>
  </w:style>
  <w:style w:type="paragraph" w:styleId="xl154">
    <w:name w:val="xl154"/>
    <w:basedOn w:val="Normal"/>
    <w:qFormat/>
    <w:pPr>
      <w:pBdr>
        <w:left w:val="single" w:sz="8" w:space="0" w:color="000000"/>
        <w:right w:val="single" w:sz="8" w:space="0" w:color="000000"/>
      </w:pBdr>
      <w:spacing w:before="280" w:after="280"/>
      <w:jc w:val="center"/>
    </w:pPr>
    <w:rPr>
      <w:rFonts w:ascii="Verdana" w:hAnsi="Verdana" w:cs="Verdana"/>
      <w:sz w:val="18"/>
      <w:szCs w:val="18"/>
    </w:rPr>
  </w:style>
  <w:style w:type="paragraph" w:styleId="xl155">
    <w:name w:val="xl155"/>
    <w:basedOn w:val="Normal"/>
    <w:qFormat/>
    <w:pPr>
      <w:pBdr>
        <w:top w:val="single" w:sz="8" w:space="0" w:color="000000"/>
        <w:left w:val="single" w:sz="8" w:space="0" w:color="000000"/>
        <w:bottom w:val="single" w:sz="8" w:space="0" w:color="000000"/>
      </w:pBdr>
      <w:spacing w:before="280" w:after="280"/>
      <w:jc w:val="center"/>
    </w:pPr>
    <w:rPr>
      <w:rFonts w:ascii="Verdana" w:hAnsi="Verdana" w:cs="Verdana"/>
      <w:sz w:val="18"/>
      <w:szCs w:val="18"/>
    </w:rPr>
  </w:style>
  <w:style w:type="paragraph" w:styleId="xl156">
    <w:name w:val="xl156"/>
    <w:basedOn w:val="Normal"/>
    <w:qFormat/>
    <w:pPr>
      <w:pBdr>
        <w:top w:val="single" w:sz="8" w:space="0" w:color="000000"/>
        <w:left w:val="single" w:sz="8" w:space="0" w:color="000000"/>
      </w:pBdr>
      <w:spacing w:before="280" w:after="280"/>
      <w:jc w:val="center"/>
    </w:pPr>
    <w:rPr>
      <w:rFonts w:ascii="Verdana" w:hAnsi="Verdana" w:cs="Verdana"/>
      <w:sz w:val="18"/>
      <w:szCs w:val="18"/>
    </w:rPr>
  </w:style>
  <w:style w:type="paragraph" w:styleId="xl157">
    <w:name w:val="xl157"/>
    <w:basedOn w:val="Normal"/>
    <w:qFormat/>
    <w:pPr>
      <w:pBdr>
        <w:top w:val="single" w:sz="8" w:space="0" w:color="000000"/>
        <w:right w:val="single" w:sz="8" w:space="0" w:color="000000"/>
      </w:pBdr>
      <w:spacing w:before="280" w:after="280"/>
      <w:jc w:val="center"/>
    </w:pPr>
    <w:rPr>
      <w:rFonts w:ascii="Verdana" w:hAnsi="Verdana" w:cs="Verdana"/>
      <w:sz w:val="18"/>
      <w:szCs w:val="18"/>
    </w:rPr>
  </w:style>
  <w:style w:type="paragraph" w:styleId="xl158">
    <w:name w:val="xl158"/>
    <w:basedOn w:val="Normal"/>
    <w:qFormat/>
    <w:pPr>
      <w:pBdr>
        <w:left w:val="single" w:sz="8" w:space="0" w:color="000000"/>
        <w:bottom w:val="single" w:sz="8" w:space="0" w:color="000000"/>
      </w:pBdr>
      <w:spacing w:before="280" w:after="280"/>
      <w:jc w:val="center"/>
    </w:pPr>
    <w:rPr>
      <w:rFonts w:ascii="Verdana" w:hAnsi="Verdana" w:cs="Verdana"/>
      <w:sz w:val="18"/>
      <w:szCs w:val="18"/>
    </w:rPr>
  </w:style>
  <w:style w:type="paragraph" w:styleId="xl159">
    <w:name w:val="xl159"/>
    <w:basedOn w:val="Normal"/>
    <w:qFormat/>
    <w:pPr>
      <w:pBdr>
        <w:bottom w:val="single" w:sz="8" w:space="0" w:color="000000"/>
        <w:right w:val="single" w:sz="8" w:space="0" w:color="000000"/>
      </w:pBdr>
      <w:spacing w:before="280" w:after="280"/>
      <w:jc w:val="center"/>
    </w:pPr>
    <w:rPr>
      <w:rFonts w:ascii="Verdana" w:hAnsi="Verdana" w:cs="Verdana"/>
      <w:sz w:val="18"/>
      <w:szCs w:val="18"/>
    </w:rPr>
  </w:style>
  <w:style w:type="paragraph" w:styleId="xl160">
    <w:name w:val="xl160"/>
    <w:basedOn w:val="Normal"/>
    <w:qFormat/>
    <w:pPr>
      <w:pBdr>
        <w:top w:val="single" w:sz="8" w:space="0" w:color="000000"/>
      </w:pBdr>
      <w:spacing w:before="280" w:after="280"/>
      <w:jc w:val="center"/>
    </w:pPr>
    <w:rPr>
      <w:rFonts w:ascii="Verdana" w:hAnsi="Verdana" w:cs="Verdana"/>
      <w:sz w:val="18"/>
      <w:szCs w:val="18"/>
    </w:rPr>
  </w:style>
  <w:style w:type="paragraph" w:styleId="xl161">
    <w:name w:val="xl161"/>
    <w:basedOn w:val="Normal"/>
    <w:qFormat/>
    <w:pPr>
      <w:pBdr>
        <w:top w:val="single" w:sz="4" w:space="0" w:color="000000"/>
        <w:left w:val="single" w:sz="4" w:space="0" w:color="000000"/>
        <w:bottom w:val="single" w:sz="4" w:space="0" w:color="000000"/>
      </w:pBdr>
      <w:spacing w:before="280" w:after="280"/>
      <w:jc w:val="center"/>
    </w:pPr>
    <w:rPr>
      <w:rFonts w:ascii="Verdana" w:hAnsi="Verdana" w:cs="Verdana"/>
      <w:sz w:val="18"/>
      <w:szCs w:val="18"/>
    </w:rPr>
  </w:style>
  <w:style w:type="paragraph" w:styleId="xl162">
    <w:name w:val="xl162"/>
    <w:basedOn w:val="Normal"/>
    <w:qFormat/>
    <w:pPr>
      <w:pBdr>
        <w:top w:val="single" w:sz="4" w:space="0" w:color="000000"/>
        <w:bottom w:val="single" w:sz="4" w:space="0" w:color="000000"/>
      </w:pBdr>
      <w:spacing w:before="280" w:after="280"/>
      <w:jc w:val="center"/>
    </w:pPr>
    <w:rPr>
      <w:rFonts w:ascii="Verdana" w:hAnsi="Verdana" w:cs="Verdana"/>
      <w:sz w:val="18"/>
      <w:szCs w:val="18"/>
    </w:rPr>
  </w:style>
  <w:style w:type="paragraph" w:styleId="xl163">
    <w:name w:val="xl163"/>
    <w:basedOn w:val="Normal"/>
    <w:qFormat/>
    <w:pPr>
      <w:pBdr>
        <w:top w:val="single" w:sz="4" w:space="0" w:color="000000"/>
        <w:bottom w:val="single" w:sz="4" w:space="0" w:color="000000"/>
        <w:right w:val="single" w:sz="4" w:space="0" w:color="000000"/>
      </w:pBdr>
      <w:spacing w:before="280" w:after="280"/>
      <w:jc w:val="center"/>
    </w:pPr>
    <w:rPr>
      <w:rFonts w:ascii="Verdana" w:hAnsi="Verdana" w:cs="Verdana"/>
      <w:sz w:val="18"/>
      <w:szCs w:val="18"/>
    </w:rPr>
  </w:style>
  <w:style w:type="paragraph" w:styleId="xl164">
    <w:name w:val="xl164"/>
    <w:basedOn w:val="Normal"/>
    <w:qFormat/>
    <w:pPr>
      <w:pBdr>
        <w:top w:val="single" w:sz="4" w:space="0" w:color="000000"/>
        <w:left w:val="single" w:sz="4" w:space="0" w:color="000000"/>
        <w:bottom w:val="single" w:sz="4" w:space="0" w:color="000000"/>
        <w:right w:val="single" w:sz="4" w:space="0" w:color="000000"/>
      </w:pBdr>
      <w:spacing w:before="280" w:after="280"/>
    </w:pPr>
    <w:rPr>
      <w:rFonts w:ascii="Verdana" w:hAnsi="Verdana" w:cs="Verdana"/>
      <w:b/>
      <w:bCs/>
      <w:i/>
      <w:iCs/>
      <w:sz w:val="18"/>
      <w:szCs w:val="18"/>
    </w:rPr>
  </w:style>
  <w:style w:type="paragraph" w:styleId="xl165">
    <w:name w:val="xl165"/>
    <w:basedOn w:val="Normal"/>
    <w:qFormat/>
    <w:pPr>
      <w:pBdr>
        <w:top w:val="single" w:sz="4" w:space="0" w:color="000000"/>
        <w:left w:val="single" w:sz="4" w:space="0" w:color="000000"/>
        <w:bottom w:val="single" w:sz="4" w:space="0" w:color="000000"/>
        <w:right w:val="single" w:sz="4" w:space="0" w:color="000000"/>
      </w:pBdr>
      <w:spacing w:before="280" w:after="280"/>
    </w:pPr>
    <w:rPr>
      <w:b/>
      <w:bCs/>
      <w:i/>
      <w:iCs/>
    </w:rPr>
  </w:style>
  <w:style w:type="paragraph" w:styleId="xl166">
    <w:name w:val="xl166"/>
    <w:basedOn w:val="Normal"/>
    <w:qFormat/>
    <w:pPr>
      <w:pBdr>
        <w:top w:val="single" w:sz="4" w:space="0" w:color="000000"/>
        <w:left w:val="single" w:sz="4" w:space="0" w:color="000000"/>
        <w:bottom w:val="single" w:sz="4" w:space="0" w:color="000000"/>
        <w:right w:val="single" w:sz="4" w:space="0" w:color="000000"/>
      </w:pBdr>
      <w:spacing w:before="280" w:after="280"/>
    </w:pPr>
    <w:rPr>
      <w:rFonts w:ascii="Verdana" w:hAnsi="Verdana" w:cs="Verdana"/>
      <w:b/>
      <w:bCs/>
      <w:sz w:val="18"/>
      <w:szCs w:val="18"/>
    </w:rPr>
  </w:style>
  <w:style w:type="paragraph" w:styleId="xl167">
    <w:name w:val="xl167"/>
    <w:basedOn w:val="Normal"/>
    <w:qFormat/>
    <w:pPr>
      <w:pBdr>
        <w:top w:val="single" w:sz="4" w:space="0" w:color="000000"/>
        <w:left w:val="single" w:sz="4" w:space="0" w:color="000000"/>
        <w:bottom w:val="single" w:sz="4" w:space="0" w:color="000000"/>
        <w:right w:val="single" w:sz="4" w:space="0" w:color="000000"/>
      </w:pBdr>
      <w:spacing w:before="280" w:after="280"/>
    </w:pPr>
    <w:rPr>
      <w:b/>
      <w:bCs/>
    </w:rPr>
  </w:style>
  <w:style w:type="paragraph" w:styleId="xl168">
    <w:name w:val="xl168"/>
    <w:basedOn w:val="Normal"/>
    <w:qFormat/>
    <w:pPr>
      <w:pBdr>
        <w:top w:val="single" w:sz="4" w:space="0" w:color="000000"/>
        <w:left w:val="single" w:sz="4" w:space="0" w:color="000000"/>
        <w:bottom w:val="single" w:sz="4" w:space="0" w:color="000000"/>
        <w:right w:val="single" w:sz="4" w:space="0" w:color="000000"/>
      </w:pBdr>
      <w:spacing w:before="280" w:after="280"/>
    </w:pPr>
    <w:rPr>
      <w:rFonts w:ascii="Verdana" w:hAnsi="Verdana" w:cs="Verdana"/>
      <w:sz w:val="18"/>
      <w:szCs w:val="18"/>
    </w:rPr>
  </w:style>
  <w:style w:type="paragraph" w:styleId="xl169">
    <w:name w:val="xl169"/>
    <w:basedOn w:val="Normal"/>
    <w:qFormat/>
    <w:pPr>
      <w:pBdr>
        <w:top w:val="single" w:sz="4" w:space="0" w:color="000000"/>
        <w:left w:val="single" w:sz="4" w:space="0" w:color="000000"/>
        <w:bottom w:val="single" w:sz="4" w:space="0" w:color="000000"/>
        <w:right w:val="single" w:sz="4" w:space="0" w:color="000000"/>
      </w:pBdr>
      <w:spacing w:before="280" w:after="280"/>
    </w:pPr>
    <w:rPr/>
  </w:style>
  <w:style w:type="paragraph" w:styleId="xl170">
    <w:name w:val="xl170"/>
    <w:basedOn w:val="Normal"/>
    <w:qFormat/>
    <w:pPr>
      <w:pBdr>
        <w:top w:val="single" w:sz="4" w:space="0" w:color="000000"/>
        <w:left w:val="single" w:sz="4" w:space="0" w:color="000000"/>
        <w:bottom w:val="single" w:sz="4" w:space="0" w:color="000000"/>
        <w:right w:val="single" w:sz="4" w:space="0" w:color="000000"/>
      </w:pBdr>
      <w:spacing w:before="280" w:after="280"/>
    </w:pPr>
    <w:rPr>
      <w:rFonts w:ascii="Verdana" w:hAnsi="Verdana" w:cs="Verdana"/>
      <w:b/>
      <w:bCs/>
      <w:sz w:val="18"/>
      <w:szCs w:val="18"/>
    </w:rPr>
  </w:style>
  <w:style w:type="paragraph" w:styleId="xl171">
    <w:name w:val="xl171"/>
    <w:basedOn w:val="Normal"/>
    <w:qFormat/>
    <w:pPr>
      <w:pBdr>
        <w:top w:val="single" w:sz="4" w:space="0" w:color="000000"/>
        <w:left w:val="single" w:sz="4" w:space="0" w:color="000000"/>
        <w:bottom w:val="single" w:sz="4" w:space="0" w:color="000000"/>
        <w:right w:val="single" w:sz="4" w:space="0" w:color="000000"/>
      </w:pBdr>
      <w:spacing w:before="280" w:after="280"/>
    </w:pPr>
    <w:rPr>
      <w:b/>
      <w:bCs/>
    </w:rPr>
  </w:style>
  <w:style w:type="paragraph" w:styleId="xl119">
    <w:name w:val="xl119"/>
    <w:basedOn w:val="Normal"/>
    <w:qFormat/>
    <w:pPr>
      <w:pBdr>
        <w:top w:val="single" w:sz="4" w:space="0" w:color="000000"/>
        <w:left w:val="single" w:sz="4" w:space="0" w:color="000000"/>
        <w:bottom w:val="single" w:sz="4" w:space="0" w:color="000000"/>
        <w:right w:val="single" w:sz="4" w:space="0" w:color="000000"/>
      </w:pBdr>
      <w:spacing w:before="280" w:after="280"/>
    </w:pPr>
    <w:rPr>
      <w:rFonts w:ascii="Verdana" w:hAnsi="Verdana" w:cs="Verdana"/>
      <w:b/>
      <w:bCs/>
      <w:sz w:val="18"/>
      <w:szCs w:val="18"/>
    </w:rPr>
  </w:style>
  <w:style w:type="paragraph" w:styleId="215">
    <w:name w:val="Знак2"/>
    <w:basedOn w:val="Normal"/>
    <w:qFormat/>
    <w:pPr>
      <w:spacing w:before="280" w:after="280"/>
    </w:pPr>
    <w:rPr>
      <w:rFonts w:ascii="Tahoma" w:hAnsi="Tahoma" w:cs="Tahoma"/>
      <w:sz w:val="20"/>
      <w:szCs w:val="20"/>
      <w:lang w:val="en-US"/>
    </w:rPr>
  </w:style>
  <w:style w:type="paragraph" w:styleId="216">
    <w:name w:val="Знак Знак Знак2 Знак Знак Знак Знак"/>
    <w:basedOn w:val="Normal"/>
    <w:qFormat/>
    <w:pPr>
      <w:widowControl w:val="false"/>
      <w:spacing w:lineRule="exact" w:line="240" w:before="0" w:after="160"/>
      <w:jc w:val="end"/>
    </w:pPr>
    <w:rPr>
      <w:sz w:val="20"/>
      <w:szCs w:val="20"/>
      <w:lang w:val="en-GB"/>
    </w:rPr>
  </w:style>
  <w:style w:type="paragraph"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Normal"/>
    <w:qFormat/>
    <w:pPr>
      <w:spacing w:before="280" w:after="280"/>
    </w:pPr>
    <w:rPr>
      <w:rFonts w:ascii="Tahoma" w:hAnsi="Tahoma" w:cs="Tahoma"/>
      <w:sz w:val="20"/>
      <w:szCs w:val="20"/>
      <w:lang w:val="en-US"/>
    </w:rPr>
  </w:style>
  <w:style w:type="paragraph" w:styleId="1110">
    <w:name w:val="Знак11"/>
    <w:basedOn w:val="Normal"/>
    <w:qFormat/>
    <w:pPr>
      <w:spacing w:before="280" w:after="280"/>
    </w:pPr>
    <w:rPr>
      <w:rFonts w:ascii="Tahoma" w:hAnsi="Tahoma" w:cs="Tahoma"/>
      <w:sz w:val="20"/>
      <w:szCs w:val="20"/>
      <w:lang w:val="en-US"/>
    </w:rPr>
  </w:style>
  <w:style w:type="paragraph" w:styleId="Style44">
    <w:name w:val="Абзац списка"/>
    <w:basedOn w:val="Normal"/>
    <w:qFormat/>
    <w:pPr>
      <w:ind w:hanging="0" w:start="708" w:end="0"/>
    </w:pPr>
    <w:rPr/>
  </w:style>
  <w:style w:type="paragraph" w:styleId="52">
    <w:name w:val="Знак5"/>
    <w:basedOn w:val="Normal"/>
    <w:qFormat/>
    <w:pPr>
      <w:spacing w:lineRule="exact" w:line="240" w:before="0" w:after="160"/>
    </w:pPr>
    <w:rPr>
      <w:sz w:val="20"/>
      <w:szCs w:val="20"/>
    </w:rPr>
  </w:style>
  <w:style w:type="paragraph" w:styleId="124">
    <w:name w:val="Знак12"/>
    <w:basedOn w:val="Normal"/>
    <w:qFormat/>
    <w:pPr>
      <w:widowControl w:val="false"/>
      <w:spacing w:lineRule="exact" w:line="240" w:before="0" w:after="160"/>
      <w:jc w:val="end"/>
    </w:pPr>
    <w:rPr>
      <w:sz w:val="20"/>
      <w:szCs w:val="20"/>
      <w:lang w:val="en-GB"/>
    </w:rPr>
  </w:style>
  <w:style w:type="paragraph" w:styleId="125">
    <w:name w:val="Знак Знак Знак1 Знак"/>
    <w:basedOn w:val="Normal"/>
    <w:qFormat/>
    <w:pPr>
      <w:spacing w:lineRule="exact" w:line="240" w:before="0" w:after="160"/>
    </w:pPr>
    <w:rPr>
      <w:rFonts w:ascii="Verdana" w:hAnsi="Verdana" w:cs="Verdana"/>
      <w:lang w:val="en-US"/>
    </w:rPr>
  </w:style>
  <w:style w:type="paragraph" w:styleId="s1">
    <w:name w:val="s_1"/>
    <w:basedOn w:val="Normal"/>
    <w:qFormat/>
    <w:pPr>
      <w:spacing w:before="280" w:after="280"/>
    </w:pPr>
    <w:rPr/>
  </w:style>
  <w:style w:type="paragraph" w:styleId="xl65">
    <w:name w:val="xl65"/>
    <w:basedOn w:val="Normal"/>
    <w:qFormat/>
    <w:pPr>
      <w:pBdr>
        <w:left w:val="single" w:sz="4" w:space="0" w:color="000000"/>
        <w:bottom w:val="single" w:sz="4" w:space="0" w:color="000000"/>
        <w:right w:val="single" w:sz="4" w:space="0" w:color="000000"/>
      </w:pBdr>
      <w:spacing w:before="280" w:after="280"/>
    </w:pPr>
    <w:rPr>
      <w:sz w:val="16"/>
      <w:szCs w:val="16"/>
    </w:rPr>
  </w:style>
  <w:style w:type="paragraph" w:styleId="xl66">
    <w:name w:val="xl66"/>
    <w:basedOn w:val="Normal"/>
    <w:qFormat/>
    <w:pPr>
      <w:pBdr>
        <w:left w:val="single" w:sz="4" w:space="0" w:color="000000"/>
        <w:bottom w:val="single" w:sz="4" w:space="0" w:color="000000"/>
        <w:right w:val="single" w:sz="4" w:space="0" w:color="000000"/>
      </w:pBdr>
      <w:spacing w:before="280" w:after="280"/>
      <w:jc w:val="center"/>
    </w:pPr>
    <w:rPr>
      <w:sz w:val="16"/>
      <w:szCs w:val="16"/>
    </w:rPr>
  </w:style>
  <w:style w:type="paragraph" w:styleId="xl67">
    <w:name w:val="xl67"/>
    <w:basedOn w:val="Normal"/>
    <w:qFormat/>
    <w:pPr>
      <w:pBdr>
        <w:top w:val="single" w:sz="4" w:space="0" w:color="000000"/>
        <w:left w:val="single" w:sz="4" w:space="0" w:color="000000"/>
        <w:bottom w:val="single" w:sz="4" w:space="0" w:color="000000"/>
        <w:right w:val="single" w:sz="4" w:space="0" w:color="000000"/>
      </w:pBdr>
      <w:spacing w:before="280" w:after="280"/>
    </w:pPr>
    <w:rPr>
      <w:sz w:val="16"/>
      <w:szCs w:val="16"/>
    </w:rPr>
  </w:style>
  <w:style w:type="paragraph" w:styleId="xl68">
    <w:name w:val="xl68"/>
    <w:basedOn w:val="Normal"/>
    <w:qFormat/>
    <w:pPr>
      <w:pBdr>
        <w:left w:val="single" w:sz="4" w:space="0" w:color="000000"/>
        <w:bottom w:val="single" w:sz="4" w:space="0" w:color="000000"/>
        <w:right w:val="single" w:sz="4" w:space="0" w:color="000000"/>
      </w:pBdr>
      <w:spacing w:before="280" w:after="280"/>
    </w:pPr>
    <w:rPr>
      <w:sz w:val="16"/>
      <w:szCs w:val="16"/>
    </w:rPr>
  </w:style>
  <w:style w:type="paragraph" w:styleId="xl69">
    <w:name w:val="xl69"/>
    <w:basedOn w:val="Normal"/>
    <w:qFormat/>
    <w:pPr>
      <w:pBdr>
        <w:top w:val="single" w:sz="4" w:space="0" w:color="000000"/>
        <w:left w:val="single" w:sz="4" w:space="0" w:color="000000"/>
        <w:bottom w:val="single" w:sz="4" w:space="0" w:color="000000"/>
        <w:right w:val="single" w:sz="4" w:space="0" w:color="000000"/>
      </w:pBdr>
      <w:spacing w:before="280" w:after="280"/>
    </w:pPr>
    <w:rPr>
      <w:sz w:val="16"/>
      <w:szCs w:val="16"/>
    </w:rPr>
  </w:style>
  <w:style w:type="paragraph" w:styleId="xl70">
    <w:name w:val="xl70"/>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16"/>
      <w:szCs w:val="16"/>
    </w:rPr>
  </w:style>
  <w:style w:type="paragraph" w:styleId="xl71">
    <w:name w:val="xl71"/>
    <w:basedOn w:val="Normal"/>
    <w:qFormat/>
    <w:pPr>
      <w:pBdr>
        <w:top w:val="single" w:sz="4" w:space="0" w:color="000000"/>
        <w:left w:val="single" w:sz="4" w:space="0" w:color="000000"/>
        <w:bottom w:val="single" w:sz="4" w:space="0" w:color="000000"/>
        <w:right w:val="single" w:sz="4" w:space="0" w:color="000000"/>
      </w:pBdr>
      <w:spacing w:before="280" w:after="280"/>
    </w:pPr>
    <w:rPr>
      <w:sz w:val="16"/>
      <w:szCs w:val="16"/>
    </w:rPr>
  </w:style>
  <w:style w:type="paragraph" w:styleId="xl72">
    <w:name w:val="xl72"/>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16"/>
      <w:szCs w:val="16"/>
    </w:rPr>
  </w:style>
  <w:style w:type="paragraph" w:styleId="xl73">
    <w:name w:val="xl73"/>
    <w:basedOn w:val="Normal"/>
    <w:qFormat/>
    <w:pPr>
      <w:pBdr>
        <w:top w:val="single" w:sz="4" w:space="0" w:color="000000"/>
        <w:left w:val="single" w:sz="4" w:space="0" w:color="000000"/>
        <w:right w:val="single" w:sz="4" w:space="0" w:color="000000"/>
      </w:pBdr>
      <w:spacing w:before="280" w:after="280"/>
    </w:pPr>
    <w:rPr>
      <w:sz w:val="16"/>
      <w:szCs w:val="16"/>
    </w:rPr>
  </w:style>
  <w:style w:type="paragraph" w:styleId="xl74">
    <w:name w:val="xl74"/>
    <w:basedOn w:val="Normal"/>
    <w:qFormat/>
    <w:pPr>
      <w:pBdr>
        <w:left w:val="single" w:sz="4" w:space="0" w:color="000000"/>
        <w:bottom w:val="single" w:sz="4" w:space="0" w:color="000000"/>
        <w:right w:val="single" w:sz="4" w:space="0" w:color="000000"/>
      </w:pBdr>
      <w:spacing w:before="280" w:after="280"/>
      <w:jc w:val="end"/>
    </w:pPr>
    <w:rPr>
      <w:sz w:val="16"/>
      <w:szCs w:val="16"/>
    </w:rPr>
  </w:style>
  <w:style w:type="paragraph" w:styleId="xl75">
    <w:name w:val="xl75"/>
    <w:basedOn w:val="Normal"/>
    <w:qFormat/>
    <w:pPr>
      <w:pBdr>
        <w:top w:val="single" w:sz="4" w:space="0" w:color="000000"/>
        <w:left w:val="single" w:sz="4" w:space="0" w:color="000000"/>
        <w:bottom w:val="single" w:sz="4" w:space="0" w:color="000000"/>
        <w:right w:val="single" w:sz="4" w:space="0" w:color="000000"/>
      </w:pBdr>
      <w:spacing w:before="280" w:after="280"/>
      <w:jc w:val="end"/>
    </w:pPr>
    <w:rPr>
      <w:sz w:val="16"/>
      <w:szCs w:val="16"/>
    </w:rPr>
  </w:style>
  <w:style w:type="paragraph" w:styleId="xl76">
    <w:name w:val="xl76"/>
    <w:basedOn w:val="Normal"/>
    <w:qFormat/>
    <w:pPr>
      <w:spacing w:before="280" w:after="280"/>
    </w:pPr>
    <w:rPr>
      <w:sz w:val="16"/>
      <w:szCs w:val="16"/>
    </w:rPr>
  </w:style>
  <w:style w:type="paragraph" w:styleId="xl77">
    <w:name w:val="xl77"/>
    <w:basedOn w:val="Normal"/>
    <w:qFormat/>
    <w:pPr>
      <w:spacing w:before="280" w:after="280"/>
      <w:jc w:val="center"/>
    </w:pPr>
    <w:rPr>
      <w:sz w:val="16"/>
      <w:szCs w:val="16"/>
    </w:rPr>
  </w:style>
  <w:style w:type="paragraph" w:styleId="xl78">
    <w:name w:val="xl78"/>
    <w:basedOn w:val="Normal"/>
    <w:qFormat/>
    <w:pPr>
      <w:pBdr>
        <w:top w:val="single" w:sz="8" w:space="0" w:color="000000"/>
        <w:left w:val="single" w:sz="4" w:space="0" w:color="000000"/>
        <w:bottom w:val="single" w:sz="8" w:space="0" w:color="000000"/>
        <w:right w:val="single" w:sz="4" w:space="0" w:color="000000"/>
      </w:pBdr>
      <w:spacing w:before="280" w:after="280"/>
      <w:jc w:val="center"/>
    </w:pPr>
    <w:rPr>
      <w:b/>
      <w:bCs/>
      <w:sz w:val="16"/>
      <w:szCs w:val="16"/>
    </w:rPr>
  </w:style>
  <w:style w:type="paragraph" w:styleId="xl79">
    <w:name w:val="xl79"/>
    <w:basedOn w:val="Normal"/>
    <w:qFormat/>
    <w:pPr>
      <w:pBdr>
        <w:top w:val="single" w:sz="8" w:space="0" w:color="000000"/>
        <w:left w:val="single" w:sz="4" w:space="0" w:color="000000"/>
        <w:bottom w:val="single" w:sz="8" w:space="0" w:color="000000"/>
        <w:right w:val="single" w:sz="4" w:space="0" w:color="000000"/>
      </w:pBdr>
      <w:spacing w:before="280" w:after="280"/>
      <w:jc w:val="end"/>
    </w:pPr>
    <w:rPr>
      <w:b/>
      <w:bCs/>
      <w:sz w:val="16"/>
      <w:szCs w:val="16"/>
    </w:rPr>
  </w:style>
  <w:style w:type="paragraph" w:styleId="xl80">
    <w:name w:val="xl80"/>
    <w:basedOn w:val="Normal"/>
    <w:qFormat/>
    <w:pPr>
      <w:pBdr>
        <w:top w:val="single" w:sz="4" w:space="0" w:color="000000"/>
        <w:left w:val="single" w:sz="4" w:space="0" w:color="000000"/>
        <w:right w:val="single" w:sz="4" w:space="0" w:color="000000"/>
      </w:pBdr>
      <w:spacing w:before="280" w:after="280"/>
      <w:jc w:val="center"/>
    </w:pPr>
    <w:rPr>
      <w:sz w:val="16"/>
      <w:szCs w:val="16"/>
    </w:rPr>
  </w:style>
  <w:style w:type="paragraph" w:styleId="xl81">
    <w:name w:val="xl81"/>
    <w:basedOn w:val="Normal"/>
    <w:qFormat/>
    <w:pPr>
      <w:pBdr>
        <w:left w:val="single" w:sz="4" w:space="0" w:color="000000"/>
        <w:bottom w:val="single" w:sz="4" w:space="0" w:color="000000"/>
        <w:right w:val="single" w:sz="4" w:space="0" w:color="000000"/>
      </w:pBdr>
      <w:spacing w:before="280" w:after="280"/>
      <w:jc w:val="end"/>
    </w:pPr>
    <w:rPr>
      <w:sz w:val="16"/>
      <w:szCs w:val="16"/>
    </w:rPr>
  </w:style>
  <w:style w:type="paragraph" w:styleId="xl82">
    <w:name w:val="xl82"/>
    <w:basedOn w:val="Normal"/>
    <w:qFormat/>
    <w:pPr>
      <w:pBdr>
        <w:top w:val="single" w:sz="4" w:space="0" w:color="000000"/>
        <w:left w:val="single" w:sz="4" w:space="0" w:color="000000"/>
        <w:bottom w:val="single" w:sz="4" w:space="0" w:color="000000"/>
        <w:right w:val="single" w:sz="4" w:space="0" w:color="000000"/>
      </w:pBdr>
      <w:spacing w:before="280" w:after="280"/>
      <w:jc w:val="end"/>
    </w:pPr>
    <w:rPr>
      <w:sz w:val="16"/>
      <w:szCs w:val="16"/>
    </w:rPr>
  </w:style>
  <w:style w:type="paragraph" w:styleId="xl83">
    <w:name w:val="xl83"/>
    <w:basedOn w:val="Normal"/>
    <w:qFormat/>
    <w:pPr>
      <w:pBdr>
        <w:top w:val="single" w:sz="4" w:space="0" w:color="000000"/>
        <w:left w:val="single" w:sz="4" w:space="0" w:color="000000"/>
        <w:right w:val="single" w:sz="4" w:space="0" w:color="000000"/>
      </w:pBdr>
      <w:spacing w:before="280" w:after="280"/>
      <w:jc w:val="end"/>
    </w:pPr>
    <w:rPr>
      <w:sz w:val="16"/>
      <w:szCs w:val="16"/>
    </w:rPr>
  </w:style>
  <w:style w:type="paragraph" w:styleId="xl84">
    <w:name w:val="xl84"/>
    <w:basedOn w:val="Normal"/>
    <w:qFormat/>
    <w:pPr>
      <w:pBdr>
        <w:top w:val="single" w:sz="4" w:space="0" w:color="000000"/>
        <w:left w:val="single" w:sz="4" w:space="0" w:color="000000"/>
        <w:right w:val="single" w:sz="4" w:space="0" w:color="000000"/>
      </w:pBdr>
      <w:spacing w:before="280" w:after="280"/>
      <w:jc w:val="end"/>
    </w:pPr>
    <w:rPr>
      <w:sz w:val="16"/>
      <w:szCs w:val="16"/>
    </w:rPr>
  </w:style>
  <w:style w:type="paragraph" w:styleId="xl85">
    <w:name w:val="xl85"/>
    <w:basedOn w:val="Normal"/>
    <w:qFormat/>
    <w:pPr>
      <w:pBdr>
        <w:top w:val="single" w:sz="8" w:space="0" w:color="000000"/>
        <w:left w:val="single" w:sz="4" w:space="0" w:color="000000"/>
        <w:bottom w:val="single" w:sz="8" w:space="0" w:color="000000"/>
        <w:right w:val="single" w:sz="4" w:space="0" w:color="000000"/>
      </w:pBdr>
      <w:spacing w:before="280" w:after="280"/>
      <w:jc w:val="end"/>
    </w:pPr>
    <w:rPr>
      <w:b/>
      <w:bCs/>
      <w:sz w:val="16"/>
      <w:szCs w:val="16"/>
    </w:rPr>
  </w:style>
  <w:style w:type="paragraph" w:styleId="xl86">
    <w:name w:val="xl86"/>
    <w:basedOn w:val="Normal"/>
    <w:qFormat/>
    <w:pPr>
      <w:pBdr>
        <w:top w:val="single" w:sz="8" w:space="0" w:color="000000"/>
        <w:left w:val="single" w:sz="4" w:space="0" w:color="000000"/>
        <w:bottom w:val="single" w:sz="8" w:space="0" w:color="000000"/>
        <w:right w:val="single" w:sz="8" w:space="0" w:color="000000"/>
      </w:pBdr>
      <w:spacing w:before="280" w:after="280"/>
      <w:jc w:val="end"/>
    </w:pPr>
    <w:rPr>
      <w:b/>
      <w:bCs/>
      <w:sz w:val="16"/>
      <w:szCs w:val="16"/>
    </w:rPr>
  </w:style>
  <w:style w:type="paragraph" w:styleId="xl87">
    <w:name w:val="xl87"/>
    <w:basedOn w:val="Normal"/>
    <w:qFormat/>
    <w:pPr>
      <w:spacing w:before="280" w:after="280"/>
      <w:jc w:val="end"/>
    </w:pPr>
    <w:rPr>
      <w:sz w:val="16"/>
      <w:szCs w:val="16"/>
    </w:rPr>
  </w:style>
  <w:style w:type="paragraph" w:styleId="xl88">
    <w:name w:val="xl88"/>
    <w:basedOn w:val="Normal"/>
    <w:qFormat/>
    <w:pPr>
      <w:pBdr>
        <w:top w:val="single" w:sz="8" w:space="0" w:color="000000"/>
        <w:left w:val="single" w:sz="8" w:space="0" w:color="000000"/>
        <w:bottom w:val="single" w:sz="8" w:space="0" w:color="000000"/>
      </w:pBdr>
      <w:spacing w:before="280" w:after="280"/>
      <w:jc w:val="center"/>
    </w:pPr>
    <w:rPr>
      <w:b/>
      <w:bCs/>
      <w:color w:val="000000"/>
      <w:sz w:val="16"/>
      <w:szCs w:val="16"/>
    </w:rPr>
  </w:style>
  <w:style w:type="paragraph" w:styleId="xl89">
    <w:name w:val="xl89"/>
    <w:basedOn w:val="Normal"/>
    <w:qFormat/>
    <w:pPr>
      <w:pBdr>
        <w:top w:val="single" w:sz="8" w:space="0" w:color="000000"/>
        <w:bottom w:val="single" w:sz="8" w:space="0" w:color="000000"/>
      </w:pBdr>
      <w:spacing w:before="280" w:after="280"/>
      <w:jc w:val="center"/>
    </w:pPr>
    <w:rPr>
      <w:b/>
      <w:bCs/>
      <w:color w:val="000000"/>
      <w:sz w:val="16"/>
      <w:szCs w:val="16"/>
    </w:rPr>
  </w:style>
  <w:style w:type="paragraph" w:styleId="xl90">
    <w:name w:val="xl90"/>
    <w:basedOn w:val="Normal"/>
    <w:qFormat/>
    <w:pPr>
      <w:pBdr>
        <w:top w:val="single" w:sz="8" w:space="0" w:color="000000"/>
        <w:left w:val="single" w:sz="4" w:space="0" w:color="000000"/>
        <w:bottom w:val="single" w:sz="4" w:space="0" w:color="000000"/>
        <w:right w:val="single" w:sz="4" w:space="0" w:color="000000"/>
      </w:pBdr>
      <w:spacing w:before="280" w:after="280"/>
      <w:jc w:val="center"/>
    </w:pPr>
    <w:rPr>
      <w:b/>
      <w:bCs/>
      <w:color w:val="000000"/>
      <w:sz w:val="16"/>
      <w:szCs w:val="16"/>
    </w:rPr>
  </w:style>
  <w:style w:type="paragraph" w:styleId="217">
    <w:name w:val="Основной текст (2)"/>
    <w:basedOn w:val="Normal"/>
    <w:qFormat/>
    <w:pPr>
      <w:widowControl w:val="false"/>
      <w:shd w:fill="FFFFFF" w:val="clear"/>
      <w:spacing w:lineRule="atLeast" w:line="240"/>
      <w:ind w:hanging="360" w:start="0" w:end="0"/>
    </w:pPr>
    <w:rPr>
      <w:sz w:val="26"/>
      <w:szCs w:val="20"/>
    </w:rPr>
  </w:style>
  <w:style w:type="paragraph" w:styleId="ConsPlusNonformat">
    <w:name w:val="ConsPlusNonformat"/>
    <w:qFormat/>
    <w:pPr>
      <w:widowControl w:val="false"/>
      <w:suppressAutoHyphens w:val="true"/>
      <w:bidi w:val="0"/>
    </w:pPr>
    <w:rPr>
      <w:rFonts w:ascii="Courier New" w:hAnsi="Courier New" w:eastAsia="Times New Roman" w:cs="Courier New"/>
      <w:color w:val="auto"/>
      <w:sz w:val="20"/>
      <w:szCs w:val="20"/>
      <w:lang w:val="ru-RU" w:eastAsia="zh-CN" w:bidi="ar-SA"/>
    </w:rPr>
  </w:style>
  <w:style w:type="paragraph" w:styleId="ConsPlusCell">
    <w:name w:val="ConsPlusCell"/>
    <w:qFormat/>
    <w:pPr>
      <w:widowControl w:val="false"/>
      <w:suppressAutoHyphens w:val="true"/>
      <w:bidi w:val="0"/>
    </w:pPr>
    <w:rPr>
      <w:rFonts w:ascii="Courier New" w:hAnsi="Courier New" w:eastAsia="Times New Roman" w:cs="Courier New"/>
      <w:color w:val="auto"/>
      <w:sz w:val="20"/>
      <w:szCs w:val="20"/>
      <w:lang w:val="ru-RU" w:eastAsia="zh-CN" w:bidi="ar-SA"/>
    </w:rPr>
  </w:style>
  <w:style w:type="paragraph" w:styleId="Style45">
    <w:name w:val="Знак Знак Знак Знак"/>
    <w:basedOn w:val="Normal"/>
    <w:qFormat/>
    <w:pPr/>
    <w:rPr>
      <w:rFonts w:ascii="Verdana" w:hAnsi="Verdana" w:cs="Verdana"/>
      <w:sz w:val="20"/>
      <w:szCs w:val="20"/>
      <w:lang w:val="en-US"/>
    </w:rPr>
  </w:style>
  <w:style w:type="paragraph" w:styleId="37">
    <w:name w:val="Основной текст3"/>
    <w:basedOn w:val="Normal"/>
    <w:qFormat/>
    <w:pPr>
      <w:widowControl w:val="false"/>
      <w:shd w:fill="FFFFFF" w:val="clear"/>
      <w:spacing w:lineRule="exact" w:line="365" w:before="180" w:after="180"/>
      <w:ind w:hanging="380" w:start="0" w:end="0"/>
    </w:pPr>
    <w:rPr>
      <w:color w:val="000000"/>
      <w:sz w:val="27"/>
      <w:szCs w:val="27"/>
    </w:rPr>
  </w:style>
  <w:style w:type="paragraph" w:styleId="Web1Web">
    <w:name w:val="Обычный (веб);Обычный (веб) Знак Знак;Обычный (Web) Знак Знак Знак;Обычный (веб)1;Обычный (Web)"/>
    <w:basedOn w:val="Normal"/>
    <w:qFormat/>
    <w:pPr>
      <w:tabs>
        <w:tab w:val="clear" w:pos="709"/>
        <w:tab w:val="left" w:pos="687" w:leader="none"/>
      </w:tabs>
      <w:spacing w:before="280" w:after="280"/>
      <w:jc w:val="both"/>
    </w:pPr>
    <w:rPr/>
  </w:style>
  <w:style w:type="paragraph" w:styleId="western">
    <w:name w:val="western"/>
    <w:basedOn w:val="Normal"/>
    <w:qFormat/>
    <w:pPr>
      <w:spacing w:before="280" w:after="280"/>
    </w:pPr>
    <w:rPr/>
  </w:style>
  <w:style w:type="paragraph" w:styleId="Style46">
    <w:name w:val="Прижатый влево"/>
    <w:basedOn w:val="Normal"/>
    <w:next w:val="Normal"/>
    <w:qFormat/>
    <w:pPr/>
    <w:rPr>
      <w:rFonts w:ascii="Arial" w:hAnsi="Arial" w:cs="Arial"/>
    </w:rPr>
  </w:style>
  <w:style w:type="paragraph" w:styleId="Style47">
    <w:name w:val="Схема документа"/>
    <w:basedOn w:val="Normal"/>
    <w:qFormat/>
    <w:pPr>
      <w:widowControl w:val="false"/>
      <w:shd w:fill="000080" w:val="clear"/>
    </w:pPr>
    <w:rPr>
      <w:rFonts w:ascii="Tahoma" w:hAnsi="Tahoma" w:cs="Tahoma"/>
      <w:sz w:val="20"/>
      <w:szCs w:val="20"/>
      <w:lang w:val="en-US"/>
    </w:rPr>
  </w:style>
  <w:style w:type="paragraph" w:styleId="00Normal11">
    <w:name w:val="00_Normal11"/>
    <w:basedOn w:val="Normal"/>
    <w:qFormat/>
    <w:pPr>
      <w:spacing w:lineRule="auto" w:line="288"/>
      <w:ind w:firstLine="397" w:start="0" w:end="0"/>
      <w:jc w:val="both"/>
    </w:pPr>
    <w:rPr>
      <w:rFonts w:ascii="Times;Times New Roman" w:hAnsi="Times;Times New Roman" w:cs="Times;Times New Roman"/>
      <w:color w:val="000000"/>
      <w:sz w:val="22"/>
      <w:szCs w:val="22"/>
    </w:rPr>
  </w:style>
  <w:style w:type="paragraph" w:styleId="218">
    <w:name w:val="Маркированный список 2"/>
    <w:basedOn w:val="Normal"/>
    <w:qFormat/>
    <w:pPr>
      <w:numPr>
        <w:ilvl w:val="0"/>
        <w:numId w:val="3"/>
      </w:numPr>
      <w:spacing w:before="0" w:after="60"/>
      <w:jc w:val="both"/>
    </w:pPr>
    <w:rPr>
      <w:szCs w:val="20"/>
    </w:rPr>
  </w:style>
  <w:style w:type="paragraph" w:styleId="Style48">
    <w:name w:val="Нормальный (таблица)"/>
    <w:basedOn w:val="Normal"/>
    <w:next w:val="Normal"/>
    <w:qFormat/>
    <w:pPr>
      <w:jc w:val="both"/>
    </w:pPr>
    <w:rPr>
      <w:rFonts w:ascii="Arial" w:hAnsi="Arial" w:cs="Arial"/>
    </w:rPr>
  </w:style>
  <w:style w:type="paragraph" w:styleId="38">
    <w:name w:val="Знак3"/>
    <w:basedOn w:val="Normal"/>
    <w:qFormat/>
    <w:pPr>
      <w:spacing w:lineRule="exact" w:line="240" w:before="0" w:after="160"/>
    </w:pPr>
    <w:rPr>
      <w:rFonts w:ascii="Verdana" w:hAnsi="Verdana" w:cs="Verdana"/>
      <w:sz w:val="20"/>
      <w:szCs w:val="20"/>
      <w:lang w:val="en-US"/>
    </w:rPr>
  </w:style>
  <w:style w:type="paragraph" w:styleId="Default">
    <w:name w:val="Default"/>
    <w:qFormat/>
    <w:pPr>
      <w:widowControl/>
      <w:suppressAutoHyphens w:val="true"/>
      <w:bidi w:val="0"/>
    </w:pPr>
    <w:rPr>
      <w:rFonts w:ascii="Times New Roman" w:hAnsi="Times New Roman" w:eastAsia="Times New Roman" w:cs="Times New Roman"/>
      <w:color w:val="000000"/>
      <w:sz w:val="24"/>
      <w:szCs w:val="24"/>
      <w:lang w:val="ru-RU" w:eastAsia="zh-CN" w:bidi="ar-SA"/>
    </w:rPr>
  </w:style>
  <w:style w:type="paragraph" w:styleId="126">
    <w:name w:val="1"/>
    <w:basedOn w:val="Normal"/>
    <w:qFormat/>
    <w:pPr/>
    <w:rPr>
      <w:rFonts w:ascii="Verdana" w:hAnsi="Verdana" w:cs="Verdana"/>
      <w:sz w:val="20"/>
      <w:szCs w:val="20"/>
      <w:lang w:val="en-US"/>
    </w:rPr>
  </w:style>
  <w:style w:type="paragraph" w:styleId="Standard">
    <w:name w:val="Standard"/>
    <w:qFormat/>
    <w:pPr>
      <w:widowControl/>
      <w:suppressAutoHyphens w:val="true"/>
      <w:bidi w:val="0"/>
    </w:pPr>
    <w:rPr>
      <w:rFonts w:ascii="Times New Roman" w:hAnsi="Times New Roman" w:eastAsia="Times New Roman" w:cs="Times New Roman"/>
      <w:color w:val="auto"/>
      <w:sz w:val="24"/>
      <w:szCs w:val="24"/>
      <w:lang w:val="ru-RU" w:eastAsia="zh-CN" w:bidi="ar-SA"/>
    </w:rPr>
  </w:style>
  <w:style w:type="paragraph" w:styleId="Normal1">
    <w:name w:val="Normal1"/>
    <w:qFormat/>
    <w:pPr>
      <w:widowControl w:val="false"/>
      <w:suppressAutoHyphens w:val="true"/>
      <w:bidi w:val="0"/>
      <w:spacing w:before="20" w:after="0"/>
      <w:ind w:firstLine="720" w:start="0" w:end="0"/>
      <w:jc w:val="both"/>
    </w:pPr>
    <w:rPr>
      <w:rFonts w:ascii="Times New Roman" w:hAnsi="Times New Roman" w:eastAsia="Arial" w:cs="Times New Roman"/>
      <w:color w:val="auto"/>
      <w:sz w:val="24"/>
      <w:szCs w:val="20"/>
      <w:lang w:val="ru-RU" w:eastAsia="zh-CN" w:bidi="ar-SA"/>
    </w:rPr>
  </w:style>
  <w:style w:type="paragraph" w:styleId="CharChar1">
    <w:name w:val="Знак Знак Char Char"/>
    <w:basedOn w:val="Normal"/>
    <w:qFormat/>
    <w:pPr>
      <w:widowControl w:val="false"/>
      <w:jc w:val="both"/>
    </w:pPr>
    <w:rPr>
      <w:rFonts w:ascii="Arial" w:hAnsi="Arial" w:eastAsia="SimSun;宋体" w:cs="Arial"/>
      <w:sz w:val="21"/>
      <w:szCs w:val="21"/>
      <w:lang w:val="en-US"/>
    </w:rPr>
  </w:style>
  <w:style w:type="paragraph" w:styleId="313">
    <w:name w:val="Основной текст 31"/>
    <w:basedOn w:val="Normal"/>
    <w:qFormat/>
    <w:pPr>
      <w:spacing w:before="0" w:after="120"/>
    </w:pPr>
    <w:rPr>
      <w:sz w:val="16"/>
      <w:szCs w:val="16"/>
    </w:rPr>
  </w:style>
  <w:style w:type="paragraph" w:styleId="Header1">
    <w:name w:val="Header1"/>
    <w:basedOn w:val="Standard"/>
    <w:qFormat/>
    <w:pPr/>
    <w:rPr>
      <w:rFonts w:ascii="Calibri" w:hAnsi="Calibri" w:cs="Calibri"/>
      <w:sz w:val="22"/>
      <w:szCs w:val="22"/>
    </w:rPr>
  </w:style>
  <w:style w:type="paragraph" w:styleId="127">
    <w:name w:val="Название1"/>
    <w:basedOn w:val="Normal"/>
    <w:qFormat/>
    <w:pPr>
      <w:suppressLineNumbers/>
      <w:spacing w:before="120" w:after="120"/>
    </w:pPr>
    <w:rPr>
      <w:rFonts w:ascii="Arial" w:hAnsi="Arial" w:cs="Arial"/>
      <w:i/>
      <w:iCs/>
      <w:sz w:val="20"/>
      <w:szCs w:val="20"/>
    </w:rPr>
  </w:style>
  <w:style w:type="paragraph" w:styleId="128">
    <w:name w:val="Текст1"/>
    <w:basedOn w:val="Normal"/>
    <w:qFormat/>
    <w:pPr/>
    <w:rPr>
      <w:rFonts w:ascii="Courier New" w:hAnsi="Courier New" w:cs="Courier New"/>
      <w:sz w:val="20"/>
      <w:szCs w:val="20"/>
    </w:rPr>
  </w:style>
  <w:style w:type="paragraph" w:styleId="314">
    <w:name w:val="Основной текст с отступом 31"/>
    <w:basedOn w:val="Normal"/>
    <w:qFormat/>
    <w:pPr>
      <w:spacing w:before="0" w:after="120"/>
      <w:ind w:hanging="0" w:start="283" w:end="0"/>
    </w:pPr>
    <w:rPr>
      <w:sz w:val="16"/>
      <w:szCs w:val="16"/>
    </w:rPr>
  </w:style>
  <w:style w:type="paragraph" w:styleId="219">
    <w:name w:val="Основной текст 21"/>
    <w:basedOn w:val="Normal"/>
    <w:qFormat/>
    <w:pPr>
      <w:spacing w:lineRule="auto" w:line="480" w:before="0" w:after="120"/>
    </w:pPr>
    <w:rPr/>
  </w:style>
  <w:style w:type="paragraph" w:styleId="Style49">
    <w:name w:val="Содержимое врезки"/>
    <w:basedOn w:val="bodytextbodytextbodytextbtndradbodytext1bt1bodytext2bt2bodytext11bt11bodytext3bt3paragraph2paragraph21EHPTBodyText2bBodyTextlevel2"/>
    <w:qFormat/>
    <w:pPr>
      <w:ind w:hanging="0" w:start="0" w:end="-341"/>
      <w:jc w:val="start"/>
    </w:pPr>
    <w:rPr>
      <w:sz w:val="24"/>
      <w:szCs w:val="24"/>
      <w:lang w:val="en-US"/>
    </w:rPr>
  </w:style>
  <w:style w:type="paragraph" w:styleId="Style50">
    <w:name w:val="Блочная цитата"/>
    <w:basedOn w:val="Normal"/>
    <w:qFormat/>
    <w:pPr>
      <w:suppressLineNumbers/>
    </w:pPr>
    <w:rPr>
      <w:color w:val="00000A"/>
    </w:rPr>
  </w:style>
  <w:style w:type="paragraph" w:styleId="xl63">
    <w:name w:val="xl63"/>
    <w:basedOn w:val="Normal"/>
    <w:qFormat/>
    <w:pPr>
      <w:pBdr>
        <w:top w:val="single" w:sz="4" w:space="0" w:color="000000"/>
        <w:left w:val="single" w:sz="4" w:space="0" w:color="000000"/>
        <w:bottom w:val="single" w:sz="4" w:space="0" w:color="000000"/>
        <w:right w:val="single" w:sz="4" w:space="0" w:color="000000"/>
      </w:pBdr>
      <w:spacing w:before="280" w:after="280"/>
    </w:pPr>
    <w:rPr>
      <w:b/>
      <w:bCs/>
      <w:sz w:val="16"/>
      <w:szCs w:val="16"/>
    </w:rPr>
  </w:style>
  <w:style w:type="paragraph" w:styleId="xl64">
    <w:name w:val="xl64"/>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16"/>
      <w:szCs w:val="16"/>
    </w:rPr>
  </w:style>
  <w:style w:type="paragraph" w:styleId="NoSpacing">
    <w:name w:val="No Spacing"/>
    <w:qFormat/>
    <w:pPr>
      <w:widowControl/>
      <w:suppressAutoHyphens w:val="true"/>
      <w:bidi w:val="0"/>
      <w:spacing w:lineRule="auto" w:line="240" w:before="0" w:after="0"/>
      <w:jc w:val="start"/>
    </w:pPr>
    <w:rPr>
      <w:rFonts w:ascii="Calibri" w:hAnsi="Calibri" w:eastAsia="Arial" w:cs="Arial"/>
      <w:color w:val="auto"/>
      <w:kern w:val="0"/>
      <w:sz w:val="22"/>
      <w:szCs w:val="22"/>
      <w:lang w:val="ru-RU" w:eastAsia="ru-RU" w:bidi="ar-SA"/>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19</TotalTime>
  <Application>LibreOffice/25.2.6.2$Linux_X86_64 LibreOffice_project/520$Build-2</Application>
  <AppVersion>15.0000</AppVersion>
  <Pages>20</Pages>
  <Words>7819</Words>
  <Characters>52135</Characters>
  <CharactersWithSpaces>59152</CharactersWithSpaces>
  <Paragraphs>1235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2026-09-03T10:05:00Z</dcterms:created>
  <dc:creator>IVV</dc:creator>
  <dc:description/>
  <dc:language>ru-RU</dc:language>
  <cp:lastModifiedBy/>
  <cp:lastPrinted>2026-09-03T10:07:00Z</cp:lastPrinted>
  <dcterms:modified xsi:type="dcterms:W3CDTF">2026-09-03T12:31:06Z</dcterms:modified>
  <cp:revision>6</cp:revision>
  <dc:subject/>
  <dc:title>Уважаемый Поставщик</dc:title>
</cp:coreProperties>
</file>