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74F7F" w14:textId="77777777" w:rsidR="00485A4C" w:rsidRPr="008B5E20" w:rsidRDefault="00485A4C" w:rsidP="00485A4C">
      <w:pPr>
        <w:pStyle w:val="11"/>
        <w:jc w:val="center"/>
        <w:rPr>
          <w:b/>
          <w:bCs/>
          <w:sz w:val="24"/>
          <w:szCs w:val="24"/>
        </w:rPr>
      </w:pPr>
      <w:r w:rsidRPr="008B5E20">
        <w:rPr>
          <w:b/>
          <w:bCs/>
          <w:sz w:val="24"/>
          <w:szCs w:val="24"/>
        </w:rPr>
        <w:t>Лицензионный договор №_______________</w:t>
      </w:r>
    </w:p>
    <w:p w14:paraId="02719308" w14:textId="6872EF03" w:rsidR="00485A4C" w:rsidRPr="008B5E20" w:rsidRDefault="00485A4C" w:rsidP="00485A4C">
      <w:pPr>
        <w:pStyle w:val="11"/>
        <w:jc w:val="center"/>
        <w:rPr>
          <w:sz w:val="24"/>
          <w:szCs w:val="24"/>
        </w:rPr>
      </w:pPr>
      <w:r w:rsidRPr="008B5E20">
        <w:rPr>
          <w:sz w:val="24"/>
          <w:szCs w:val="24"/>
        </w:rPr>
        <w:t>г. Иркутск</w:t>
      </w:r>
      <w:r w:rsidRPr="008B5E20">
        <w:rPr>
          <w:sz w:val="24"/>
          <w:szCs w:val="24"/>
        </w:rPr>
        <w:tab/>
        <w:t xml:space="preserve">    </w:t>
      </w:r>
      <w:r w:rsidRPr="008B5E20">
        <w:rPr>
          <w:sz w:val="24"/>
          <w:szCs w:val="24"/>
        </w:rPr>
        <w:tab/>
      </w:r>
      <w:r w:rsidRPr="008B5E20">
        <w:rPr>
          <w:sz w:val="24"/>
          <w:szCs w:val="24"/>
        </w:rPr>
        <w:tab/>
      </w:r>
      <w:r w:rsidRPr="008B5E20">
        <w:rPr>
          <w:sz w:val="24"/>
          <w:szCs w:val="24"/>
        </w:rPr>
        <w:tab/>
      </w:r>
      <w:r w:rsidRPr="008B5E20">
        <w:rPr>
          <w:sz w:val="24"/>
          <w:szCs w:val="24"/>
        </w:rPr>
        <w:tab/>
      </w:r>
      <w:r w:rsidRPr="008B5E20">
        <w:rPr>
          <w:sz w:val="24"/>
          <w:szCs w:val="24"/>
        </w:rPr>
        <w:tab/>
        <w:t xml:space="preserve">                     </w:t>
      </w:r>
      <w:proofErr w:type="gramStart"/>
      <w:r w:rsidRPr="008B5E20">
        <w:rPr>
          <w:sz w:val="24"/>
          <w:szCs w:val="24"/>
        </w:rPr>
        <w:t xml:space="preserve">   «</w:t>
      </w:r>
      <w:proofErr w:type="gramEnd"/>
      <w:r w:rsidRPr="008B5E20">
        <w:rPr>
          <w:sz w:val="24"/>
          <w:szCs w:val="24"/>
        </w:rPr>
        <w:t>___»  ____ 2026 г.</w:t>
      </w:r>
    </w:p>
    <w:p w14:paraId="5A224FDA" w14:textId="77777777" w:rsidR="00485A4C" w:rsidRPr="008B5E20" w:rsidRDefault="00485A4C" w:rsidP="00485A4C">
      <w:pPr>
        <w:pStyle w:val="11"/>
        <w:jc w:val="center"/>
        <w:rPr>
          <w:sz w:val="24"/>
          <w:szCs w:val="24"/>
        </w:rPr>
      </w:pPr>
    </w:p>
    <w:p w14:paraId="715E5601" w14:textId="76CC0CF4" w:rsidR="00485A4C" w:rsidRPr="008B5E20" w:rsidRDefault="00485A4C" w:rsidP="00485A4C">
      <w:pPr>
        <w:pStyle w:val="11"/>
        <w:tabs>
          <w:tab w:val="left" w:pos="993"/>
        </w:tabs>
        <w:ind w:firstLine="567"/>
        <w:jc w:val="both"/>
        <w:rPr>
          <w:sz w:val="24"/>
          <w:szCs w:val="24"/>
        </w:rPr>
      </w:pPr>
      <w:r w:rsidRPr="008B5E20">
        <w:rPr>
          <w:sz w:val="24"/>
          <w:szCs w:val="24"/>
        </w:rPr>
        <w:t xml:space="preserve">Настоящий лицензионный договор (далее – «Договор») заключен между </w:t>
      </w:r>
      <w:r w:rsidRPr="008B5E20">
        <w:rPr>
          <w:b/>
          <w:bCs/>
          <w:sz w:val="24"/>
          <w:szCs w:val="24"/>
        </w:rPr>
        <w:t>________________________________,</w:t>
      </w:r>
      <w:r w:rsidRPr="008B5E20">
        <w:rPr>
          <w:sz w:val="24"/>
          <w:szCs w:val="24"/>
        </w:rPr>
        <w:t xml:space="preserve"> в лице ______________________, действующего на основании </w:t>
      </w:r>
      <w:r w:rsidR="00A272B6" w:rsidRPr="00A272B6">
        <w:rPr>
          <w:sz w:val="24"/>
          <w:szCs w:val="24"/>
        </w:rPr>
        <w:t>_______________</w:t>
      </w:r>
      <w:r w:rsidRPr="008B5E20">
        <w:rPr>
          <w:sz w:val="24"/>
          <w:szCs w:val="24"/>
        </w:rPr>
        <w:t xml:space="preserve"> (далее – «Лицензиар») и федеральным бюджетным учреждением </w:t>
      </w:r>
      <w:r w:rsidRPr="008B5E20">
        <w:rPr>
          <w:b/>
          <w:bCs/>
          <w:sz w:val="24"/>
          <w:szCs w:val="24"/>
        </w:rPr>
        <w:t>Иркутская лаборатория судебной экспертизы Министерства юстиции Российской Федерации</w:t>
      </w:r>
      <w:r w:rsidRPr="008B5E20">
        <w:rPr>
          <w:sz w:val="24"/>
          <w:szCs w:val="24"/>
        </w:rPr>
        <w:t>, в лице директора Дзюбы Геннадия Григорьевича, действующего на основании Устава, (далее – «Лицензиат»), с соблюдением требований Гражданского кодекса Российской Федерации, на основании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44-ФЗ).</w:t>
      </w:r>
    </w:p>
    <w:p w14:paraId="4B166637" w14:textId="77777777" w:rsidR="00485A4C" w:rsidRPr="008B5E20" w:rsidRDefault="00485A4C" w:rsidP="00485A4C">
      <w:pPr>
        <w:pStyle w:val="11"/>
        <w:tabs>
          <w:tab w:val="left" w:pos="993"/>
        </w:tabs>
        <w:ind w:firstLine="567"/>
        <w:jc w:val="both"/>
        <w:rPr>
          <w:sz w:val="24"/>
          <w:szCs w:val="24"/>
        </w:rPr>
      </w:pPr>
      <w:r w:rsidRPr="008B5E20">
        <w:rPr>
          <w:sz w:val="24"/>
          <w:szCs w:val="24"/>
        </w:rPr>
        <w:t>Лицензиар и Лицензиат совместно именуются Стороны, а по отдельности Сторона.</w:t>
      </w:r>
    </w:p>
    <w:p w14:paraId="355C1D94" w14:textId="77777777" w:rsidR="00485A4C" w:rsidRPr="008B5E20" w:rsidRDefault="00485A4C" w:rsidP="00485A4C">
      <w:pPr>
        <w:pStyle w:val="1"/>
        <w:numPr>
          <w:ilvl w:val="0"/>
          <w:numId w:val="1"/>
        </w:numPr>
        <w:tabs>
          <w:tab w:val="left" w:pos="1134"/>
        </w:tabs>
        <w:spacing w:before="120" w:after="60"/>
        <w:ind w:left="0" w:firstLine="567"/>
        <w:rPr>
          <w:bCs/>
          <w:szCs w:val="24"/>
        </w:rPr>
      </w:pPr>
      <w:r w:rsidRPr="008B5E20">
        <w:rPr>
          <w:bCs/>
          <w:szCs w:val="24"/>
        </w:rPr>
        <w:t>ПРЕДМЕТ ДОГОВОРА</w:t>
      </w:r>
    </w:p>
    <w:p w14:paraId="29E78930"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Лицензиар предоставляет Лицензиату право на использование справочника "Вестник авторынка", зарегистрированного Федеральной службой по интеллектуальной собственности (уведомление номер 2022Э1180, дата выдачи: 06 июня 2022 г.), в рамках тарифного пакета «Пакет-100», а Лицензиат за предоставление этого права уплачивает вознаграждение Лицензиару.</w:t>
      </w:r>
      <w:r w:rsidRPr="008B5E20">
        <w:rPr>
          <w:b/>
          <w:bCs/>
          <w:sz w:val="24"/>
          <w:szCs w:val="24"/>
          <w:shd w:val="clear" w:color="auto" w:fill="FFFFFF"/>
        </w:rPr>
        <w:t xml:space="preserve">  </w:t>
      </w:r>
    </w:p>
    <w:p w14:paraId="3286C8C9"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 xml:space="preserve">Лицензиар гарантирует наличие у него предоставляемых по настоящему Договору исключительных прав на справочник "Вестник авторынка". </w:t>
      </w:r>
    </w:p>
    <w:p w14:paraId="77D19265"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Описание справочника "Вестник авторынка": электронный справочник стоимости КТС Российского и зарубежного производства.</w:t>
      </w:r>
    </w:p>
    <w:p w14:paraId="3DEA228E" w14:textId="77777777" w:rsidR="00485A4C" w:rsidRPr="008B5E20" w:rsidRDefault="00485A4C" w:rsidP="00485A4C">
      <w:pPr>
        <w:pStyle w:val="1"/>
        <w:numPr>
          <w:ilvl w:val="0"/>
          <w:numId w:val="1"/>
        </w:numPr>
        <w:tabs>
          <w:tab w:val="left" w:pos="1134"/>
        </w:tabs>
        <w:spacing w:before="120" w:after="60"/>
        <w:ind w:left="0" w:firstLine="567"/>
        <w:rPr>
          <w:bCs/>
          <w:szCs w:val="24"/>
        </w:rPr>
      </w:pPr>
      <w:r w:rsidRPr="008B5E20">
        <w:rPr>
          <w:bCs/>
          <w:szCs w:val="24"/>
        </w:rPr>
        <w:t>ПРАВА И ОБЯЗАННОСТИ СТОРОН</w:t>
      </w:r>
    </w:p>
    <w:p w14:paraId="5A3C70C9"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По настоящему Договору Лицензиар предоставляет Лицензиату следующие права использования справочника "Вестник авторынка":</w:t>
      </w:r>
    </w:p>
    <w:p w14:paraId="5BBFA8A2" w14:textId="77777777" w:rsidR="00485A4C" w:rsidRPr="008B5E20" w:rsidRDefault="00485A4C" w:rsidP="00485A4C">
      <w:pPr>
        <w:pStyle w:val="11"/>
        <w:numPr>
          <w:ilvl w:val="2"/>
          <w:numId w:val="1"/>
        </w:numPr>
        <w:tabs>
          <w:tab w:val="left" w:pos="1134"/>
        </w:tabs>
        <w:ind w:left="0" w:firstLine="567"/>
        <w:jc w:val="both"/>
        <w:rPr>
          <w:sz w:val="24"/>
          <w:szCs w:val="24"/>
        </w:rPr>
      </w:pPr>
      <w:r w:rsidRPr="008B5E20">
        <w:rPr>
          <w:sz w:val="24"/>
          <w:szCs w:val="24"/>
        </w:rPr>
        <w:t>право на использование справочника "Вестник авторынка" в рамках приобретенного Пакета. Под использованием понимается обращение к справочнику и получение информации о стоимости КТС с возможностью формирования результирующего текстового документа и его печати;</w:t>
      </w:r>
    </w:p>
    <w:p w14:paraId="62B531FB" w14:textId="77777777" w:rsidR="00485A4C" w:rsidRPr="008B5E20" w:rsidRDefault="00485A4C" w:rsidP="00485A4C">
      <w:pPr>
        <w:pStyle w:val="11"/>
        <w:numPr>
          <w:ilvl w:val="2"/>
          <w:numId w:val="1"/>
        </w:numPr>
        <w:tabs>
          <w:tab w:val="left" w:pos="1134"/>
        </w:tabs>
        <w:ind w:left="0" w:firstLine="567"/>
        <w:jc w:val="both"/>
        <w:rPr>
          <w:sz w:val="24"/>
          <w:szCs w:val="24"/>
        </w:rPr>
      </w:pPr>
      <w:r w:rsidRPr="008B5E20">
        <w:rPr>
          <w:sz w:val="24"/>
          <w:szCs w:val="24"/>
        </w:rPr>
        <w:t>публичный показ справочника "Вестник авторынка".</w:t>
      </w:r>
    </w:p>
    <w:p w14:paraId="5C4B4FEF"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Права на использование справочника "Вестник авторынка", указанные в п. 2.1. настоящего Договора, передаются Лицензиаром Лицензиату для использования профильными сотрудниками организации Лицензиата.</w:t>
      </w:r>
    </w:p>
    <w:p w14:paraId="5046774A"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 xml:space="preserve">После исчерпания количества обращений оплаченных Пакетов право на использование справочника "Вестник авторынка" прекращается. </w:t>
      </w:r>
    </w:p>
    <w:p w14:paraId="3A5B2833"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Лицензиат не обязан представлять Лицензиару письменные отчеты об использовании справочника "Вестник авторынка".</w:t>
      </w:r>
    </w:p>
    <w:p w14:paraId="56220FF5"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 xml:space="preserve">Лицензиат обязан в течение одного рабочего дня после подписания настоящего Договора зарегистрировать личный кабинет на странице сайта: </w:t>
      </w:r>
      <w:hyperlink r:id="rId7" w:history="1">
        <w:r w:rsidRPr="008B5E20">
          <w:rPr>
            <w:sz w:val="24"/>
            <w:szCs w:val="24"/>
          </w:rPr>
          <w:t>https://vestnik-avto.ru/register</w:t>
        </w:r>
      </w:hyperlink>
      <w:r w:rsidRPr="008B5E20">
        <w:rPr>
          <w:sz w:val="24"/>
          <w:szCs w:val="24"/>
        </w:rPr>
        <w:t xml:space="preserve">, введя в качестве логина адрес электронной почты своей организации, указанный в разделе 9 настоящего Договора (адрес электронной почты (логин) является идентификатором пользователя, по которому предоставляется доступ к электронному справочнику). </w:t>
      </w:r>
    </w:p>
    <w:p w14:paraId="73CB0544"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Лицензиат не вправе предоставлять права на использование справочника "Вестник авторынка" посредством заключения Договоров с третьими лицами.</w:t>
      </w:r>
    </w:p>
    <w:p w14:paraId="4E95E4AF"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 xml:space="preserve">Лицензиар обязан активировать Лицензиату доступ к электронному справочнику в течение 1 (одного) рабочего дня, следующего за днем подписания настоящего Договора. </w:t>
      </w:r>
    </w:p>
    <w:p w14:paraId="6772E577" w14:textId="77777777" w:rsidR="00485A4C" w:rsidRPr="008B5E20" w:rsidRDefault="00485A4C" w:rsidP="00485A4C">
      <w:pPr>
        <w:pStyle w:val="1"/>
        <w:numPr>
          <w:ilvl w:val="0"/>
          <w:numId w:val="1"/>
        </w:numPr>
        <w:tabs>
          <w:tab w:val="left" w:pos="1134"/>
        </w:tabs>
        <w:spacing w:before="120" w:after="60"/>
        <w:ind w:left="0" w:firstLine="567"/>
        <w:rPr>
          <w:bCs/>
          <w:szCs w:val="24"/>
        </w:rPr>
      </w:pPr>
      <w:r w:rsidRPr="008B5E20">
        <w:rPr>
          <w:bCs/>
          <w:szCs w:val="24"/>
        </w:rPr>
        <w:t>ПЕРЕДАЧА ПРАВ И ПОРЯДОК ВЫПЛАТЫ ВОЗНАГРАЖДЕНИЯ</w:t>
      </w:r>
    </w:p>
    <w:p w14:paraId="3DD9E28B"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 xml:space="preserve">Права на использование справочника "Вестник авторынка", указанные в п. 2.1. настоящего Договора, передаются Лицензиаром Лицензиату в пределах ёмкости выбранного пакета по количеству обращений без ограничения срока их использования путем активации </w:t>
      </w:r>
      <w:r w:rsidRPr="008B5E20">
        <w:rPr>
          <w:sz w:val="24"/>
          <w:szCs w:val="24"/>
        </w:rPr>
        <w:lastRenderedPageBreak/>
        <w:t xml:space="preserve">доступа к справочнику по сети интернет в порядке и в срок, указанные в п. 2.7 настоящего договора. </w:t>
      </w:r>
    </w:p>
    <w:p w14:paraId="6AD4BFF1"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После исчерпания количества обращений, оплаченных Пакетов право на использование справочника "Вестник авторынка" прекращается.</w:t>
      </w:r>
    </w:p>
    <w:p w14:paraId="7ED46B65"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За использование справочника "Вестник авторынка" по настоящему Договору Лицензиат выплачивает Лицензиару вознаграждение в размере стоимости выбранных Пакетов обращений.</w:t>
      </w:r>
    </w:p>
    <w:p w14:paraId="362902CB"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Обязательства Лицензиата по уплате вознаграждения считаются исполненными с момента получения денежных средств Лицензиаром. При этом датой оплаты считается дата зачисления денежных средств на расчетный счет Лицензиара. Все расчеты по настоящему Договору производятся в безналичной форме путем перечисления денежных средств с расчетного счета Лицензиата на расчетный счет Лицензиара.</w:t>
      </w:r>
    </w:p>
    <w:p w14:paraId="5E5CFE62" w14:textId="0547CFB3" w:rsidR="00485A4C" w:rsidRPr="008B5E20" w:rsidRDefault="00485A4C" w:rsidP="00485A4C">
      <w:pPr>
        <w:pStyle w:val="11"/>
        <w:numPr>
          <w:ilvl w:val="1"/>
          <w:numId w:val="1"/>
        </w:numPr>
        <w:tabs>
          <w:tab w:val="left" w:pos="1134"/>
        </w:tabs>
        <w:ind w:left="0" w:firstLine="567"/>
        <w:jc w:val="both"/>
        <w:rPr>
          <w:rStyle w:val="a3"/>
          <w:color w:val="auto"/>
          <w:sz w:val="24"/>
          <w:szCs w:val="24"/>
        </w:rPr>
      </w:pPr>
      <w:r w:rsidRPr="008B5E20">
        <w:rPr>
          <w:sz w:val="24"/>
          <w:szCs w:val="24"/>
        </w:rPr>
        <w:t xml:space="preserve">Цена Договора составляет ___________ (________________) рублей </w:t>
      </w:r>
      <w:r w:rsidR="00D17AF2" w:rsidRPr="00D17AF2">
        <w:rPr>
          <w:sz w:val="24"/>
          <w:szCs w:val="24"/>
        </w:rPr>
        <w:t>____</w:t>
      </w:r>
      <w:r w:rsidRPr="008B5E20">
        <w:rPr>
          <w:sz w:val="24"/>
          <w:szCs w:val="24"/>
        </w:rPr>
        <w:t xml:space="preserve"> копеек, с НДС или НДС не облагается на основании п.2 ст. 346.11 НК РФ. Цена договора является твердой и определяется на весь срок его исполнения.</w:t>
      </w:r>
      <w:r w:rsidRPr="008B5E20">
        <w:rPr>
          <w:sz w:val="24"/>
          <w:szCs w:val="24"/>
          <w:lang w:eastAsia="en-US"/>
        </w:rPr>
        <w:t xml:space="preserve"> Источник финансирования Договора – средства бюджетных учреждений.</w:t>
      </w:r>
    </w:p>
    <w:p w14:paraId="3097F13C"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 xml:space="preserve">Оплата стоимости выбранного Пакета производится на основании выставленного </w:t>
      </w:r>
      <w:r w:rsidRPr="008B5E20">
        <w:rPr>
          <w:sz w:val="24"/>
          <w:szCs w:val="24"/>
          <w:shd w:val="clear" w:color="auto" w:fill="FFFFFF"/>
        </w:rPr>
        <w:t xml:space="preserve">Акта выполненных работ в </w:t>
      </w:r>
      <w:r w:rsidRPr="008B5E20">
        <w:rPr>
          <w:sz w:val="24"/>
          <w:szCs w:val="24"/>
        </w:rPr>
        <w:t xml:space="preserve">течение 5 (пяти) рабочих дней, следующих за днем предоставления права на использование справочника и подписания акта выполненных работ, но не позднее 7 (семи) рабочих дней с момента подписания договора. </w:t>
      </w:r>
    </w:p>
    <w:p w14:paraId="500E5965" w14:textId="71749172" w:rsidR="00485A4C" w:rsidRPr="008B5E20" w:rsidRDefault="00485A4C" w:rsidP="00D17AF2">
      <w:pPr>
        <w:pStyle w:val="11"/>
        <w:tabs>
          <w:tab w:val="left" w:pos="1134"/>
        </w:tabs>
        <w:ind w:left="567"/>
        <w:jc w:val="both"/>
        <w:rPr>
          <w:sz w:val="24"/>
          <w:szCs w:val="24"/>
        </w:rPr>
      </w:pPr>
    </w:p>
    <w:p w14:paraId="51886649" w14:textId="77777777" w:rsidR="00485A4C" w:rsidRPr="008B5E20" w:rsidRDefault="00485A4C" w:rsidP="00485A4C">
      <w:pPr>
        <w:pStyle w:val="1"/>
        <w:numPr>
          <w:ilvl w:val="0"/>
          <w:numId w:val="1"/>
        </w:numPr>
        <w:tabs>
          <w:tab w:val="left" w:pos="1134"/>
        </w:tabs>
        <w:spacing w:before="120" w:after="60"/>
        <w:ind w:left="0" w:firstLine="567"/>
        <w:rPr>
          <w:bCs/>
          <w:szCs w:val="24"/>
        </w:rPr>
      </w:pPr>
      <w:r w:rsidRPr="008B5E20">
        <w:rPr>
          <w:bCs/>
          <w:szCs w:val="24"/>
        </w:rPr>
        <w:t>ОТВЕТСТВЕННОСТЬ СТОРОН</w:t>
      </w:r>
    </w:p>
    <w:p w14:paraId="78C8DC40"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Лицензиар гарантирует, что:</w:t>
      </w:r>
    </w:p>
    <w:p w14:paraId="4CB68C5E" w14:textId="77777777" w:rsidR="00485A4C" w:rsidRPr="008B5E20" w:rsidRDefault="00485A4C" w:rsidP="00485A4C">
      <w:pPr>
        <w:pStyle w:val="11"/>
        <w:numPr>
          <w:ilvl w:val="2"/>
          <w:numId w:val="1"/>
        </w:numPr>
        <w:tabs>
          <w:tab w:val="left" w:pos="1134"/>
        </w:tabs>
        <w:ind w:left="0" w:firstLine="567"/>
        <w:jc w:val="both"/>
        <w:rPr>
          <w:sz w:val="24"/>
          <w:szCs w:val="24"/>
        </w:rPr>
      </w:pPr>
      <w:r w:rsidRPr="008B5E20">
        <w:rPr>
          <w:sz w:val="24"/>
          <w:szCs w:val="24"/>
        </w:rPr>
        <w:t>он является законным правообладателем справочника "Вестник авторынка";</w:t>
      </w:r>
    </w:p>
    <w:p w14:paraId="1233DB93" w14:textId="77777777" w:rsidR="00485A4C" w:rsidRPr="008B5E20" w:rsidRDefault="00485A4C" w:rsidP="00485A4C">
      <w:pPr>
        <w:pStyle w:val="11"/>
        <w:numPr>
          <w:ilvl w:val="2"/>
          <w:numId w:val="1"/>
        </w:numPr>
        <w:tabs>
          <w:tab w:val="left" w:pos="1134"/>
        </w:tabs>
        <w:ind w:left="0" w:firstLine="567"/>
        <w:jc w:val="both"/>
        <w:rPr>
          <w:sz w:val="24"/>
          <w:szCs w:val="24"/>
        </w:rPr>
      </w:pPr>
      <w:r w:rsidRPr="008B5E20">
        <w:rPr>
          <w:sz w:val="24"/>
          <w:szCs w:val="24"/>
        </w:rPr>
        <w:t>на момент вступления в силу настоящего Договора Лицензиару ничего не известно о правах третьих лиц, которые могут быть нарушены подписанием настоящего Договора;</w:t>
      </w:r>
    </w:p>
    <w:p w14:paraId="6A7B5FAE" w14:textId="77777777" w:rsidR="00485A4C" w:rsidRPr="008B5E20" w:rsidRDefault="00485A4C" w:rsidP="00485A4C">
      <w:pPr>
        <w:pStyle w:val="11"/>
        <w:numPr>
          <w:ilvl w:val="2"/>
          <w:numId w:val="1"/>
        </w:numPr>
        <w:tabs>
          <w:tab w:val="left" w:pos="1134"/>
        </w:tabs>
        <w:ind w:left="0" w:firstLine="567"/>
        <w:jc w:val="both"/>
        <w:rPr>
          <w:sz w:val="24"/>
          <w:szCs w:val="24"/>
        </w:rPr>
      </w:pPr>
      <w:r w:rsidRPr="008B5E20">
        <w:rPr>
          <w:sz w:val="24"/>
          <w:szCs w:val="24"/>
        </w:rPr>
        <w:t>на момент заключения настоящего Договора права, указанные в п. 2.1. настоящего Договора не отчуждены и не заложены;</w:t>
      </w:r>
    </w:p>
    <w:p w14:paraId="1A1288C7" w14:textId="77777777" w:rsidR="00485A4C" w:rsidRPr="008B5E20" w:rsidRDefault="00485A4C" w:rsidP="00485A4C">
      <w:pPr>
        <w:pStyle w:val="11"/>
        <w:numPr>
          <w:ilvl w:val="2"/>
          <w:numId w:val="1"/>
        </w:numPr>
        <w:tabs>
          <w:tab w:val="left" w:pos="1134"/>
        </w:tabs>
        <w:ind w:left="0" w:firstLine="567"/>
        <w:jc w:val="both"/>
        <w:rPr>
          <w:sz w:val="24"/>
          <w:szCs w:val="24"/>
        </w:rPr>
      </w:pPr>
      <w:r w:rsidRPr="008B5E20">
        <w:rPr>
          <w:sz w:val="24"/>
          <w:szCs w:val="24"/>
        </w:rPr>
        <w:t>на момент заключения настоящего Договора права Лицензиара не оспорены в суде или иным законным способом.</w:t>
      </w:r>
    </w:p>
    <w:p w14:paraId="541609B7"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w:t>
      </w:r>
    </w:p>
    <w:p w14:paraId="6C7F9FFF"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В случае просрочки исполнения Лицензиатом обязательств, предусмотренных договором, а также в иных случаях неисполнения или ненадлежащего исполнения Лицензиатом обязательств, предусмотренных договором, Лицензиар вправе потребовать уплаты неустоек (штрафов, пеней).</w:t>
      </w:r>
    </w:p>
    <w:p w14:paraId="7729F6C4"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FECA43B"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Общая сумма начисленной неустойки (штрафов, пени) за ненадлежащее исполнение Лицензиатом обязательств, предусмотренных договором, не может превышать цену договора.</w:t>
      </w:r>
    </w:p>
    <w:p w14:paraId="54653BFB"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В случае просрочки исполнения Лицензиаром обязательств, предусмотренных договором, а также в иных случаях неисполнения или ненадлежащего исполнения Лицензиаром обязательств, предусмотренных договором, Лицензиат направляет Лицензиару требование об уплате неустоек (штрафов, пеней).</w:t>
      </w:r>
    </w:p>
    <w:p w14:paraId="4ABAF023"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 xml:space="preserve">Пеня начисляется за каждый день просрочки исполнения Лицензиаром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w:t>
      </w:r>
      <w:r w:rsidRPr="008B5E20">
        <w:rPr>
          <w:sz w:val="24"/>
          <w:szCs w:val="24"/>
        </w:rPr>
        <w:lastRenderedPageBreak/>
        <w:t>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Лицензиаром.</w:t>
      </w:r>
    </w:p>
    <w:p w14:paraId="009B5466"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Общая сумма начисленной неустойки (штрафов, пени) за неисполнение или ненадлежащее исполнение Лицензиаром обязательств, предусмотренных договором, не может превышать цену договора.</w:t>
      </w:r>
    </w:p>
    <w:p w14:paraId="62016CD3"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BB8B517"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Изменения и дополнения настоящего договора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280821E0" w14:textId="77777777" w:rsidR="00485A4C" w:rsidRPr="008B5E20" w:rsidRDefault="00485A4C" w:rsidP="00485A4C">
      <w:pPr>
        <w:pStyle w:val="11"/>
        <w:numPr>
          <w:ilvl w:val="0"/>
          <w:numId w:val="1"/>
        </w:numPr>
        <w:tabs>
          <w:tab w:val="left" w:pos="1134"/>
        </w:tabs>
        <w:spacing w:before="120" w:after="60"/>
        <w:ind w:left="0" w:firstLine="567"/>
        <w:jc w:val="both"/>
        <w:rPr>
          <w:b/>
          <w:sz w:val="24"/>
          <w:szCs w:val="24"/>
        </w:rPr>
      </w:pPr>
      <w:r w:rsidRPr="008B5E20">
        <w:rPr>
          <w:b/>
          <w:sz w:val="24"/>
          <w:szCs w:val="24"/>
        </w:rPr>
        <w:t>ОБСТОЯТЕЛЬСТВА НЕПРЕОДОЛИМОЙ СИЛЫ</w:t>
      </w:r>
    </w:p>
    <w:p w14:paraId="5B086537"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Стороны освобождаются от ответственности за неисполнение или ненадлежащее исполнение своих обязательств по настоящему Договору, если неисполнение или ненадлежащее исполнение обязательств произошли вследствие наступления обстоятельств непреодолимой силы (форс-мажорных обстоятельств), то есть чрезвычайных и непредотвратимых при данных условиях обстоятельств, возникших помимо воли и желания Сторон, которых они не могли предвидеть и избежать. К таким обстоятельствам Стороны относят: пожары, наводнения, землетрясения и другие стихийные бедствия, технологические катастрофы, эпидемии, военные действия, а также непредвиденные и неотвратимые Сторонами события чрезвычайного характера, если эти обстоятельства не являлись следствием виновных действий Стороны, и непосредственно повлияли на исполнение настоящего Договора.</w:t>
      </w:r>
    </w:p>
    <w:p w14:paraId="6C1FDCD3"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Сторона, затронутая обстоятельствами непреодолимой силы, обязана в кратчайшие сроки известить об этом другую Сторону, при необходимости предоставив соответствующие подтверждения наличия таких обстоятельств.</w:t>
      </w:r>
    </w:p>
    <w:p w14:paraId="1D676F6F"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Не уведомление или несвоевременное уведомление (позднее 10 (десяти) рабочих дней после возникновения форс-мажорных обстоятельств) о наступлении форс-мажорных обстоятельств, лишает соответствующую Сторону права ссылаться в дальнейшем на указанные выше обстоятельства, как основание, освобождающее от ответственности за невыполнение или ненадлежащее исполнение обязательств.</w:t>
      </w:r>
    </w:p>
    <w:p w14:paraId="242AB4A4"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Если обстоятельства непреодолимой силы будут продолжаться более 3 (трех) месяцев, то Стороны должны согласовать свои дальнейшие действия, или могут расторгнуть настоящий Договор. Настоящий Договор может быть расторгнут любой из Сторон в одностороннем внесудебном порядке с обязательным письменным уведомлением другой Стороны. При этом настоящий Договор будет считаться расторгнутым с даты доставки уведомления о расторжении настоящего Договора.</w:t>
      </w:r>
      <w:bookmarkStart w:id="0" w:name="_GoBack"/>
      <w:bookmarkEnd w:id="0"/>
    </w:p>
    <w:p w14:paraId="1560BDB7" w14:textId="77777777" w:rsidR="00485A4C" w:rsidRPr="008B5E20" w:rsidRDefault="00485A4C" w:rsidP="00485A4C">
      <w:pPr>
        <w:pStyle w:val="11"/>
        <w:numPr>
          <w:ilvl w:val="0"/>
          <w:numId w:val="1"/>
        </w:numPr>
        <w:tabs>
          <w:tab w:val="left" w:pos="1134"/>
        </w:tabs>
        <w:spacing w:before="120" w:after="60"/>
        <w:ind w:left="0" w:firstLine="567"/>
        <w:jc w:val="both"/>
        <w:rPr>
          <w:b/>
          <w:sz w:val="24"/>
          <w:szCs w:val="24"/>
        </w:rPr>
      </w:pPr>
      <w:r w:rsidRPr="008B5E20">
        <w:rPr>
          <w:b/>
          <w:sz w:val="24"/>
          <w:szCs w:val="24"/>
        </w:rPr>
        <w:t>СРОК ДЕЙСТВИЯ ДОГОВОРА И ПОРЯДОК ЕГО ПРЕКРАЩЕНИЯ</w:t>
      </w:r>
    </w:p>
    <w:p w14:paraId="3B5AC98E" w14:textId="124E1DA8" w:rsidR="00485A4C" w:rsidRPr="00923FA2" w:rsidRDefault="00485A4C" w:rsidP="00485A4C">
      <w:pPr>
        <w:pStyle w:val="11"/>
        <w:numPr>
          <w:ilvl w:val="1"/>
          <w:numId w:val="1"/>
        </w:numPr>
        <w:tabs>
          <w:tab w:val="left" w:pos="1134"/>
        </w:tabs>
        <w:ind w:left="0" w:firstLine="567"/>
        <w:jc w:val="both"/>
        <w:rPr>
          <w:sz w:val="24"/>
          <w:szCs w:val="24"/>
        </w:rPr>
      </w:pPr>
      <w:r w:rsidRPr="008B5E20">
        <w:rPr>
          <w:sz w:val="24"/>
          <w:szCs w:val="24"/>
        </w:rPr>
        <w:t xml:space="preserve">Настоящий Договор действует </w:t>
      </w:r>
      <w:r w:rsidRPr="00923FA2">
        <w:rPr>
          <w:sz w:val="24"/>
          <w:szCs w:val="24"/>
        </w:rPr>
        <w:t xml:space="preserve">со дня его подписания сторонами и </w:t>
      </w:r>
      <w:r w:rsidR="00923FA2" w:rsidRPr="00923FA2">
        <w:rPr>
          <w:sz w:val="24"/>
          <w:szCs w:val="24"/>
        </w:rPr>
        <w:t xml:space="preserve">действует </w:t>
      </w:r>
      <w:r w:rsidR="00923FA2">
        <w:rPr>
          <w:sz w:val="24"/>
          <w:szCs w:val="24"/>
        </w:rPr>
        <w:t>д</w:t>
      </w:r>
      <w:r w:rsidR="00923FA2" w:rsidRPr="00923FA2">
        <w:rPr>
          <w:sz w:val="24"/>
          <w:szCs w:val="24"/>
        </w:rPr>
        <w:t>о «31» декабря 2026 г. Окончание срока действия Договора не влечет прекращения неисполненных обязательств Сторон по Договору, в том числе гарантийных обязательств</w:t>
      </w:r>
      <w:r w:rsidR="00923FA2">
        <w:rPr>
          <w:sz w:val="24"/>
          <w:szCs w:val="24"/>
        </w:rPr>
        <w:t>.</w:t>
      </w:r>
    </w:p>
    <w:p w14:paraId="24F32FA5" w14:textId="77777777" w:rsidR="00485A4C" w:rsidRPr="008B5E20" w:rsidRDefault="00485A4C" w:rsidP="00485A4C">
      <w:pPr>
        <w:pStyle w:val="11"/>
        <w:numPr>
          <w:ilvl w:val="1"/>
          <w:numId w:val="1"/>
        </w:numPr>
        <w:tabs>
          <w:tab w:val="left" w:pos="1134"/>
        </w:tabs>
        <w:ind w:left="0" w:firstLine="567"/>
        <w:jc w:val="both"/>
        <w:rPr>
          <w:sz w:val="24"/>
          <w:szCs w:val="24"/>
        </w:rPr>
      </w:pPr>
      <w:r w:rsidRPr="00923FA2">
        <w:rPr>
          <w:sz w:val="24"/>
          <w:szCs w:val="24"/>
        </w:rPr>
        <w:t>Стороны вправе досрочно расторгнуть настоящий Договор по письменному соглашению и в случаях, предусмотренных законодательством</w:t>
      </w:r>
      <w:r w:rsidRPr="008B5E20">
        <w:rPr>
          <w:sz w:val="24"/>
          <w:szCs w:val="24"/>
        </w:rPr>
        <w:t xml:space="preserve"> РФ.</w:t>
      </w:r>
    </w:p>
    <w:p w14:paraId="2077855D"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Использование Лицензиатом справочника «Вестник авторынка» способом, не предусмотренным Договором, либо по прекращении действия такого Договора, либо иным образом за пределами прав, предоставленных лицензиату по Договору, влечет ответственность за нарушение исключительного права на результат интеллектуальной деятельности или на средство индивидуализации, установленную законодательством.</w:t>
      </w:r>
    </w:p>
    <w:p w14:paraId="24441202" w14:textId="77777777" w:rsidR="00485A4C" w:rsidRPr="008B5E20" w:rsidRDefault="00485A4C" w:rsidP="00485A4C">
      <w:pPr>
        <w:pStyle w:val="11"/>
        <w:numPr>
          <w:ilvl w:val="1"/>
          <w:numId w:val="1"/>
        </w:numPr>
        <w:tabs>
          <w:tab w:val="left" w:pos="1134"/>
        </w:tabs>
        <w:ind w:left="0" w:right="26" w:firstLine="567"/>
        <w:jc w:val="both"/>
        <w:rPr>
          <w:sz w:val="24"/>
          <w:szCs w:val="24"/>
        </w:rPr>
      </w:pPr>
      <w:r w:rsidRPr="008B5E20">
        <w:rPr>
          <w:sz w:val="24"/>
          <w:szCs w:val="24"/>
        </w:rPr>
        <w:lastRenderedPageBreak/>
        <w:t>Уведомление об отказе от Договора должен быть направлено стороне в произвольной форме с подтверждением его получения (заказного или ценного письма, курьером и т.п.).</w:t>
      </w:r>
    </w:p>
    <w:p w14:paraId="6273ACAB"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С момента получения стороной такого уведомления об отказе настоящий Договор считается расторгнутым.</w:t>
      </w:r>
    </w:p>
    <w:p w14:paraId="0AB40313" w14:textId="77777777" w:rsidR="00485A4C" w:rsidRPr="008B5E20" w:rsidRDefault="00485A4C" w:rsidP="00485A4C">
      <w:pPr>
        <w:pStyle w:val="11"/>
        <w:numPr>
          <w:ilvl w:val="0"/>
          <w:numId w:val="1"/>
        </w:numPr>
        <w:tabs>
          <w:tab w:val="left" w:pos="1134"/>
        </w:tabs>
        <w:spacing w:before="120" w:after="80"/>
        <w:ind w:left="0" w:firstLine="567"/>
        <w:jc w:val="both"/>
        <w:rPr>
          <w:b/>
          <w:bCs/>
          <w:sz w:val="24"/>
          <w:szCs w:val="24"/>
        </w:rPr>
      </w:pPr>
      <w:r w:rsidRPr="008B5E20">
        <w:rPr>
          <w:b/>
          <w:bCs/>
          <w:sz w:val="24"/>
          <w:szCs w:val="24"/>
        </w:rPr>
        <w:t>ПОРЯДОК РАЗРЕШЕНИЯ СПОРОВ</w:t>
      </w:r>
    </w:p>
    <w:p w14:paraId="36E6B968"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В случае возникновения споров между Сторонами по вопросам, предусмотренным настоящим Договором или в связи с ним, Стороны принимают все меры к их разрешению путем переговоров.</w:t>
      </w:r>
    </w:p>
    <w:p w14:paraId="4C63ABE3"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При неурегулировании в процессе переговоров спорных вопросов споры разрешаются в судебном порядке в соответствии с действующим законодательством.</w:t>
      </w:r>
    </w:p>
    <w:p w14:paraId="26C60CE4"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До передачи спора на разрешение суда Стороны принимают меры по досудебному урегулированию спора.</w:t>
      </w:r>
    </w:p>
    <w:p w14:paraId="16E9501C" w14:textId="77777777" w:rsidR="00485A4C" w:rsidRPr="008B5E20" w:rsidRDefault="00485A4C" w:rsidP="00485A4C">
      <w:pPr>
        <w:pStyle w:val="11"/>
        <w:numPr>
          <w:ilvl w:val="0"/>
          <w:numId w:val="1"/>
        </w:numPr>
        <w:tabs>
          <w:tab w:val="left" w:pos="1134"/>
        </w:tabs>
        <w:spacing w:before="120" w:after="80"/>
        <w:ind w:left="0" w:firstLine="567"/>
        <w:jc w:val="both"/>
        <w:rPr>
          <w:b/>
          <w:bCs/>
          <w:sz w:val="24"/>
          <w:szCs w:val="24"/>
        </w:rPr>
      </w:pPr>
      <w:r w:rsidRPr="008B5E20">
        <w:rPr>
          <w:b/>
          <w:bCs/>
          <w:sz w:val="24"/>
          <w:szCs w:val="24"/>
        </w:rPr>
        <w:t>ЗАКЛЮЧИТЕЛЬНЫЕ ПОЛОЖЕНИЯ</w:t>
      </w:r>
    </w:p>
    <w:p w14:paraId="0FB30E61"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Изменения и дополнения настоящего договора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Все уведомления и сообщения должны направляться Сторонами друг другу в письменной форме.</w:t>
      </w:r>
    </w:p>
    <w:p w14:paraId="633B484C"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Настоящий Договор составлен в форме электронного документа, подписанного электронными подписями Сторон.</w:t>
      </w:r>
    </w:p>
    <w:p w14:paraId="74517A20"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В случае изменения наименования, местонахождения, банковских реквизитов и других данных каждая из Сторон обязана в пятидневный срок в письменной форме сообщить другой Стороне о произошедших изменениях.</w:t>
      </w:r>
    </w:p>
    <w:p w14:paraId="74C71AC1" w14:textId="77777777" w:rsidR="00485A4C" w:rsidRPr="008B5E20" w:rsidRDefault="00485A4C" w:rsidP="00485A4C">
      <w:pPr>
        <w:pStyle w:val="11"/>
        <w:numPr>
          <w:ilvl w:val="1"/>
          <w:numId w:val="1"/>
        </w:numPr>
        <w:tabs>
          <w:tab w:val="left" w:pos="1134"/>
        </w:tabs>
        <w:ind w:left="0" w:firstLine="567"/>
        <w:jc w:val="both"/>
        <w:rPr>
          <w:sz w:val="24"/>
          <w:szCs w:val="24"/>
        </w:rPr>
      </w:pPr>
      <w:r w:rsidRPr="008B5E20">
        <w:rPr>
          <w:sz w:val="24"/>
          <w:szCs w:val="24"/>
        </w:rPr>
        <w:t>Во всем ином, что не предусмотрено в настоящем Договоре стороны руководствуются законодательством РФ.</w:t>
      </w:r>
    </w:p>
    <w:p w14:paraId="155A4525" w14:textId="77777777" w:rsidR="00485A4C" w:rsidRPr="008B5E20" w:rsidRDefault="00485A4C" w:rsidP="00485A4C">
      <w:pPr>
        <w:pStyle w:val="11"/>
        <w:tabs>
          <w:tab w:val="left" w:pos="993"/>
        </w:tabs>
        <w:ind w:firstLine="567"/>
        <w:jc w:val="both"/>
        <w:rPr>
          <w:sz w:val="24"/>
          <w:szCs w:val="24"/>
        </w:rPr>
      </w:pPr>
    </w:p>
    <w:tbl>
      <w:tblPr>
        <w:tblW w:w="11177" w:type="dxa"/>
        <w:tblInd w:w="-34" w:type="dxa"/>
        <w:tblLook w:val="04A0" w:firstRow="1" w:lastRow="0" w:firstColumn="1" w:lastColumn="0" w:noHBand="0" w:noVBand="1"/>
      </w:tblPr>
      <w:tblGrid>
        <w:gridCol w:w="11177"/>
      </w:tblGrid>
      <w:tr w:rsidR="008B5E20" w:rsidRPr="008B5E20" w14:paraId="238C7ACC" w14:textId="77777777" w:rsidTr="00B35A23">
        <w:trPr>
          <w:cantSplit/>
        </w:trPr>
        <w:tc>
          <w:tcPr>
            <w:tcW w:w="11177" w:type="dxa"/>
            <w:shd w:val="clear" w:color="auto" w:fill="auto"/>
          </w:tcPr>
          <w:p w14:paraId="431B46A0" w14:textId="4AEF7F91" w:rsidR="00485A4C" w:rsidRPr="0046479B" w:rsidRDefault="00485A4C" w:rsidP="00B35A23">
            <w:pPr>
              <w:pStyle w:val="11"/>
              <w:numPr>
                <w:ilvl w:val="0"/>
                <w:numId w:val="1"/>
              </w:numPr>
              <w:tabs>
                <w:tab w:val="left" w:pos="1134"/>
              </w:tabs>
              <w:jc w:val="center"/>
              <w:rPr>
                <w:sz w:val="24"/>
                <w:szCs w:val="24"/>
              </w:rPr>
            </w:pPr>
            <w:r w:rsidRPr="008B5E20">
              <w:rPr>
                <w:b/>
                <w:bCs/>
                <w:sz w:val="24"/>
                <w:szCs w:val="24"/>
              </w:rPr>
              <w:t>РЕКВИЗИТЫ СТОРОН</w:t>
            </w:r>
          </w:p>
          <w:p w14:paraId="60FDC141" w14:textId="77777777" w:rsidR="0046479B" w:rsidRPr="008B5E20" w:rsidRDefault="0046479B" w:rsidP="0046479B">
            <w:pPr>
              <w:pStyle w:val="11"/>
              <w:tabs>
                <w:tab w:val="left" w:pos="1134"/>
              </w:tabs>
              <w:ind w:left="360"/>
              <w:rPr>
                <w:sz w:val="24"/>
                <w:szCs w:val="24"/>
              </w:rPr>
            </w:pPr>
          </w:p>
          <w:tbl>
            <w:tblPr>
              <w:tblW w:w="9815" w:type="dxa"/>
              <w:tblLook w:val="04A0" w:firstRow="1" w:lastRow="0" w:firstColumn="1" w:lastColumn="0" w:noHBand="0" w:noVBand="1"/>
            </w:tblPr>
            <w:tblGrid>
              <w:gridCol w:w="4497"/>
              <w:gridCol w:w="784"/>
              <w:gridCol w:w="4534"/>
            </w:tblGrid>
            <w:tr w:rsidR="008B5E20" w:rsidRPr="008B5E20" w14:paraId="2BBFC8CD" w14:textId="77777777" w:rsidTr="00B35A23">
              <w:trPr>
                <w:cantSplit/>
                <w:trHeight w:val="350"/>
              </w:trPr>
              <w:tc>
                <w:tcPr>
                  <w:tcW w:w="4712" w:type="dxa"/>
                  <w:shd w:val="clear" w:color="auto" w:fill="auto"/>
                </w:tcPr>
                <w:p w14:paraId="08714C15" w14:textId="77777777" w:rsidR="00485A4C" w:rsidRPr="0046479B" w:rsidRDefault="00485A4C" w:rsidP="00B35A23">
                  <w:pPr>
                    <w:pStyle w:val="11"/>
                    <w:tabs>
                      <w:tab w:val="left" w:pos="993"/>
                      <w:tab w:val="right" w:pos="1843"/>
                      <w:tab w:val="left" w:pos="1985"/>
                    </w:tabs>
                    <w:jc w:val="center"/>
                    <w:rPr>
                      <w:b/>
                      <w:bCs/>
                      <w:sz w:val="24"/>
                      <w:szCs w:val="24"/>
                    </w:rPr>
                  </w:pPr>
                  <w:r w:rsidRPr="0046479B">
                    <w:rPr>
                      <w:b/>
                      <w:bCs/>
                      <w:sz w:val="24"/>
                      <w:szCs w:val="24"/>
                    </w:rPr>
                    <w:t>Лицензиар:</w:t>
                  </w:r>
                </w:p>
              </w:tc>
              <w:tc>
                <w:tcPr>
                  <w:tcW w:w="351" w:type="dxa"/>
                  <w:shd w:val="clear" w:color="auto" w:fill="auto"/>
                </w:tcPr>
                <w:p w14:paraId="7D8080F1" w14:textId="77777777" w:rsidR="00485A4C" w:rsidRPr="008B5E20" w:rsidRDefault="00485A4C" w:rsidP="00B35A23">
                  <w:pPr>
                    <w:pStyle w:val="11"/>
                    <w:tabs>
                      <w:tab w:val="left" w:pos="993"/>
                      <w:tab w:val="right" w:pos="1843"/>
                      <w:tab w:val="left" w:pos="1985"/>
                    </w:tabs>
                    <w:ind w:firstLine="567"/>
                    <w:rPr>
                      <w:sz w:val="24"/>
                      <w:szCs w:val="24"/>
                    </w:rPr>
                  </w:pPr>
                </w:p>
              </w:tc>
              <w:tc>
                <w:tcPr>
                  <w:tcW w:w="4752" w:type="dxa"/>
                  <w:shd w:val="clear" w:color="auto" w:fill="auto"/>
                </w:tcPr>
                <w:p w14:paraId="45DF8A0C" w14:textId="77777777" w:rsidR="00485A4C" w:rsidRPr="0046479B" w:rsidRDefault="00485A4C" w:rsidP="00B35A23">
                  <w:pPr>
                    <w:pStyle w:val="11"/>
                    <w:tabs>
                      <w:tab w:val="left" w:pos="993"/>
                      <w:tab w:val="right" w:pos="1843"/>
                      <w:tab w:val="left" w:pos="1985"/>
                    </w:tabs>
                    <w:jc w:val="center"/>
                    <w:rPr>
                      <w:b/>
                      <w:bCs/>
                      <w:sz w:val="24"/>
                      <w:szCs w:val="24"/>
                    </w:rPr>
                  </w:pPr>
                  <w:r w:rsidRPr="0046479B">
                    <w:rPr>
                      <w:b/>
                      <w:bCs/>
                      <w:sz w:val="24"/>
                      <w:szCs w:val="24"/>
                    </w:rPr>
                    <w:t>Лицензиат:</w:t>
                  </w:r>
                </w:p>
              </w:tc>
            </w:tr>
            <w:tr w:rsidR="008B5E20" w:rsidRPr="008B5E20" w14:paraId="1E5CE029" w14:textId="77777777" w:rsidTr="00B35A23">
              <w:trPr>
                <w:cantSplit/>
                <w:trHeight w:val="351"/>
              </w:trPr>
              <w:tc>
                <w:tcPr>
                  <w:tcW w:w="4712" w:type="dxa"/>
                  <w:shd w:val="clear" w:color="auto" w:fill="auto"/>
                </w:tcPr>
                <w:p w14:paraId="77871D29" w14:textId="77777777" w:rsidR="00485A4C" w:rsidRPr="008B5E20" w:rsidRDefault="00485A4C" w:rsidP="00B35A23">
                  <w:pPr>
                    <w:pStyle w:val="11"/>
                    <w:tabs>
                      <w:tab w:val="left" w:pos="993"/>
                      <w:tab w:val="right" w:pos="1843"/>
                      <w:tab w:val="left" w:pos="1985"/>
                    </w:tabs>
                    <w:rPr>
                      <w:b/>
                      <w:bCs/>
                      <w:sz w:val="24"/>
                      <w:szCs w:val="24"/>
                    </w:rPr>
                  </w:pPr>
                </w:p>
              </w:tc>
              <w:tc>
                <w:tcPr>
                  <w:tcW w:w="351" w:type="dxa"/>
                  <w:shd w:val="clear" w:color="auto" w:fill="auto"/>
                </w:tcPr>
                <w:p w14:paraId="1576B30C" w14:textId="77777777" w:rsidR="00485A4C" w:rsidRPr="008B5E20" w:rsidRDefault="00485A4C" w:rsidP="00B35A23">
                  <w:pPr>
                    <w:pStyle w:val="11"/>
                    <w:tabs>
                      <w:tab w:val="left" w:pos="993"/>
                      <w:tab w:val="right" w:pos="1843"/>
                      <w:tab w:val="left" w:pos="1985"/>
                    </w:tabs>
                    <w:ind w:firstLine="567"/>
                    <w:rPr>
                      <w:sz w:val="24"/>
                      <w:szCs w:val="24"/>
                    </w:rPr>
                  </w:pPr>
                </w:p>
              </w:tc>
              <w:tc>
                <w:tcPr>
                  <w:tcW w:w="4752" w:type="dxa"/>
                  <w:shd w:val="clear" w:color="auto" w:fill="auto"/>
                </w:tcPr>
                <w:p w14:paraId="05BF7E4C" w14:textId="77777777" w:rsidR="00485A4C" w:rsidRPr="008B5E20" w:rsidRDefault="00485A4C" w:rsidP="00B35A23">
                  <w:pPr>
                    <w:pStyle w:val="11"/>
                    <w:tabs>
                      <w:tab w:val="left" w:pos="993"/>
                      <w:tab w:val="right" w:pos="1618"/>
                      <w:tab w:val="left" w:pos="1760"/>
                      <w:tab w:val="right" w:pos="1843"/>
                      <w:tab w:val="left" w:pos="1985"/>
                    </w:tabs>
                    <w:rPr>
                      <w:b/>
                      <w:bCs/>
                      <w:sz w:val="24"/>
                      <w:szCs w:val="24"/>
                    </w:rPr>
                  </w:pPr>
                </w:p>
              </w:tc>
            </w:tr>
            <w:tr w:rsidR="008B5E20" w:rsidRPr="008B5E20" w14:paraId="7B925550" w14:textId="77777777" w:rsidTr="00B35A23">
              <w:trPr>
                <w:cantSplit/>
                <w:trHeight w:val="3161"/>
              </w:trPr>
              <w:tc>
                <w:tcPr>
                  <w:tcW w:w="4712" w:type="dxa"/>
                  <w:shd w:val="clear" w:color="auto" w:fill="auto"/>
                </w:tcPr>
                <w:p w14:paraId="6C10415C" w14:textId="77777777" w:rsidR="00485A4C" w:rsidRPr="008B5E20" w:rsidRDefault="00485A4C" w:rsidP="00B35A23">
                  <w:pPr>
                    <w:pStyle w:val="11"/>
                    <w:tabs>
                      <w:tab w:val="left" w:pos="993"/>
                      <w:tab w:val="right" w:pos="1843"/>
                      <w:tab w:val="left" w:pos="1985"/>
                    </w:tabs>
                    <w:rPr>
                      <w:sz w:val="24"/>
                      <w:szCs w:val="24"/>
                    </w:rPr>
                  </w:pPr>
                </w:p>
              </w:tc>
              <w:tc>
                <w:tcPr>
                  <w:tcW w:w="351" w:type="dxa"/>
                  <w:shd w:val="clear" w:color="auto" w:fill="auto"/>
                </w:tcPr>
                <w:p w14:paraId="46A856AA" w14:textId="77777777" w:rsidR="00485A4C" w:rsidRPr="008B5E20" w:rsidRDefault="00485A4C" w:rsidP="00B35A23">
                  <w:pPr>
                    <w:pStyle w:val="11"/>
                    <w:tabs>
                      <w:tab w:val="left" w:pos="993"/>
                      <w:tab w:val="right" w:pos="1843"/>
                      <w:tab w:val="left" w:pos="1985"/>
                    </w:tabs>
                    <w:ind w:firstLine="567"/>
                    <w:rPr>
                      <w:sz w:val="24"/>
                      <w:szCs w:val="24"/>
                    </w:rPr>
                  </w:pPr>
                </w:p>
                <w:p w14:paraId="4311957E" w14:textId="77777777" w:rsidR="00485A4C" w:rsidRPr="008B5E20" w:rsidRDefault="00485A4C" w:rsidP="00B35A23">
                  <w:pPr>
                    <w:pStyle w:val="11"/>
                    <w:tabs>
                      <w:tab w:val="left" w:pos="993"/>
                      <w:tab w:val="right" w:pos="1843"/>
                      <w:tab w:val="left" w:pos="1985"/>
                    </w:tabs>
                    <w:ind w:firstLine="567"/>
                    <w:rPr>
                      <w:sz w:val="24"/>
                      <w:szCs w:val="24"/>
                    </w:rPr>
                  </w:pPr>
                </w:p>
              </w:tc>
              <w:tc>
                <w:tcPr>
                  <w:tcW w:w="4752" w:type="dxa"/>
                  <w:shd w:val="clear" w:color="auto" w:fill="auto"/>
                </w:tcPr>
                <w:p w14:paraId="14A0E588" w14:textId="77777777" w:rsidR="00485A4C" w:rsidRPr="008B5E20" w:rsidRDefault="00485A4C" w:rsidP="00B35A23">
                  <w:pPr>
                    <w:pStyle w:val="11"/>
                    <w:rPr>
                      <w:sz w:val="24"/>
                      <w:szCs w:val="24"/>
                    </w:rPr>
                  </w:pPr>
                </w:p>
              </w:tc>
            </w:tr>
          </w:tbl>
          <w:p w14:paraId="37DFE622" w14:textId="77777777" w:rsidR="00485A4C" w:rsidRPr="008B5E20" w:rsidRDefault="00485A4C" w:rsidP="00B35A23">
            <w:pPr>
              <w:pStyle w:val="11"/>
              <w:tabs>
                <w:tab w:val="left" w:pos="993"/>
                <w:tab w:val="right" w:pos="1843"/>
                <w:tab w:val="left" w:pos="1985"/>
              </w:tabs>
              <w:ind w:firstLine="567"/>
              <w:rPr>
                <w:sz w:val="24"/>
                <w:szCs w:val="24"/>
              </w:rPr>
            </w:pPr>
          </w:p>
        </w:tc>
      </w:tr>
    </w:tbl>
    <w:p w14:paraId="5F4FB2C8" w14:textId="77777777" w:rsidR="00485A4C" w:rsidRPr="008B5E20" w:rsidRDefault="00485A4C" w:rsidP="00485A4C">
      <w:pPr>
        <w:pStyle w:val="11"/>
        <w:tabs>
          <w:tab w:val="left" w:pos="993"/>
        </w:tabs>
        <w:rPr>
          <w:sz w:val="24"/>
          <w:szCs w:val="24"/>
        </w:rPr>
      </w:pPr>
    </w:p>
    <w:p w14:paraId="76CE5AD5" w14:textId="77777777" w:rsidR="0086282F" w:rsidRPr="008B5E20" w:rsidRDefault="0086282F"/>
    <w:sectPr w:rsidR="0086282F" w:rsidRPr="008B5E20" w:rsidSect="00752ACF">
      <w:footerReference w:type="default" r:id="rId8"/>
      <w:footerReference w:type="first" r:id="rId9"/>
      <w:pgSz w:w="11906" w:h="16838"/>
      <w:pgMar w:top="851" w:right="851"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CA5C2" w14:textId="77777777" w:rsidR="00DA4BF5" w:rsidRDefault="00DA4BF5">
      <w:r>
        <w:separator/>
      </w:r>
    </w:p>
  </w:endnote>
  <w:endnote w:type="continuationSeparator" w:id="0">
    <w:p w14:paraId="7585CE22" w14:textId="77777777" w:rsidR="00DA4BF5" w:rsidRDefault="00DA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A9839" w14:textId="77777777" w:rsidR="00E30719" w:rsidRDefault="00485A4C">
    <w:pPr>
      <w:pStyle w:val="11"/>
      <w:tabs>
        <w:tab w:val="center" w:pos="5812"/>
        <w:tab w:val="right" w:pos="9524"/>
      </w:tabs>
      <w:jc w:val="right"/>
    </w:pPr>
    <w:r>
      <w:t>Лицензиар_____________</w:t>
    </w:r>
    <w:r>
      <w:tab/>
      <w:t>Лицензиат</w:t>
    </w:r>
    <w:r>
      <w:rPr>
        <w:lang w:val="en-US"/>
      </w:rPr>
      <w:t>______________</w:t>
    </w:r>
    <w:r>
      <w:tab/>
    </w:r>
    <w:r>
      <w:fldChar w:fldCharType="begin"/>
    </w:r>
    <w:r>
      <w:instrText>PAGE   \* MERGEFORMAT</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01B23" w14:textId="77777777" w:rsidR="00E30719" w:rsidRDefault="00485A4C">
    <w:pPr>
      <w:pStyle w:val="11"/>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F4ABA" w14:textId="77777777" w:rsidR="00DA4BF5" w:rsidRDefault="00DA4BF5">
      <w:r>
        <w:separator/>
      </w:r>
    </w:p>
  </w:footnote>
  <w:footnote w:type="continuationSeparator" w:id="0">
    <w:p w14:paraId="147F2137" w14:textId="77777777" w:rsidR="00DA4BF5" w:rsidRDefault="00DA4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40E1"/>
    <w:multiLevelType w:val="multilevel"/>
    <w:tmpl w:val="C0E6C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tabs>
          <w:tab w:val="num" w:pos="1674"/>
        </w:tabs>
        <w:ind w:left="1674" w:hanging="964"/>
      </w:pPr>
      <w:rPr>
        <w:rFonts w:hint="default"/>
      </w:rPr>
    </w:lvl>
    <w:lvl w:ilvl="3">
      <w:start w:val="1"/>
      <w:numFmt w:val="none"/>
      <w:lvlText w:val="—"/>
      <w:lvlJc w:val="left"/>
      <w:pPr>
        <w:ind w:left="1134" w:hanging="397"/>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37"/>
    <w:rsid w:val="0046479B"/>
    <w:rsid w:val="00485A4C"/>
    <w:rsid w:val="00607567"/>
    <w:rsid w:val="007E6937"/>
    <w:rsid w:val="0086282F"/>
    <w:rsid w:val="008B5E20"/>
    <w:rsid w:val="00923FA2"/>
    <w:rsid w:val="009A37E8"/>
    <w:rsid w:val="00A272B6"/>
    <w:rsid w:val="00D17AF2"/>
    <w:rsid w:val="00D5701C"/>
    <w:rsid w:val="00DA4BF5"/>
    <w:rsid w:val="00DA7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51E9"/>
  <w15:chartTrackingRefBased/>
  <w15:docId w15:val="{EEA0A199-1FA4-4065-8FB3-FB33B2B4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A4C"/>
    <w:pPr>
      <w:spacing w:after="0" w:line="240" w:lineRule="auto"/>
    </w:pPr>
    <w:rPr>
      <w:rFonts w:ascii="Times New Roman" w:eastAsia="Times New Roman" w:hAnsi="Times New Roman" w:cs="Times New Roman"/>
      <w:sz w:val="20"/>
      <w:szCs w:val="20"/>
      <w:lang w:eastAsia="ru-RU"/>
    </w:rPr>
  </w:style>
  <w:style w:type="paragraph" w:styleId="1">
    <w:name w:val="heading 1"/>
    <w:link w:val="10"/>
    <w:qFormat/>
    <w:rsid w:val="00485A4C"/>
    <w:pPr>
      <w:keepNext/>
      <w:spacing w:before="240" w:after="120" w:line="240" w:lineRule="auto"/>
      <w:outlineLvl w:val="0"/>
    </w:pPr>
    <w:rPr>
      <w:rFonts w:ascii="Times New Roman" w:eastAsia="Times New Roman" w:hAnsi="Times New Roman" w:cs="Times New Roman"/>
      <w:b/>
      <w:kern w:val="32"/>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5A4C"/>
    <w:rPr>
      <w:rFonts w:ascii="Times New Roman" w:eastAsia="Times New Roman" w:hAnsi="Times New Roman" w:cs="Times New Roman"/>
      <w:b/>
      <w:kern w:val="32"/>
      <w:sz w:val="24"/>
      <w:szCs w:val="20"/>
      <w:lang w:eastAsia="ru-RU"/>
    </w:rPr>
  </w:style>
  <w:style w:type="paragraph" w:customStyle="1" w:styleId="11">
    <w:name w:val="Нет списка1"/>
    <w:uiPriority w:val="99"/>
    <w:semiHidden/>
    <w:rsid w:val="00485A4C"/>
    <w:pPr>
      <w:spacing w:after="0" w:line="240" w:lineRule="auto"/>
    </w:pPr>
    <w:rPr>
      <w:rFonts w:ascii="Times New Roman" w:eastAsia="Times New Roman" w:hAnsi="Times New Roman" w:cs="Times New Roman"/>
      <w:sz w:val="20"/>
      <w:szCs w:val="20"/>
      <w:lang w:eastAsia="ru-RU"/>
    </w:rPr>
  </w:style>
  <w:style w:type="character" w:styleId="a3">
    <w:name w:val="Hyperlink"/>
    <w:uiPriority w:val="99"/>
    <w:unhideWhenUsed/>
    <w:rsid w:val="00485A4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estnik-avto.ru/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1828</Words>
  <Characters>10422</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11</cp:revision>
  <dcterms:created xsi:type="dcterms:W3CDTF">2026-06-15T04:44:00Z</dcterms:created>
  <dcterms:modified xsi:type="dcterms:W3CDTF">2026-06-15T04:59:00Z</dcterms:modified>
</cp:coreProperties>
</file>