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286" w:hanging="0"/>
        <w:jc w:val="center"/>
        <w:rPr>
          <w:color w:val="C9211E"/>
        </w:rPr>
      </w:pPr>
      <w:r>
        <w:rPr>
          <w:rFonts w:ascii="PT Astra Serif" w:hAnsi="PT Astra Serif"/>
          <w:b/>
          <w:color w:val="C9211E"/>
          <w:sz w:val="28"/>
        </w:rPr>
        <w:t>ТЕХНИЧЕСКОЕ ЗАДАНИЕ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286" w:hanging="0"/>
        <w:jc w:val="center"/>
        <w:rPr>
          <w:color w:val="C9211E"/>
        </w:rPr>
      </w:pPr>
      <w:r>
        <w:rPr>
          <w:rFonts w:ascii="PT Astra Serif" w:hAnsi="PT Astra Serif"/>
          <w:b/>
          <w:color w:val="C9211E"/>
          <w:sz w:val="28"/>
        </w:rPr>
        <w:t xml:space="preserve">на поставку запасных частей </w:t>
      </w:r>
      <w:r>
        <w:rPr>
          <w:rFonts w:ascii="PT Astra Serif" w:hAnsi="PT Astra Serif"/>
          <w:b/>
          <w:color w:val="C9211E"/>
          <w:sz w:val="28"/>
          <w:szCs w:val="28"/>
        </w:rPr>
        <w:t>для обеспечения работы вычислительной техники Минюста России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286" w:hanging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286" w:hanging="0"/>
        <w:jc w:val="center"/>
        <w:rPr>
          <w:color w:val="C9211E"/>
        </w:rPr>
      </w:pPr>
      <w:r>
        <w:rPr>
          <w:rFonts w:ascii="PT Astra Serif" w:hAnsi="PT Astra Serif"/>
          <w:color w:val="C9211E"/>
          <w:sz w:val="24"/>
        </w:rPr>
        <w:t xml:space="preserve">ОКПД 2: 28.99.40.110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286" w:hanging="0"/>
        <w:jc w:val="center"/>
        <w:rPr>
          <w:color w:val="C9211E"/>
        </w:rPr>
      </w:pPr>
      <w:r>
        <w:rPr>
          <w:rFonts w:ascii="PT Astra Serif" w:hAnsi="PT Astra Serif"/>
          <w:color w:val="C9211E"/>
          <w:sz w:val="24"/>
        </w:rPr>
        <w:t>КТРУ: 28.99.40.000-00000002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286" w:hanging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Заказчик.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Министерство юстиции Российской Федерации.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</w:rPr>
      </w:pPr>
      <w:r>
        <w:rPr>
          <w:rFonts w:ascii="PT Astra Serif" w:hAnsi="PT Astra Serif"/>
          <w:b/>
          <w:color w:val="C9211E"/>
          <w:sz w:val="28"/>
          <w:szCs w:val="28"/>
        </w:rPr>
        <w:t>2.Объект закупки.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</w:rPr>
      </w:pPr>
      <w:r>
        <w:rPr>
          <w:rFonts w:ascii="PT Astra Serif" w:hAnsi="PT Astra Serif"/>
          <w:color w:val="C9211E"/>
          <w:sz w:val="28"/>
          <w:szCs w:val="28"/>
        </w:rPr>
        <w:t>Поставка запасных частей для обеспечения работы вычислительной техники Минюста России (далее – Товар).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 Объем товара.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пунктом 7.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PT Astra Serif" w:hAnsi="PT Astra Serif"/>
          <w:b/>
          <w:color w:val="C9211E"/>
          <w:sz w:val="28"/>
          <w:szCs w:val="28"/>
        </w:rPr>
        <w:t>4. Срок, условия и место поставки товара.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PT Astra Serif" w:hAnsi="PT Astra Serif"/>
          <w:color w:val="C9211E"/>
          <w:sz w:val="28"/>
          <w:szCs w:val="28"/>
        </w:rPr>
        <w:t>4.1. г. Москва, ул. Житная, д.14, стр.1.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 Поставка товара осуществляется в рабочее время Заказчика: понедельник – четверг: с 09:00 до 18:00 часов, перерыв с 12:00-13:00 часов; пятница: с 09:00 до 16:45 часов, перерыв с 12:00-13:00 часов.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4.3. Предварительно за 1 (один) рабочий день до поставки товара сообщить номер машины, паспортные данные водителя для заказа пропуска на въезд. Дата и время поставки товара обязательно согласовывается с Заказчиком.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PT Astra Serif" w:hAnsi="PT Astra Serif"/>
          <w:color w:val="C9211E"/>
          <w:sz w:val="28"/>
          <w:szCs w:val="28"/>
        </w:rPr>
        <w:t>4.4. Поставщик обязан поставить Заказчику товар в течение 45 (сорока пяти) рабочих дней с даты подписания Контракта.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 Общие требования.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 Поставляемый товар должен быть новым (не бывшим в употреблении, в ремонте, в том числе, который не был восстановлен, у которого не было осуществлена замена составных частей, не был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и восстановлены потребительские свойства).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pacing w:val="-16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5.2. Поставщик гарантирует качество и безопасность поставляемого товара </w:t>
      </w:r>
      <w:r>
        <w:rPr>
          <w:rFonts w:ascii="PT Astra Serif" w:hAnsi="PT Astra Serif"/>
          <w:spacing w:val="-16"/>
          <w:sz w:val="28"/>
          <w:szCs w:val="28"/>
        </w:rPr>
        <w:t>в соответствии с действующими стандартами, утверждёнными на данный вид товара.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5.3. 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 подтверждаться соответствующими документами, оформленными в соответствии с действующим российским законодательством.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5.4. Маркировка должна содержать сведения о товаре: его наименование, параметры, дату производства, номер партии, срок годности, сведения о производителе товара, а также иные обозначения в соответствии с действующими международными стандартами и требованиям действующего законодательства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5.5. Товар должен быть поставлен в упаковке, обеспечивающей защиту товара от повреждения или порчи во время транспортировки и хранения. Упаковка товара комплектующих деталей товара должна отвечать требованиям безопасности жизни, здоровья, и охраны окружающей среды, иметь необходимые маркировки, наклейки, а также давать возможность определить количество содержащегося в ней товара.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5.6. Не допускается поставка товара, имеющего механические и иные виды повреждений и (или) условия хранения, которого были нарушены.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5.7. 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5.8. Номенклатура и количество товара должны соответствовать данному Техническому заданию.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5.9. Доставка товара, все виды погрузо-разгрузочных работ, осуществляются Поставщиком за свой счет собственными силами.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6. Гарантийный срок.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6.1. Поставщик дает гарантию качества в соответствии с требованиями, </w:t>
      </w:r>
      <w:r>
        <w:rPr>
          <w:rFonts w:ascii="PT Astra Serif" w:hAnsi="PT Astra Serif"/>
          <w:spacing w:val="-6"/>
          <w:sz w:val="28"/>
          <w:szCs w:val="28"/>
        </w:rPr>
        <w:t xml:space="preserve">установленными законом, иными правовыми актами, обязательными </w:t>
      </w:r>
      <w:r>
        <w:rPr>
          <w:rFonts w:ascii="PT Astra Serif" w:hAnsi="PT Astra Serif"/>
          <w:spacing w:val="-10"/>
          <w:sz w:val="28"/>
          <w:szCs w:val="28"/>
        </w:rPr>
        <w:t>требованиями государственных стандартов в рамках срока годности, указанного</w:t>
      </w:r>
      <w:r>
        <w:rPr>
          <w:rFonts w:ascii="PT Astra Serif" w:hAnsi="PT Astra Serif"/>
          <w:spacing w:val="-6"/>
          <w:sz w:val="28"/>
          <w:szCs w:val="28"/>
        </w:rPr>
        <w:t xml:space="preserve"> в технической документации к данному товару, но не менее 12 месяцев с момента поставки товара и подписания акта приема–передачи товара.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6.2. В случае существенного нарушения требований к качеству товара Поставщик в течение 2 (двух) рабочих дней, с момента получения уведомления Заказчика, обязан заменить некачественный товар, </w:t>
        <w:br/>
        <w:t>на идентичный товар надлежащего качества.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6.3. Все расходы, связанные с возвратом товара ненадлежащего качества, осуществляются за счет Поставщика.</w:t>
      </w:r>
    </w:p>
    <w:p>
      <w:pPr>
        <w:pStyle w:val="Normal"/>
        <w:spacing w:lineRule="auto" w:line="240" w:before="0" w:after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7. Характеристики и количество поставляемого товара: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7.1. Технические характеристики поставляемого товара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a"/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2552"/>
        <w:gridCol w:w="5103"/>
        <w:gridCol w:w="567"/>
        <w:gridCol w:w="709"/>
      </w:tblGrid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08" w:right="-108" w:hanging="0"/>
              <w:jc w:val="center"/>
              <w:rPr>
                <w:rFonts w:ascii="PT Astra Serif" w:hAnsi="PT Astra Serif"/>
                <w:b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товара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Характеристики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b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товара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08" w:right="-100" w:hanging="0"/>
              <w:jc w:val="center"/>
              <w:rPr>
                <w:rFonts w:ascii="PT Astra Serif" w:hAnsi="PT Astra Serif"/>
                <w:b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Ед. изм.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6" w:right="-108" w:hanging="0"/>
              <w:jc w:val="center"/>
              <w:rPr>
                <w:rFonts w:ascii="PT Astra Serif" w:hAnsi="PT Astra Serif"/>
                <w:b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Кол-во.</w:t>
            </w:r>
          </w:p>
        </w:tc>
      </w:tr>
      <w:tr>
        <w:trPr>
          <w:trHeight w:val="268" w:hRule="atLeast"/>
        </w:trPr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Узел роликов захвата JC93-00405A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/>
                <w:spacing w:val="3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 xml:space="preserve"> Узел роликов захвата бумаги из кассеты (в сборе);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/>
                <w:b/>
                <w:spacing w:val="3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/>
                <w:spacing w:val="3"/>
                <w:szCs w:val="22"/>
                <w:lang w:val="en-US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en-US" w:eastAsia="ru-RU" w:bidi="ar-SA"/>
              </w:rPr>
              <w:t>Samsung EXPRESS M2870/ML2950/SCX4728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/>
                <w:spacing w:val="3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Материал фрикционного слоя: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>износостойкая резина с антистатическими свойствами;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/>
                <w:spacing w:val="3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>Ресурс:</w:t>
            </w: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≥</w:t>
            </w: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 xml:space="preserve"> 50 000 циклов подачи бумаги.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5</w:t>
            </w:r>
          </w:p>
        </w:tc>
      </w:tr>
      <w:tr>
        <w:trPr>
          <w:trHeight w:val="977" w:hRule="atLeast"/>
        </w:trPr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Резинка роликов захвата JC66-02939B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Резинка (шина) роликов захвата бумаги (из кассеты);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szCs w:val="22"/>
                <w:lang w:val="en-US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Совместимость</w:t>
            </w: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en-US" w:eastAsia="ru-RU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Samsung EXPRESS M2870/ML2950/SCX4729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Совместимый узел: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подходит для пластикового каркаса в сборе JC93-00405A</w:t>
            </w:r>
          </w:p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lineRule="auto" w:line="240" w:before="0" w:after="0"/>
              <w:jc w:val="left"/>
              <w:rPr>
                <w:rFonts w:ascii="PT Astra Serif" w:hAnsi="PT Astra Serif"/>
                <w:spacing w:val="3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>Материал:</w:t>
            </w: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 xml:space="preserve"> Высококачественный полиуретан / износостойкая резина с шероховатой текстурой;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/>
                <w:spacing w:val="3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>Внешний диаметр:</w:t>
            </w: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≥</w:t>
            </w: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 xml:space="preserve"> 15 мм;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/>
                <w:spacing w:val="3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>Внутренний диаметр:</w:t>
            </w: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≥</w:t>
            </w: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 xml:space="preserve"> 9,5 мм;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/>
                <w:spacing w:val="3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>Длина:</w:t>
            </w: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≥</w:t>
            </w:r>
            <w:r>
              <w:rPr>
                <w:rFonts w:eastAsia="Times New Roman" w:cs="Times New Roman" w:ascii="PT Astra Serif" w:hAnsi="PT Astra Serif"/>
                <w:color w:val="000000"/>
                <w:spacing w:val="3"/>
                <w:kern w:val="0"/>
                <w:sz w:val="20"/>
                <w:szCs w:val="22"/>
                <w:lang w:val="ru-RU" w:eastAsia="ru-RU" w:bidi="ar-SA"/>
              </w:rPr>
              <w:t xml:space="preserve"> 24 мм.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150</w:t>
            </w:r>
          </w:p>
        </w:tc>
      </w:tr>
      <w:tr>
        <w:trPr>
          <w:trHeight w:val="977" w:hRule="atLeast"/>
        </w:trPr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3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Узел ролика отделения JC90-01107B/JC86-01107B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Ролик отделения кассеты (в сборе);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szCs w:val="22"/>
                <w:lang w:val="en-US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Совместимость</w:t>
            </w: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en-US" w:eastAsia="ru-RU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Samsung EXPRESS M2870/ML2950/SCX4728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Материал фрикционного слоя: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Износостойкая резина с антистатическими свойствами;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Ресурс: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≥ 50 000 циклов подачи бумаги.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4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Ролик захвата JC73-00321A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Ролик захвата бумаги (в сборе) / Резинка ролика захвата;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Samsung ML1660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Материал фрикционного слоя: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Износостойкая резина с антистатическими свойствами;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Ресурс: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≥ 50 000 циклов подачи бумаги.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20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5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Шестерня привода печки JC66-03016A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Шестерня привода тефлонового вала (фьюзера) 29T;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b/>
                <w:szCs w:val="22"/>
                <w:lang w:val="en-US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Совместимость</w:t>
            </w: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en-US" w:eastAsia="ru-RU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Samsung EXPRESS M2870/ML2950/SCX4728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Материал: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Высокопрочный термостойкий пластик;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0"/>
                <w:szCs w:val="22"/>
                <w:lang w:val="ru-RU" w:eastAsia="ru-RU" w:bidi="ar-SA"/>
              </w:rPr>
              <w:t>Ресурс: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≥ 80 000 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страниц.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20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6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Шестерня вала нагрева JC66-02992A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Z1qcye"/>
              <w:widowControl/>
              <w:numPr>
                <w:ilvl w:val="0"/>
                <w:numId w:val="2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Тип изделия: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Шестерня тефлонового вала (вала нагрева) печки 33T;</w:t>
            </w:r>
          </w:p>
          <w:p>
            <w:pPr>
              <w:pStyle w:val="Z1qcye"/>
              <w:widowControl/>
              <w:numPr>
                <w:ilvl w:val="0"/>
                <w:numId w:val="2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Samsung EXPRESS M2870/ML2950/SCX4728</w:t>
            </w:r>
          </w:p>
          <w:p>
            <w:pPr>
              <w:pStyle w:val="Z1qcye"/>
              <w:widowControl/>
              <w:numPr>
                <w:ilvl w:val="0"/>
                <w:numId w:val="2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Материал: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Сверхтермостойкий жесткий пластик с низким коэффициентом трения;</w:t>
            </w:r>
          </w:p>
          <w:p>
            <w:pPr>
              <w:pStyle w:val="Z1qcye"/>
              <w:widowControl/>
              <w:numPr>
                <w:ilvl w:val="0"/>
                <w:numId w:val="2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Ресурс: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≥ 80 000 страниц.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20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7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Бушинг задний тефлонового вала JC61-00887A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Z1qcye"/>
              <w:widowControl/>
              <w:numPr>
                <w:ilvl w:val="0"/>
                <w:numId w:val="3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Тип изделия: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Бушинг (подшипник скольжения) тефлонового вала печки, правый;</w:t>
            </w:r>
          </w:p>
          <w:p>
            <w:pPr>
              <w:pStyle w:val="Z1qcye"/>
              <w:widowControl/>
              <w:numPr>
                <w:ilvl w:val="0"/>
                <w:numId w:val="3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Z1qcye"/>
              <w:widowControl/>
              <w:numPr>
                <w:ilvl w:val="0"/>
                <w:numId w:val="3"/>
              </w:numPr>
              <w:spacing w:beforeAutospacing="0" w:before="0" w:afterAutospacing="0" w:after="0"/>
              <w:ind w:left="0" w:right="0" w:hanging="360"/>
              <w:jc w:val="left"/>
              <w:rPr>
                <w:rStyle w:val="Strong"/>
                <w:rFonts w:ascii="PT Astra Serif" w:hAnsi="PT Astra Serif" w:cs="Arial"/>
                <w:b w:val="false"/>
                <w:bCs w:val="false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Samsung EXPRESS M2870/ML2950/SCX4728</w:t>
            </w:r>
          </w:p>
          <w:p>
            <w:pPr>
              <w:pStyle w:val="Z1qcye"/>
              <w:widowControl/>
              <w:numPr>
                <w:ilvl w:val="0"/>
                <w:numId w:val="3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Материал: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Высокотемпературный PPS-пластик (полифениленсульфид) с добавлением графита для снижения трения;</w:t>
            </w:r>
          </w:p>
          <w:p>
            <w:pPr>
              <w:pStyle w:val="Z1qcye"/>
              <w:widowControl/>
              <w:numPr>
                <w:ilvl w:val="0"/>
                <w:numId w:val="3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Ресурс: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≥ 50 000 страниц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20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8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Бушинг передний тефлонового вала JC61-00888A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Бушинг (подшипник скольжения) тефлонового вала печки, левый;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Samsung EXPRESS M2870/ML2950/SCX4728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Материал: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Высокотемпературный PPS-пластик (полифениленсульфид) с добавлением графита для снижения трения;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Ресурс: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≥ 50 000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20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9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Тефлоновый вал JC66-02993A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Z1qcye"/>
              <w:widowControl/>
              <w:numPr>
                <w:ilvl w:val="0"/>
                <w:numId w:val="5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Тип изделия: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Тефлоновый вал (нагревательный вал фьюзера);</w:t>
            </w:r>
          </w:p>
          <w:p>
            <w:pPr>
              <w:pStyle w:val="Z1qcye"/>
              <w:widowControl/>
              <w:numPr>
                <w:ilvl w:val="0"/>
                <w:numId w:val="5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Samsung EXPRESS M2870/ML2950/SCX4728</w:t>
            </w:r>
          </w:p>
          <w:p>
            <w:pPr>
              <w:pStyle w:val="Z1qcye"/>
              <w:widowControl/>
              <w:numPr>
                <w:ilvl w:val="0"/>
                <w:numId w:val="5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Материал фрикционного слоя: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Конструкционный алюминий с антипригарным термостойким тефлоновым покрытием (PTFE);</w:t>
            </w:r>
          </w:p>
          <w:p>
            <w:pPr>
              <w:pStyle w:val="Z1qcye"/>
              <w:widowControl/>
              <w:numPr>
                <w:ilvl w:val="0"/>
                <w:numId w:val="5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Ресурс: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≥ 50 000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10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Прижимной вал JC66-00600B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T286pc"/>
                <w:rFonts w:ascii="PT Astra Serif" w:hAnsi="PT Astra Serif" w:cs="Arial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Прижимной вал (нижний резиновый вал фьюзера);</w:t>
            </w:r>
          </w:p>
          <w:p>
            <w:pPr>
              <w:pStyle w:val="Z1qcye"/>
              <w:widowControl/>
              <w:numPr>
                <w:ilvl w:val="0"/>
                <w:numId w:val="5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Samsung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EXPRESS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M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2870/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ML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2950/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SCX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4728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Материал: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Высококачественная гладкая термостойкая резина (губчатая основа) со специальным защитным покрытием;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Ресурс: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≥ 50 000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11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Бушинг прижимного вала JC61-04366A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Бушинг (подшипник скольжения) прижимного (резинового) вала печки, комплект (левый/правый);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color w:val="auto"/>
                <w:szCs w:val="22"/>
                <w:lang w:val="en-US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Совместимость</w:t>
            </w: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en-US" w:eastAsia="ru-RU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Samsung EXPRESS M2870/ML2950/SCX4728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Материал: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Высокотемпературный износостойкий пластик с добавлением графитовой смазки;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Ресурс: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≥ 50 000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40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12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Узел термозакрепления в сборе JC91-01034B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Узел термозакрепления в сборе (термоблок / печка) 220V;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rong"/>
                <w:rFonts w:ascii="PT Astra Serif" w:hAnsi="PT Astra Serif" w:cs="Arial"/>
                <w:szCs w:val="22"/>
                <w:lang w:val="en-US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Совместимость</w:t>
            </w: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Samsung EXPRESS M2870/ML2950/SCX4728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Ресурс: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≥ 100 000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13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Узел термозакрепления в сборе JC91-00991B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Узел термозакрепления в сборе (термоблок / печка) 220V;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Strong"/>
                <w:rFonts w:ascii="PT Astra Serif" w:hAnsi="PT Astra Serif" w:cs="Arial"/>
                <w:b w:val="false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b w:val="false"/>
                <w:color w:val="000000"/>
                <w:kern w:val="0"/>
                <w:sz w:val="20"/>
                <w:szCs w:val="22"/>
                <w:lang w:val="ru-RU" w:eastAsia="ru-RU" w:bidi="ar-SA"/>
              </w:rPr>
              <w:t>Samsung ML1660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Ресурс: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≥ 30 000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3</w:t>
            </w:r>
          </w:p>
        </w:tc>
      </w:tr>
      <w:tr>
        <w:trPr>
          <w:trHeight w:val="557" w:hRule="atLeast"/>
        </w:trPr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14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Ограничитель кассеты задний JC90-01105C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Задний упор (направляющая-ограничитель) бумаги в кассете / лотке;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Samsung EXPRESS M2870/ML2950/SCX4728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Материал: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Ударопрочный ABS-пластик;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15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Шарнир автоподатчика JC97-03191A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Z1qcye"/>
              <w:widowControl/>
              <w:numPr>
                <w:ilvl w:val="0"/>
                <w:numId w:val="7"/>
              </w:numPr>
              <w:spacing w:beforeAutospacing="0" w:before="0" w:afterAutospacing="0" w:after="0"/>
              <w:ind w:left="0" w:right="0" w:hanging="360"/>
              <w:jc w:val="left"/>
              <w:rPr>
                <w:rStyle w:val="T286pc"/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Тип изделия: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Шарнир (петля / кронштейн) автоподатчика бумаги (ADF), левый;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 w:cs="Arial"/>
                <w:b/>
                <w:color w:val="auto"/>
                <w:szCs w:val="22"/>
                <w:lang w:val="en-US"/>
              </w:rPr>
            </w:pPr>
            <w:r>
              <w:rPr>
                <w:rFonts w:eastAsia="Times New Roman" w:cs="Arial" w:ascii="PT Astra Serif" w:hAnsi="PT Astra Serif"/>
                <w:b/>
                <w:color w:val="auto"/>
                <w:kern w:val="0"/>
                <w:sz w:val="20"/>
                <w:szCs w:val="22"/>
                <w:lang w:val="ru-RU" w:eastAsia="ru-RU" w:bidi="ar-SA"/>
              </w:rPr>
              <w:t>Совместимость</w:t>
            </w:r>
            <w:r>
              <w:rPr>
                <w:rFonts w:eastAsia="Times New Roman" w:cs="Arial" w:ascii="PT Astra Serif" w:hAnsi="PT Astra Serif"/>
                <w:b/>
                <w:color w:val="auto"/>
                <w:kern w:val="0"/>
                <w:sz w:val="20"/>
                <w:szCs w:val="22"/>
                <w:lang w:val="en-US" w:eastAsia="ru-RU" w:bidi="ar-SA"/>
              </w:rPr>
              <w:t>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Style w:val="Strong"/>
                <w:rFonts w:ascii="PT Astra Serif" w:hAnsi="PT Astra Serif" w:cs="Arial"/>
                <w:b w:val="false"/>
                <w:bCs w:val="false"/>
                <w:szCs w:val="22"/>
                <w:lang w:val="en-US"/>
              </w:rPr>
            </w:pPr>
            <w:r>
              <w:rPr>
                <w:rStyle w:val="Strong"/>
                <w:rFonts w:eastAsia="Times New Roman" w:cs="Arial" w:ascii="PT Astra Serif" w:hAnsi="PT Astra Serif"/>
                <w:b w:val="false"/>
                <w:color w:val="000000"/>
                <w:kern w:val="0"/>
                <w:sz w:val="20"/>
                <w:szCs w:val="22"/>
                <w:lang w:val="en-US" w:eastAsia="ru-RU" w:bidi="ar-SA"/>
              </w:rPr>
              <w:t>Samsung EXPRESS M2870/ML2950/SCX4729</w:t>
            </w:r>
          </w:p>
          <w:p>
            <w:pPr>
              <w:pStyle w:val="Z1qcye"/>
              <w:widowControl/>
              <w:numPr>
                <w:ilvl w:val="0"/>
                <w:numId w:val="7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Материал: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Износостойкий ABS-пластик со стальной внутренней пружиной и металлическим сердечником;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16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Плата форматера JC92-02613A 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Z1qcye"/>
              <w:widowControl/>
              <w:numPr>
                <w:ilvl w:val="0"/>
                <w:numId w:val="8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Тип изделия: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Главная плата управления (форматер / системная плата);</w:t>
            </w:r>
          </w:p>
          <w:p>
            <w:pPr>
              <w:pStyle w:val="Z1qcye"/>
              <w:widowControl/>
              <w:numPr>
                <w:ilvl w:val="0"/>
                <w:numId w:val="8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Z1qcye"/>
              <w:widowControl/>
              <w:numPr>
                <w:ilvl w:val="0"/>
                <w:numId w:val="8"/>
              </w:numPr>
              <w:spacing w:beforeAutospacing="0" w:before="0" w:afterAutospacing="0" w:after="0"/>
              <w:ind w:left="0" w:right="0" w:hanging="360"/>
              <w:jc w:val="left"/>
              <w:rPr>
                <w:rStyle w:val="Strong"/>
                <w:rFonts w:ascii="PT Astra Serif" w:hAnsi="PT Astra Serif" w:cs="Arial"/>
                <w:b w:val="false"/>
                <w:bCs w:val="false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b w:val="false"/>
                <w:kern w:val="0"/>
                <w:sz w:val="22"/>
                <w:szCs w:val="22"/>
                <w:lang w:val="ru-RU" w:eastAsia="ru-RU" w:bidi="ar-SA"/>
              </w:rPr>
              <w:t>Samsung EXPRESS M2870FW/M2870FD</w:t>
            </w:r>
          </w:p>
          <w:p>
            <w:pPr>
              <w:pStyle w:val="Z1qcye"/>
              <w:widowControl/>
              <w:numPr>
                <w:ilvl w:val="0"/>
                <w:numId w:val="8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Назначение: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Обработка заданий печати, управление интерфейсами подключения (USB, Network/Ethernet, Fax), координация работы всех узлов принтера;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17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Ролик подачи бумаги RL1-0266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Z1qcye"/>
              <w:widowControl/>
              <w:numPr>
                <w:ilvl w:val="0"/>
                <w:numId w:val="9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Тип изделия: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Ролик захвата / подачи бумаги из основного лотка (в сборе);</w:t>
            </w:r>
          </w:p>
          <w:p>
            <w:pPr>
              <w:pStyle w:val="Z1qcye"/>
              <w:widowControl/>
              <w:numPr>
                <w:ilvl w:val="0"/>
                <w:numId w:val="9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Z1qcye"/>
              <w:widowControl/>
              <w:numPr>
                <w:ilvl w:val="0"/>
                <w:numId w:val="9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eastAsia="Calibri" w:cs="Calibri" w:ascii="PT Astra Serif" w:hAnsi="PT Astra Serif"/>
                <w:kern w:val="0"/>
                <w:sz w:val="22"/>
                <w:szCs w:val="22"/>
                <w:lang w:val="ru-RU" w:eastAsia="ru-RU" w:bidi="ar-SA"/>
              </w:rPr>
              <w:t>HP LJ 1015/ 1018/ 1020/ 1022/ 3015</w:t>
            </w:r>
          </w:p>
          <w:p>
            <w:pPr>
              <w:pStyle w:val="Z1qcye"/>
              <w:widowControl/>
              <w:numPr>
                <w:ilvl w:val="0"/>
                <w:numId w:val="9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Материал фрикционного слоя: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Износостойкая мягкая резина со специальной ребристой/шероховатой текстурой на пластиковом основании;</w:t>
            </w:r>
          </w:p>
          <w:p>
            <w:pPr>
              <w:pStyle w:val="Z1qcye"/>
              <w:widowControl/>
              <w:numPr>
                <w:ilvl w:val="0"/>
                <w:numId w:val="9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Ресурс: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≥ 30 000 страниц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99" w:hanging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10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  <w:lang w:val="en-US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en-US" w:eastAsia="ru-RU" w:bidi="ar-SA"/>
              </w:rPr>
              <w:t>18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Плата форматера CB409-60001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Z1qcye"/>
              <w:widowControl/>
              <w:numPr>
                <w:ilvl w:val="0"/>
                <w:numId w:val="10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Тип изделия: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Главная плата управления (форматер / системная плата), не сетевая;</w:t>
            </w:r>
          </w:p>
          <w:p>
            <w:pPr>
              <w:pStyle w:val="Z1qcye"/>
              <w:widowControl/>
              <w:numPr>
                <w:ilvl w:val="0"/>
                <w:numId w:val="10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Calibri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HP LJ 1018/ 1020</w:t>
            </w:r>
          </w:p>
          <w:p>
            <w:pPr>
              <w:pStyle w:val="Z1qcye"/>
              <w:widowControl/>
              <w:numPr>
                <w:ilvl w:val="0"/>
                <w:numId w:val="10"/>
              </w:numPr>
              <w:spacing w:beforeAutospacing="0" w:before="0" w:afterAutospacing="0" w:after="0"/>
              <w:ind w:left="0" w:right="0" w:hanging="360"/>
              <w:jc w:val="left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>Назначение:</w:t>
            </w:r>
            <w:r>
              <w:rPr>
                <w:rStyle w:val="T286pc"/>
                <w:rFonts w:eastAsia="Times New Roman" w:cs="Arial" w:ascii="PT Astra Serif" w:hAnsi="PT Astra Serif"/>
                <w:kern w:val="0"/>
                <w:sz w:val="22"/>
                <w:szCs w:val="22"/>
                <w:lang w:val="ru-RU" w:eastAsia="ru-RU" w:bidi="ar-SA"/>
              </w:rPr>
              <w:t xml:space="preserve"> Прием данных с компьютера через встроенный интерфейс USB, обработка и формирование заданий печати, синхронизация работы узлов лазерного принтера;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99" w:hanging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19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Крышка для Kyocera 302NH04420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Верхняя крышка-направляющая узла регистрации бумаги (внутренняя);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Kyocera</w:t>
            </w:r>
          </w:p>
          <w:p>
            <w:pPr>
              <w:pStyle w:val="Normal"/>
              <w:widowControl/>
              <w:numPr>
                <w:ilvl w:val="0"/>
                <w:numId w:val="11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  <w:lang w:val="en-US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en-US" w:eastAsia="ru-RU" w:bidi="ar-SA"/>
              </w:rPr>
              <w:t>ECOSYS: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en-US" w:eastAsia="ru-RU" w:bidi="ar-SA"/>
              </w:rPr>
              <w:t xml:space="preserve"> M2040dn / M2135dn / M2540dn / M2635dn / M2640idw / M2735dw</w:t>
            </w:r>
          </w:p>
          <w:p>
            <w:pPr>
              <w:pStyle w:val="Normal"/>
              <w:widowControl/>
              <w:numPr>
                <w:ilvl w:val="0"/>
                <w:numId w:val="11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  <w:lang w:val="en-US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en-US" w:eastAsia="ru-RU" w:bidi="ar-SA"/>
              </w:rPr>
              <w:t>FS: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en-US" w:eastAsia="ru-RU" w:bidi="ar-SA"/>
              </w:rPr>
              <w:t xml:space="preserve"> 2100D / 2100DN / 4100DN / 4200DN / 4300DN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Назначение: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Обеспечение правильного угла подачи и точного выравнивания листа перед переносом изображения, предотвращение замятий в блоке регистрации;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5" w:right="0" w:hanging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20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Планка дуплекса для Kyocera302K928213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2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Планка-направляющая блока дуплекса (двусторонней печати);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Kyocera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Arial" w:ascii="PT Astra Serif" w:hAnsi="PT Astra Serif"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TASKalfa 8002i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Назначение: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Направление движения листа бумаги и обеспечение его точного позиционирования при прохождении через тракт двусторонней печати (дуплекс);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5" w:right="0" w:hanging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21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Скрепки для финишера Kyocera SH-12 1903NB0UN0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3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Скрепки для степлера финишера (картридж со скрепками / Staple Cartridge);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Arial"/>
                <w:bCs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Kyocera TASKalfa 8002i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Комплектация: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3 картриджа в одной упаковке (коробке);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spacing w:lineRule="auto" w:line="240" w:before="0" w:after="0"/>
              <w:ind w:left="0" w:right="0" w:hanging="360"/>
              <w:jc w:val="left"/>
              <w:rPr>
                <w:rFonts w:ascii="PT Astra Serif" w:hAnsi="PT Astra Serif" w:cs="Arial"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Ресурс: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 xml:space="preserve"> 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≥ </w:t>
            </w:r>
            <w:r>
              <w:rPr>
                <w:rFonts w:eastAsia="Times New Roman" w:cs="Arial" w:ascii="PT Astra Serif" w:hAnsi="PT Astra Serif"/>
                <w:color w:val="auto"/>
                <w:kern w:val="0"/>
                <w:sz w:val="20"/>
                <w:szCs w:val="22"/>
                <w:lang w:val="ru-RU" w:eastAsia="ru-RU" w:bidi="ar-SA"/>
              </w:rPr>
              <w:t>15 000 штук в упаковке (не менее 5 000 скрепок в каждом картридже).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5" w:right="0" w:hanging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22</w:t>
            </w:r>
          </w:p>
        </w:tc>
        <w:tc>
          <w:tcPr>
            <w:tcW w:w="25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Сервисный комплект MK-6725G </w:t>
            </w:r>
            <w:r>
              <w:rPr>
                <w:rFonts w:eastAsia="Times New Roman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1702NJ8NL2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</w:p>
        </w:tc>
        <w:tc>
          <w:tcPr>
            <w:tcW w:w="510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Тип изделия: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Сервисный комплект (комплект обслуживания / Maintenance Kit)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Совместимость: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Arial"/>
                <w:bCs/>
                <w:color w:val="auto"/>
                <w:szCs w:val="22"/>
              </w:rPr>
            </w:pPr>
            <w:r>
              <w:rPr>
                <w:rFonts w:eastAsia="Times New Roman" w:cs="Arial" w:ascii="PT Astra Serif" w:hAnsi="PT Astra Serif"/>
                <w:bCs/>
                <w:color w:val="auto"/>
                <w:kern w:val="0"/>
                <w:sz w:val="20"/>
                <w:szCs w:val="22"/>
                <w:lang w:val="ru-RU" w:eastAsia="ru-RU" w:bidi="ar-SA"/>
              </w:rPr>
              <w:t>Kyocera TASKalfa 8002i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Состав комплекта: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Блок фотобарабана в сборе DK-6720 (302NJ93021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) — 1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Блок проявления (проявки) в сборе DV-6720 (302NJ93010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) — 1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Термоблок (печка) в сборе FK-6722 (302NJ93060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) — 1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Блок ленты переноса изображения PARTS BELT ASSY SP (302NJ94211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) — 1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Бункер-уловитель тонерной пыли PARTS DISPOSAL UNIT (302NH94081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) — 1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Ролики захвата и подачи бумаги PULLEY FEED (302N406030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) — 8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Ролики отделения (тормозные) PULLEY RETARD (302N406040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) — 4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Боковые воздушные фильтры FILTER LEFT SIDE (302LC33370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) — 2 шт.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Верхние воздушные фильтры FILTER TOP (302WA33010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или эквивалент, соответствующий характеристикам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) — 3 шт;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Cs w:val="22"/>
              </w:rPr>
            </w:pPr>
            <w:r>
              <w:rPr>
                <w:rStyle w:val="Strong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Ресурс:</w:t>
            </w:r>
            <w:r>
              <w:rPr>
                <w:rStyle w:val="T286pc"/>
                <w:rFonts w:eastAsia="Times New Roman" w:cs="Arial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 xml:space="preserve"> ≥ 600 000 страниц формата А4</w:t>
            </w:r>
          </w:p>
        </w:tc>
        <w:tc>
          <w:tcPr>
            <w:tcW w:w="56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Cs w:val="22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шт.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5" w:right="0" w:hanging="0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eastAsia="Calibri" w:cs="Calibri" w:ascii="PT Astra Serif" w:hAnsi="PT Astra Serif"/>
                <w:color w:val="000000"/>
                <w:kern w:val="0"/>
                <w:sz w:val="20"/>
                <w:szCs w:val="22"/>
                <w:lang w:val="ru-RU" w:eastAsia="ru-RU" w:bidi="ar-SA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sectPr>
      <w:headerReference w:type="default" r:id="rId2"/>
      <w:type w:val="nextPage"/>
      <w:pgSz w:w="11906" w:h="16838"/>
      <w:pgMar w:left="1418" w:right="1418" w:gutter="0" w:header="708" w:top="1418" w:footer="0" w:bottom="170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0</w:t>
    </w:r>
    <w:r>
      <w:rPr>
        <w:sz w:val="22"/>
      </w:rPr>
      <w:fldChar w:fldCharType="end"/>
    </w:r>
  </w:p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1"/>
    <w:qFormat/>
    <w:rsid w:val="00ae228f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4"/>
    <w:uiPriority w:val="9"/>
    <w:qFormat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basedOn w:val="19"/>
    <w:next w:val="Style20"/>
    <w:link w:val="23"/>
    <w:uiPriority w:val="9"/>
    <w:qFormat/>
    <w:p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next w:val="Normal"/>
    <w:link w:val="31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12"/>
    <w:qFormat/>
    <w:rPr>
      <w:sz w:val="22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9" w:customStyle="1">
    <w:name w:val="Основной текст Знак"/>
    <w:basedOn w:val="11"/>
    <w:qFormat/>
    <w:rPr>
      <w:sz w:val="22"/>
    </w:rPr>
  </w:style>
  <w:style w:type="character" w:styleId="Typographysnzga46" w:customStyle="1">
    <w:name w:val="_typography_snzga_46"/>
    <w:basedOn w:val="12"/>
    <w:link w:val="Typographysnzga462"/>
    <w:qFormat/>
    <w:rPr/>
  </w:style>
  <w:style w:type="character" w:styleId="Style10" w:customStyle="1">
    <w:name w:val="Верхний и нижний колонтитулы"/>
    <w:basedOn w:val="11"/>
    <w:link w:val="Style24"/>
    <w:qFormat/>
    <w:rPr>
      <w:sz w:val="22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Style11" w:customStyle="1">
    <w:name w:val="Список Знак"/>
    <w:basedOn w:val="Style9"/>
    <w:qFormat/>
    <w:rPr>
      <w:rFonts w:ascii="PT Astra Serif" w:hAnsi="PT Astra Serif"/>
      <w:sz w:val="22"/>
    </w:rPr>
  </w:style>
  <w:style w:type="character" w:styleId="12" w:customStyle="1">
    <w:name w:val="Основной шрифт абзаца1"/>
    <w:link w:val="18"/>
    <w:qFormat/>
    <w:rPr/>
  </w:style>
  <w:style w:type="character" w:styleId="Style12" w:customStyle="1">
    <w:name w:val="Указатель Знак"/>
    <w:basedOn w:val="11"/>
    <w:link w:val="Indexheading"/>
    <w:qFormat/>
    <w:rPr>
      <w:rFonts w:ascii="PT Astra Serif" w:hAnsi="PT Astra Serif"/>
      <w:sz w:val="22"/>
    </w:rPr>
  </w:style>
  <w:style w:type="character" w:styleId="22" w:customStyle="1">
    <w:name w:val="Заголовок2"/>
    <w:basedOn w:val="11"/>
    <w:link w:val="19"/>
    <w:qFormat/>
    <w:rPr>
      <w:rFonts w:ascii="PT Astra Serif" w:hAnsi="PT Astra Serif"/>
      <w:sz w:val="28"/>
    </w:rPr>
  </w:style>
  <w:style w:type="character" w:styleId="-" w:customStyle="1">
    <w:name w:val="Hyperlink"/>
    <w:link w:val="110"/>
    <w:rPr>
      <w:color w:val="0000FF"/>
      <w:u w:val="single"/>
    </w:rPr>
  </w:style>
  <w:style w:type="character" w:styleId="Style13" w:customStyle="1">
    <w:name w:val="Название объекта Знак"/>
    <w:basedOn w:val="11"/>
    <w:link w:val="Caption"/>
    <w:qFormat/>
    <w:rPr>
      <w:rFonts w:ascii="PT Astra Serif" w:hAnsi="PT Astra Serif"/>
      <w:i/>
      <w:sz w:val="24"/>
    </w:rPr>
  </w:style>
  <w:style w:type="character" w:styleId="Content" w:customStyle="1">
    <w:name w:val="content"/>
    <w:basedOn w:val="12"/>
    <w:link w:val="Content1"/>
    <w:qFormat/>
    <w:rPr/>
  </w:style>
  <w:style w:type="character" w:styleId="Style14" w:customStyle="1">
    <w:name w:val="Абзац списка Знак"/>
    <w:basedOn w:val="11"/>
    <w:link w:val="ListParagraph"/>
    <w:qFormat/>
    <w:rPr>
      <w:sz w:val="22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13" w:customStyle="1">
    <w:name w:val="Верхний колонтитул Знак1"/>
    <w:basedOn w:val="11"/>
    <w:qFormat/>
    <w:rPr>
      <w:rFonts w:ascii="Times New Roman" w:hAnsi="Times New Roman"/>
      <w:sz w:val="24"/>
    </w:rPr>
  </w:style>
  <w:style w:type="character" w:styleId="Typographysnzga461" w:customStyle="1">
    <w:name w:val="_typography_snzga_461"/>
    <w:basedOn w:val="11"/>
    <w:link w:val="Typographysnzga4611"/>
    <w:qFormat/>
    <w:rPr>
      <w:rFonts w:ascii="Times New Roman" w:hAnsi="Times New Roman"/>
      <w:sz w:val="24"/>
    </w:rPr>
  </w:style>
  <w:style w:type="character" w:styleId="Ds-text" w:customStyle="1">
    <w:name w:val="ds-text"/>
    <w:basedOn w:val="12"/>
    <w:link w:val="Ds-text1"/>
    <w:qFormat/>
    <w:rPr/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4" w:customStyle="1">
    <w:name w:val="Заголовок 1 Знак"/>
    <w:qFormat/>
    <w:rPr>
      <w:rFonts w:ascii="XO Thames" w:hAnsi="XO Thames"/>
      <w:b/>
      <w:sz w:val="32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5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16" w:customStyle="1">
    <w:name w:val="Текст выноски Знак1"/>
    <w:basedOn w:val="11"/>
    <w:link w:val="BalloonText"/>
    <w:qFormat/>
    <w:rPr>
      <w:rFonts w:ascii="Tahoma" w:hAnsi="Tahoma"/>
      <w:sz w:val="16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Style15" w:customStyle="1">
    <w:name w:val="Верхний колонтитул Знак"/>
    <w:basedOn w:val="12"/>
    <w:link w:val="Style27"/>
    <w:qFormat/>
    <w:rPr>
      <w:rFonts w:ascii="Times New Roman" w:hAnsi="Times New Roman"/>
      <w:sz w:val="24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17" w:customStyle="1">
    <w:name w:val="Гиперссылка1"/>
    <w:basedOn w:val="12"/>
    <w:link w:val="110"/>
    <w:qFormat/>
    <w:rPr>
      <w:color w:val="0000FF"/>
      <w:u w:val="single"/>
    </w:rPr>
  </w:style>
  <w:style w:type="character" w:styleId="Style16" w:customStyle="1">
    <w:name w:val="Текст выноски Знак"/>
    <w:basedOn w:val="12"/>
    <w:link w:val="Style28"/>
    <w:qFormat/>
    <w:rPr>
      <w:rFonts w:ascii="Tahoma" w:hAnsi="Tahoma"/>
      <w:sz w:val="16"/>
    </w:rPr>
  </w:style>
  <w:style w:type="character" w:styleId="Style17" w:customStyle="1">
    <w:name w:val="Подзаголовок Знак"/>
    <w:qFormat/>
    <w:rPr>
      <w:rFonts w:ascii="XO Thames" w:hAnsi="XO Thames"/>
      <w:i/>
      <w:sz w:val="24"/>
    </w:rPr>
  </w:style>
  <w:style w:type="character" w:styleId="Style18" w:customStyle="1">
    <w:name w:val="Название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3" w:customStyle="1">
    <w:name w:val="Заголовок 2 Знак"/>
    <w:basedOn w:val="22"/>
    <w:qFormat/>
    <w:rPr>
      <w:rFonts w:ascii="Liberation Serif" w:hAnsi="Liberation Serif"/>
      <w:b/>
      <w:sz w:val="36"/>
    </w:rPr>
  </w:style>
  <w:style w:type="character" w:styleId="T286pc" w:customStyle="1">
    <w:name w:val="t286pc"/>
    <w:basedOn w:val="DefaultParagraphFont"/>
    <w:qFormat/>
    <w:rsid w:val="008a1408"/>
    <w:rPr/>
  </w:style>
  <w:style w:type="character" w:styleId="Strong">
    <w:name w:val="Strong"/>
    <w:basedOn w:val="DefaultParagraphFont"/>
    <w:uiPriority w:val="22"/>
    <w:qFormat/>
    <w:rsid w:val="008a1408"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link w:val="Style9"/>
    <w:pPr>
      <w:spacing w:before="0" w:after="140"/>
    </w:pPr>
    <w:rPr/>
  </w:style>
  <w:style w:type="paragraph" w:styleId="Style21">
    <w:name w:val="List"/>
    <w:basedOn w:val="Style20"/>
    <w:link w:val="Style11"/>
    <w:pPr/>
    <w:rPr>
      <w:rFonts w:ascii="PT Astra Serif" w:hAnsi="PT Astra Serif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4">
    <w:name w:val="TOC 2"/>
    <w:next w:val="Normal"/>
    <w:link w:val="21"/>
    <w:uiPriority w:val="39"/>
    <w:pPr>
      <w:widowControl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ypographysnzga462" w:customStyle="1">
    <w:name w:val="_typography_snzga_46"/>
    <w:basedOn w:val="18"/>
    <w:link w:val="Typographysnzga46"/>
    <w:qFormat/>
    <w:pPr/>
    <w:rPr/>
  </w:style>
  <w:style w:type="paragraph" w:styleId="Style24" w:customStyle="1">
    <w:name w:val="Верхний и нижний колонтитулы"/>
    <w:basedOn w:val="Normal"/>
    <w:link w:val="Style10"/>
    <w:qFormat/>
    <w:pPr/>
    <w:rPr/>
  </w:style>
  <w:style w:type="paragraph" w:styleId="Endnote1" w:customStyle="1">
    <w:name w:val="Endnote"/>
    <w:link w:val="End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8" w:customStyle="1">
    <w:name w:val="Основной шрифт абзаца1"/>
    <w:link w:val="12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Normal"/>
    <w:link w:val="Style12"/>
    <w:qFormat/>
    <w:pPr/>
    <w:rPr>
      <w:rFonts w:ascii="PT Astra Serif" w:hAnsi="PT Astra Serif"/>
    </w:rPr>
  </w:style>
  <w:style w:type="paragraph" w:styleId="19" w:customStyle="1">
    <w:name w:val="Заголовок1"/>
    <w:basedOn w:val="Normal"/>
    <w:next w:val="Style20"/>
    <w:link w:val="22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-1" w:customStyle="1">
    <w:name w:val="Интернет-ссылка"/>
    <w:basedOn w:val="18"/>
    <w:link w:val="-"/>
    <w:qFormat/>
    <w:pPr/>
    <w:rPr>
      <w:color w:val="0000FF" w:themeColor="hyperlink"/>
      <w:u w:val="single"/>
    </w:rPr>
  </w:style>
  <w:style w:type="paragraph" w:styleId="Caption">
    <w:name w:val="caption"/>
    <w:basedOn w:val="Normal"/>
    <w:link w:val="Style13"/>
    <w:qFormat/>
    <w:pPr>
      <w:spacing w:before="120" w:after="120"/>
    </w:pPr>
    <w:rPr>
      <w:rFonts w:ascii="PT Astra Serif" w:hAnsi="PT Astra Serif"/>
      <w:i/>
      <w:sz w:val="24"/>
    </w:rPr>
  </w:style>
  <w:style w:type="paragraph" w:styleId="Content1" w:customStyle="1">
    <w:name w:val="content"/>
    <w:basedOn w:val="18"/>
    <w:link w:val="Content"/>
    <w:qFormat/>
    <w:pPr/>
    <w:rPr/>
  </w:style>
  <w:style w:type="paragraph" w:styleId="ListParagraph">
    <w:name w:val="List Paragraph"/>
    <w:basedOn w:val="Normal"/>
    <w:link w:val="Style14"/>
    <w:qFormat/>
    <w:pPr>
      <w:spacing w:before="0" w:after="200"/>
      <w:ind w:left="720" w:hanging="0"/>
      <w:contextualSpacing/>
    </w:pPr>
    <w:rPr/>
  </w:style>
  <w:style w:type="paragraph" w:styleId="33">
    <w:name w:val="TOC 3"/>
    <w:next w:val="Normal"/>
    <w:link w:val="32"/>
    <w:uiPriority w:val="39"/>
    <w:pPr>
      <w:widowControl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5" w:customStyle="1">
    <w:name w:val="Колонтитул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6">
    <w:name w:val="Header"/>
    <w:basedOn w:val="Normal"/>
    <w:link w:val="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Typographysnzga4611" w:customStyle="1">
    <w:name w:val="_typography_snzga_461"/>
    <w:basedOn w:val="Normal"/>
    <w:link w:val="Typographysnzga461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Ds-text1" w:customStyle="1">
    <w:name w:val="ds-text"/>
    <w:basedOn w:val="18"/>
    <w:link w:val="Ds-text"/>
    <w:qFormat/>
    <w:pPr/>
    <w:rPr/>
  </w:style>
  <w:style w:type="paragraph" w:styleId="110" w:customStyle="1">
    <w:name w:val="Гиперссылка1"/>
    <w:basedOn w:val="18"/>
    <w:link w:val="17"/>
    <w:qFormat/>
    <w:pPr/>
    <w:rPr>
      <w:color w:val="0000FF"/>
      <w:u w:val="single"/>
    </w:rPr>
  </w:style>
  <w:style w:type="paragraph" w:styleId="Footnote1" w:customStyle="1">
    <w:name w:val="Footnote"/>
    <w:link w:val="Foot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">
    <w:name w:val="TOC 1"/>
    <w:next w:val="Normal"/>
    <w:link w:val="15"/>
    <w:uiPriority w:val="39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16"/>
    <w:qFormat/>
    <w:pPr>
      <w:spacing w:lineRule="auto" w:line="240" w:before="0" w:after="0"/>
    </w:pPr>
    <w:rPr>
      <w:rFonts w:ascii="Tahoma" w:hAnsi="Tahoma"/>
      <w:sz w:val="16"/>
    </w:rPr>
  </w:style>
  <w:style w:type="paragraph" w:styleId="91">
    <w:name w:val="TOC 9"/>
    <w:next w:val="Normal"/>
    <w:link w:val="9"/>
    <w:uiPriority w:val="39"/>
    <w:pPr>
      <w:widowControl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7" w:customStyle="1">
    <w:name w:val="Верхний колонтитул Знак"/>
    <w:basedOn w:val="18"/>
    <w:link w:val="Style15"/>
    <w:qFormat/>
    <w:pPr/>
    <w:rPr>
      <w:rFonts w:ascii="Times New Roman" w:hAnsi="Times New Roman"/>
      <w:sz w:val="24"/>
    </w:rPr>
  </w:style>
  <w:style w:type="paragraph" w:styleId="53">
    <w:name w:val="TOC 5"/>
    <w:next w:val="Normal"/>
    <w:link w:val="52"/>
    <w:uiPriority w:val="39"/>
    <w:pPr>
      <w:widowControl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8" w:customStyle="1">
    <w:name w:val="Текст выноски Знак"/>
    <w:basedOn w:val="18"/>
    <w:link w:val="Style16"/>
    <w:qFormat/>
    <w:pPr/>
    <w:rPr>
      <w:rFonts w:ascii="Tahoma" w:hAnsi="Tahoma"/>
      <w:sz w:val="16"/>
    </w:rPr>
  </w:style>
  <w:style w:type="paragraph" w:styleId="112" w:customStyle="1">
    <w:name w:val="Обычный1"/>
    <w:link w:val="1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tyle29">
    <w:name w:val="Subtitle"/>
    <w:next w:val="Normal"/>
    <w:link w:val="Style17"/>
    <w:uiPriority w:val="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30">
    <w:name w:val="Title"/>
    <w:next w:val="Normal"/>
    <w:link w:val="Style18"/>
    <w:uiPriority w:val="10"/>
    <w:qFormat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Z1qcye" w:customStyle="1">
    <w:name w:val="z1qcye"/>
    <w:basedOn w:val="Normal"/>
    <w:qFormat/>
    <w:rsid w:val="008a1408"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LibreOffice/7.5.6.2$Linux_X86_64 LibreOffice_project/50$Build-2</Application>
  <AppVersion>15.0000</AppVersion>
  <Pages>6</Pages>
  <Words>1516</Words>
  <Characters>10574</Characters>
  <CharactersWithSpaces>11808</CharactersWithSpaces>
  <Paragraphs>243</Paragraphs>
  <Company>Минюст России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2025-10-02T16:04:00Z</dcterms:created>
  <dc:creator/>
  <dc:description/>
  <dc:language>ru-RU</dc:language>
  <cp:lastModifiedBy/>
  <cp:lastPrinted>2026-06-23T09:40:00Z</cp:lastPrinted>
  <dcterms:modified xsi:type="dcterms:W3CDTF">2026-07-02T12:11:01Z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