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3"/>
        <w:shd w:val="clear" w:color="auto" w:fill="auto"/>
        <w:spacing w:before="0" w:after="260"/>
        <w:ind w:hanging="0"/>
        <w:jc w:val="center"/>
        <w:rPr/>
      </w:pPr>
      <w:r>
        <w:rPr>
          <w:b/>
          <w:bCs/>
        </w:rPr>
        <w:t>ПРОЕКТ</w:t>
      </w:r>
    </w:p>
    <w:p>
      <w:pPr>
        <w:pStyle w:val="13"/>
        <w:shd w:val="clear" w:color="auto" w:fill="auto"/>
        <w:tabs>
          <w:tab w:val="clear" w:pos="708"/>
          <w:tab w:val="left" w:pos="6086" w:leader="underscore"/>
        </w:tabs>
        <w:ind w:hanging="0"/>
        <w:jc w:val="center"/>
        <w:rPr/>
      </w:pPr>
      <w:r>
        <w:rPr>
          <w:b/>
          <w:bCs/>
        </w:rPr>
        <w:t xml:space="preserve">ГОСУДАРСТВЕННЫЙ КОНТРАКТ № </w:t>
        <w:tab/>
      </w:r>
    </w:p>
    <w:p>
      <w:pPr>
        <w:pStyle w:val="14"/>
        <w:keepNext w:val="true"/>
        <w:keepLines/>
        <w:shd w:val="clear" w:color="auto" w:fill="auto"/>
        <w:rPr/>
      </w:pPr>
      <w:bookmarkStart w:id="0" w:name="bookmark0"/>
      <w:bookmarkStart w:id="1" w:name="bookmark1"/>
      <w:r>
        <w:rPr/>
        <w:t>на поставку автомобильных шин для нужд ФКУ «ГБ МСЭ по</w:t>
        <w:br/>
        <w:t>Московской области» Минтруда России</w:t>
      </w:r>
      <w:bookmarkEnd w:id="0"/>
      <w:bookmarkEnd w:id="1"/>
    </w:p>
    <w:p>
      <w:pPr>
        <w:pStyle w:val="13"/>
        <w:shd w:val="clear" w:color="auto" w:fill="auto"/>
        <w:tabs>
          <w:tab w:val="clear" w:pos="708"/>
          <w:tab w:val="left" w:pos="1134" w:leader="none"/>
          <w:tab w:val="left" w:pos="2222" w:leader="underscore"/>
          <w:tab w:val="left" w:pos="8469" w:leader="none"/>
        </w:tabs>
        <w:spacing w:before="0" w:after="260"/>
        <w:ind w:firstLine="567"/>
        <w:jc w:val="right"/>
        <w:rPr/>
      </w:pPr>
      <w:r>
        <mc:AlternateContent>
          <mc:Choice Requires="wps">
            <w:drawing>
              <wp:anchor behindDoc="0" distT="0" distB="0" distL="114300" distR="114300" simplePos="0" locked="0" layoutInCell="0" allowOverlap="1" relativeHeight="22">
                <wp:simplePos x="0" y="0"/>
                <wp:positionH relativeFrom="page">
                  <wp:posOffset>758190</wp:posOffset>
                </wp:positionH>
                <wp:positionV relativeFrom="paragraph">
                  <wp:posOffset>12700</wp:posOffset>
                </wp:positionV>
                <wp:extent cx="679450" cy="201295"/>
                <wp:effectExtent l="0" t="0" r="0" b="0"/>
                <wp:wrapSquare wrapText="bothSides"/>
                <wp:docPr id="1" name="Врезка1"/>
                <a:graphic xmlns:a="http://schemas.openxmlformats.org/drawingml/2006/main">
                  <a:graphicData uri="http://schemas.microsoft.com/office/word/2010/wordprocessingShape">
                    <wps:wsp>
                      <wps:cNvSpPr/>
                      <wps:spPr>
                        <a:xfrm>
                          <a:off x="0" y="0"/>
                          <a:ext cx="679320" cy="201240"/>
                        </a:xfrm>
                        <a:prstGeom prst="rect">
                          <a:avLst/>
                        </a:prstGeom>
                        <a:noFill/>
                        <a:ln w="0">
                          <a:noFill/>
                        </a:ln>
                      </wps:spPr>
                      <wps:style>
                        <a:lnRef idx="0"/>
                        <a:fillRef idx="0"/>
                        <a:effectRef idx="0"/>
                        <a:fontRef idx="minor"/>
                      </wps:style>
                      <wps:txbx>
                        <w:txbxContent>
                          <w:p>
                            <w:pPr>
                              <w:pStyle w:val="13"/>
                              <w:shd w:val="clear" w:color="auto" w:fill="auto"/>
                              <w:ind w:hanging="0"/>
                              <w:rPr/>
                            </w:pPr>
                            <w:r>
                              <w:rPr/>
                              <w:t>г. Москва</w:t>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59.7pt;margin-top:1pt;width:53.45pt;height:15.8pt;mso-wrap-style:square;v-text-anchor:top;mso-position-horizontal-relative:page">
                <v:fill o:detectmouseclick="t" on="false"/>
                <v:stroke color="#3465a4" joinstyle="round" endcap="flat"/>
                <v:textbox>
                  <w:txbxContent>
                    <w:p>
                      <w:pPr>
                        <w:pStyle w:val="13"/>
                        <w:shd w:val="clear" w:color="auto" w:fill="auto"/>
                        <w:ind w:hanging="0"/>
                        <w:rPr/>
                      </w:pPr>
                      <w:r>
                        <w:rPr/>
                        <w:t>г. Москва</w:t>
                      </w:r>
                    </w:p>
                  </w:txbxContent>
                </v:textbox>
                <w10:wrap type="square"/>
              </v:rect>
            </w:pict>
          </mc:Fallback>
        </mc:AlternateContent>
      </w:r>
      <w:r>
        <w:rPr/>
        <w:t>«</w:t>
        <w:tab/>
        <w:t>»______  2026г.</w:t>
      </w:r>
    </w:p>
    <w:p>
      <w:pPr>
        <w:pStyle w:val="13"/>
        <w:shd w:val="clear" w:color="auto" w:fill="auto"/>
        <w:tabs>
          <w:tab w:val="clear" w:pos="708"/>
          <w:tab w:val="left" w:pos="1134" w:leader="none"/>
          <w:tab w:val="left" w:pos="2222" w:leader="underscore"/>
          <w:tab w:val="left" w:pos="7426" w:leader="underscore"/>
          <w:tab w:val="left" w:pos="8469" w:leader="none"/>
        </w:tabs>
        <w:ind w:firstLine="567"/>
        <w:jc w:val="both"/>
        <w:rPr/>
      </w:pPr>
      <w:r>
        <w:rPr/>
        <w:t>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заказчик/Заказчик», в лице Заместителя руководителя по экономическим и общим вопросам деятельности учреждения Фирсова Александра Васильевича, действующего на основании Доверенности от 10.11.2025 № 207-ЮО от имени Российской Федерации, с одной стороны, и</w:t>
      </w:r>
      <w:r>
        <w:rPr>
          <w:i/>
          <w:iCs/>
        </w:rPr>
        <w:t>____________________(для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w:t>
      </w:r>
      <w:r>
        <w:rPr/>
        <w:t>, именуемый в дальнейшем «Поставщик», в лице __________ действующего на основании__________________,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 4 ч. 1 ст. 93 Федерального закона от 05.04.2013 № 44-ФЗ, заключили настоящий Государственный Контракт (далее - Контракт) о нижеследующем:</w:t>
      </w:r>
    </w:p>
    <w:p>
      <w:pPr>
        <w:pStyle w:val="13"/>
        <w:shd w:val="clear" w:color="auto" w:fill="auto"/>
        <w:tabs>
          <w:tab w:val="clear" w:pos="708"/>
          <w:tab w:val="left" w:pos="1134" w:leader="none"/>
          <w:tab w:val="left" w:pos="2222" w:leader="underscore"/>
          <w:tab w:val="left" w:pos="7426" w:leader="underscore"/>
          <w:tab w:val="left" w:pos="8469" w:leader="none"/>
        </w:tabs>
        <w:ind w:firstLine="567"/>
        <w:jc w:val="both"/>
        <w:rPr/>
      </w:pPr>
      <w:r>
        <w:rPr/>
      </w:r>
    </w:p>
    <w:p>
      <w:pPr>
        <w:pStyle w:val="14"/>
        <w:keepNext w:val="true"/>
        <w:keepLines/>
        <w:numPr>
          <w:ilvl w:val="0"/>
          <w:numId w:val="1"/>
        </w:numPr>
        <w:shd w:val="clear" w:color="auto" w:fill="auto"/>
        <w:tabs>
          <w:tab w:val="clear" w:pos="708"/>
          <w:tab w:val="left" w:pos="318" w:leader="none"/>
          <w:tab w:val="left" w:pos="1134" w:leader="none"/>
          <w:tab w:val="left" w:pos="2222" w:leader="underscore"/>
          <w:tab w:val="left" w:pos="8469" w:leader="none"/>
        </w:tabs>
        <w:ind w:firstLine="567"/>
        <w:rPr/>
      </w:pPr>
      <w:bookmarkStart w:id="2" w:name="bookmark3"/>
      <w:bookmarkStart w:id="3" w:name="bookmark2"/>
      <w:r>
        <w:rPr/>
        <w:t>ПРЕДМЕТ КОНТРАКТА</w:t>
      </w:r>
      <w:bookmarkEnd w:id="2"/>
      <w:bookmarkEnd w:id="3"/>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Поставщик обязуется осуществить поставку автомобильных шин в количестве (объеме), ассортименту согласно Спецификации (Приложение № 1 к Контракту) (далее - Товар) для нужд Государственного заказчика в соответствии с настоящим Контрактом, а Государственный заказчик обязуется принять и оплатить Товар.</w:t>
      </w:r>
    </w:p>
    <w:p>
      <w:pPr>
        <w:pStyle w:val="13"/>
        <w:numPr>
          <w:ilvl w:val="1"/>
          <w:numId w:val="1"/>
        </w:numPr>
        <w:shd w:val="clear" w:color="auto" w:fill="auto"/>
        <w:tabs>
          <w:tab w:val="clear" w:pos="708"/>
          <w:tab w:val="left" w:pos="1080" w:leader="none"/>
          <w:tab w:val="left" w:pos="1134" w:leader="none"/>
          <w:tab w:val="left" w:pos="2222" w:leader="underscore"/>
          <w:tab w:val="left" w:pos="8469" w:leader="none"/>
        </w:tabs>
        <w:ind w:firstLine="567"/>
        <w:jc w:val="both"/>
        <w:rPr/>
      </w:pPr>
      <w:r>
        <w:rPr/>
        <w:t>Наименование, количество и иные характеристики поставляемого Товара указаны в Спецификации (Приложение № 1 к Контракту) и Техническом задании (Приложение № 3 к Контракту)являющихся неотъемлемой частью Контракта.</w:t>
      </w:r>
    </w:p>
    <w:p>
      <w:pPr>
        <w:pStyle w:val="13"/>
        <w:numPr>
          <w:ilvl w:val="1"/>
          <w:numId w:val="1"/>
        </w:numPr>
        <w:shd w:val="clear" w:color="auto" w:fill="auto"/>
        <w:tabs>
          <w:tab w:val="clear" w:pos="708"/>
          <w:tab w:val="left" w:pos="1080" w:leader="none"/>
          <w:tab w:val="left" w:pos="1134" w:leader="none"/>
          <w:tab w:val="left" w:pos="2222" w:leader="underscore"/>
          <w:tab w:val="left" w:pos="8469" w:leader="none"/>
        </w:tabs>
        <w:ind w:firstLine="567"/>
        <w:jc w:val="both"/>
        <w:rPr/>
      </w:pPr>
      <w:r>
        <w:rPr/>
        <w:t>Место доставки товара: г. Москва, ул. Коккинаки д.6.</w:t>
      </w:r>
    </w:p>
    <w:p>
      <w:pPr>
        <w:pStyle w:val="13"/>
        <w:numPr>
          <w:ilvl w:val="1"/>
          <w:numId w:val="1"/>
        </w:numPr>
        <w:shd w:val="clear" w:color="auto" w:fill="auto"/>
        <w:tabs>
          <w:tab w:val="clear" w:pos="708"/>
          <w:tab w:val="left" w:pos="1080" w:leader="none"/>
          <w:tab w:val="left" w:pos="1134" w:leader="none"/>
          <w:tab w:val="left" w:pos="2222" w:leader="underscore"/>
          <w:tab w:val="left" w:pos="8469" w:leader="none"/>
        </w:tabs>
        <w:ind w:firstLine="567"/>
        <w:jc w:val="both"/>
        <w:rPr>
          <w:color w:val="FF0000"/>
        </w:rPr>
      </w:pPr>
      <w:r>
        <w:rPr/>
        <w:t xml:space="preserve">Срок поставки Товара: </w:t>
      </w:r>
      <w:bookmarkStart w:id="4" w:name="_Hlk207618983"/>
      <w:r>
        <w:rPr>
          <w:color w:val="auto"/>
        </w:rPr>
        <w:t>по заявке Заказчика в течении 5 (пяти) рабочих дней посредством  телефонного звонка, электронной почты, сообщения на мессенджер</w:t>
      </w:r>
      <w:r>
        <w:rPr>
          <w:color w:val="FF0000"/>
        </w:rPr>
        <w:t>.</w:t>
      </w:r>
      <w:bookmarkStart w:id="5" w:name="_GoBack"/>
      <w:bookmarkEnd w:id="4"/>
      <w:bookmarkEnd w:id="5"/>
    </w:p>
    <w:p>
      <w:pPr>
        <w:pStyle w:val="13"/>
        <w:shd w:val="clear" w:color="auto" w:fill="auto"/>
        <w:tabs>
          <w:tab w:val="clear" w:pos="708"/>
          <w:tab w:val="left" w:pos="1080" w:leader="none"/>
          <w:tab w:val="left" w:pos="1134" w:leader="none"/>
          <w:tab w:val="left" w:pos="2222" w:leader="underscore"/>
          <w:tab w:val="left" w:pos="8469" w:leader="none"/>
        </w:tabs>
        <w:ind w:hanging="0" w:left="567"/>
        <w:jc w:val="both"/>
        <w:rPr>
          <w:color w:val="FF0000"/>
        </w:rPr>
      </w:pPr>
      <w:r>
        <w:rPr>
          <w:color w:val="FF0000"/>
        </w:rPr>
      </w:r>
    </w:p>
    <w:p>
      <w:pPr>
        <w:pStyle w:val="14"/>
        <w:keepNext w:val="true"/>
        <w:keepLines/>
        <w:numPr>
          <w:ilvl w:val="0"/>
          <w:numId w:val="1"/>
        </w:numPr>
        <w:shd w:val="clear" w:color="auto" w:fill="auto"/>
        <w:tabs>
          <w:tab w:val="clear" w:pos="708"/>
          <w:tab w:val="left" w:pos="318" w:leader="none"/>
          <w:tab w:val="left" w:pos="1134" w:leader="none"/>
          <w:tab w:val="left" w:pos="2222" w:leader="underscore"/>
          <w:tab w:val="left" w:pos="8469" w:leader="none"/>
        </w:tabs>
        <w:spacing w:before="0" w:after="220"/>
        <w:ind w:firstLine="567"/>
        <w:rPr/>
      </w:pPr>
      <w:bookmarkStart w:id="6" w:name="bookmark5"/>
      <w:bookmarkStart w:id="7" w:name="bookmark4"/>
      <w:r>
        <w:rPr/>
        <w:t>ЦЕНА КОНТРАКТА И ПОРЯДОК РАСЧЕТА</w:t>
      </w:r>
      <w:bookmarkEnd w:id="6"/>
      <w:bookmarkEnd w:id="7"/>
    </w:p>
    <w:p>
      <w:pPr>
        <w:pStyle w:val="13"/>
        <w:numPr>
          <w:ilvl w:val="1"/>
          <w:numId w:val="1"/>
        </w:numPr>
        <w:shd w:val="clear" w:color="auto" w:fill="auto"/>
        <w:tabs>
          <w:tab w:val="clear" w:pos="708"/>
          <w:tab w:val="left" w:pos="1080" w:leader="none"/>
          <w:tab w:val="left" w:pos="1134" w:leader="none"/>
          <w:tab w:val="left" w:pos="2222" w:leader="underscore"/>
          <w:tab w:val="left" w:pos="5860" w:leader="underscore"/>
          <w:tab w:val="left" w:pos="8469" w:leader="none"/>
          <w:tab w:val="left" w:pos="8630" w:leader="underscore"/>
        </w:tabs>
        <w:ind w:firstLine="567"/>
        <w:jc w:val="both"/>
        <w:rPr/>
      </w:pPr>
      <w:r>
        <w:rPr/>
        <w:t xml:space="preserve">Цена Контракта составляет _________  (_________) рублей 00 копеек, </w:t>
      </w:r>
      <w:r>
        <w:rPr>
          <w:i/>
          <w:iCs/>
        </w:rPr>
        <w:t>с учетом НДС -  % рублей __ копеек или НДС не облагается (указать основания)</w:t>
      </w:r>
      <w:r>
        <w:rPr/>
        <w:t>.</w:t>
      </w:r>
    </w:p>
    <w:p>
      <w:pPr>
        <w:pStyle w:val="13"/>
        <w:shd w:val="clear" w:color="auto" w:fill="auto"/>
        <w:tabs>
          <w:tab w:val="clear" w:pos="708"/>
          <w:tab w:val="left" w:pos="1134" w:leader="none"/>
          <w:tab w:val="left" w:pos="2222" w:leader="underscore"/>
          <w:tab w:val="left" w:pos="8469" w:leader="none"/>
        </w:tabs>
        <w:ind w:firstLine="567"/>
        <w:jc w:val="both"/>
        <w:rPr/>
      </w:pPr>
      <w:r>
        <w:rPr/>
        <w:t>Цена Контракта формируется с учетом стоимости всего Товара, всех расходов, связанных с исполнением настоящего Контракта, в том числе с учетом налогов и других обязательных платежей.</w:t>
      </w:r>
    </w:p>
    <w:p>
      <w:pPr>
        <w:pStyle w:val="13"/>
        <w:shd w:val="clear" w:color="auto" w:fill="auto"/>
        <w:tabs>
          <w:tab w:val="clear" w:pos="708"/>
          <w:tab w:val="left" w:pos="1134" w:leader="none"/>
          <w:tab w:val="left" w:pos="2222" w:leader="underscore"/>
          <w:tab w:val="left" w:pos="8469" w:leader="none"/>
        </w:tabs>
        <w:ind w:firstLine="567"/>
        <w:jc w:val="both"/>
        <w:rPr/>
      </w:pPr>
      <w:r>
        <w:rPr/>
        <w:t>Цена Контракта является твердой и не может изменяться в ходе его исполнения, кроме случаев, указанных в пункте 2.5. Контракта.</w:t>
      </w:r>
    </w:p>
    <w:p>
      <w:pPr>
        <w:pStyle w:val="13"/>
        <w:shd w:val="clear" w:color="auto" w:fill="auto"/>
        <w:tabs>
          <w:tab w:val="clear" w:pos="708"/>
          <w:tab w:val="left" w:pos="1134" w:leader="none"/>
          <w:tab w:val="left" w:pos="2222" w:leader="underscore"/>
          <w:tab w:val="left" w:pos="8469" w:leader="none"/>
        </w:tabs>
        <w:ind w:firstLine="567"/>
        <w:jc w:val="both"/>
        <w:rPr/>
      </w:pPr>
      <w:r>
        <w:rPr/>
        <w:t>Цена единицы Товара определена в Спецификации (Приложение № 1 к Контракту).</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соответствии с п. 2 ч. 13 ст. 34 Федерального закона от 05.04.2013 № 44-ФЗ.</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Заказчик оплачивает единовременно фактически поставленный и принятый без замечаний Товар, в российских рублях путем перечисления денежных средств на расчетный счет Поставщика в течение 7 (семи) рабочих дней на основании предоставления Поставщиком документов согласно п.3.3.10 Контракта.</w:t>
      </w:r>
    </w:p>
    <w:p>
      <w:pPr>
        <w:pStyle w:val="13"/>
        <w:shd w:val="clear" w:color="auto" w:fill="auto"/>
        <w:tabs>
          <w:tab w:val="clear" w:pos="708"/>
          <w:tab w:val="left" w:pos="1134" w:leader="none"/>
          <w:tab w:val="left" w:pos="2222" w:leader="underscore"/>
          <w:tab w:val="left" w:pos="8469" w:leader="none"/>
        </w:tabs>
        <w:ind w:firstLine="567"/>
        <w:jc w:val="both"/>
        <w:rPr/>
      </w:pPr>
      <w:r>
        <w:rPr/>
        <w:t>Оплата по Контракту осуществляется за счет средств федерального бюджета в пределах лимитов бюджетных обязательств в 2026 году на поставку товаров, предусмотренных в настоящем Контракте.</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Заказчик считается исполнившим свое обязательство по оплате за доставленный Товар с момента списания денежных средств с лицевого счета Заказчика.</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Изменение существенных условий контракта при его исполнении не допускается, за исключением их изменения в случаях, предусмотренных ст. 95 Федерального закона от 05.04.2013 № 44-ФЗ.</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В случае уменьшения Заказчику как получателю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должны обеспечить согласование в соответствии с законодательством Российской Федерации новых условий Контракта, в том числе по цене и (или) срокам поставки и (или) количества Товара.</w:t>
      </w:r>
    </w:p>
    <w:p>
      <w:pPr>
        <w:pStyle w:val="13"/>
        <w:numPr>
          <w:ilvl w:val="1"/>
          <w:numId w:val="1"/>
        </w:numPr>
        <w:shd w:val="clear" w:color="auto" w:fill="auto"/>
        <w:tabs>
          <w:tab w:val="clear" w:pos="708"/>
          <w:tab w:val="left" w:pos="1080" w:leader="none"/>
          <w:tab w:val="left" w:pos="1134" w:leader="none"/>
          <w:tab w:val="left" w:pos="2222" w:leader="underscore"/>
          <w:tab w:val="left" w:pos="8469" w:leader="none"/>
        </w:tabs>
        <w:ind w:firstLine="567"/>
        <w:jc w:val="both"/>
        <w:rPr/>
      </w:pPr>
      <w:r>
        <w:rPr/>
        <w:t>Авансирование по настоящему Контракту не предусмотрено.</w:t>
      </w:r>
    </w:p>
    <w:p>
      <w:pPr>
        <w:pStyle w:val="13"/>
        <w:shd w:val="clear" w:color="auto" w:fill="auto"/>
        <w:tabs>
          <w:tab w:val="clear" w:pos="708"/>
          <w:tab w:val="left" w:pos="1080" w:leader="none"/>
          <w:tab w:val="left" w:pos="1134" w:leader="none"/>
          <w:tab w:val="left" w:pos="2222" w:leader="underscore"/>
          <w:tab w:val="left" w:pos="8469" w:leader="none"/>
        </w:tabs>
        <w:ind w:hanging="0" w:left="567"/>
        <w:jc w:val="both"/>
        <w:rPr/>
      </w:pPr>
      <w:r>
        <w:rPr/>
      </w:r>
    </w:p>
    <w:p>
      <w:pPr>
        <w:pStyle w:val="14"/>
        <w:keepNext w:val="true"/>
        <w:keepLines/>
        <w:numPr>
          <w:ilvl w:val="0"/>
          <w:numId w:val="1"/>
        </w:numPr>
        <w:shd w:val="clear" w:color="auto" w:fill="auto"/>
        <w:tabs>
          <w:tab w:val="clear" w:pos="708"/>
          <w:tab w:val="left" w:pos="303" w:leader="none"/>
          <w:tab w:val="left" w:pos="1134" w:leader="none"/>
          <w:tab w:val="left" w:pos="2222" w:leader="underscore"/>
          <w:tab w:val="left" w:pos="8469" w:leader="none"/>
        </w:tabs>
        <w:ind w:firstLine="567"/>
        <w:rPr/>
      </w:pPr>
      <w:bookmarkStart w:id="8" w:name="bookmark7"/>
      <w:bookmarkStart w:id="9" w:name="bookmark6"/>
      <w:r>
        <w:rPr/>
        <w:t>ПРАВА И ОБЯЗАННОСТИ СТОРОН</w:t>
      </w:r>
      <w:bookmarkEnd w:id="8"/>
      <w:bookmarkEnd w:id="9"/>
    </w:p>
    <w:p>
      <w:pPr>
        <w:pStyle w:val="13"/>
        <w:numPr>
          <w:ilvl w:val="1"/>
          <w:numId w:val="1"/>
        </w:numPr>
        <w:shd w:val="clear" w:color="auto" w:fill="auto"/>
        <w:tabs>
          <w:tab w:val="clear" w:pos="708"/>
          <w:tab w:val="left" w:pos="1080" w:leader="none"/>
          <w:tab w:val="left" w:pos="1134" w:leader="none"/>
          <w:tab w:val="left" w:pos="2222" w:leader="underscore"/>
          <w:tab w:val="left" w:pos="8469" w:leader="none"/>
        </w:tabs>
        <w:ind w:firstLine="567"/>
        <w:jc w:val="both"/>
        <w:rPr/>
      </w:pPr>
      <w:r>
        <w:rPr/>
        <w:t>Государственный заказчик имеет право:</w:t>
      </w:r>
    </w:p>
    <w:p>
      <w:pPr>
        <w:pStyle w:val="13"/>
        <w:numPr>
          <w:ilvl w:val="2"/>
          <w:numId w:val="1"/>
        </w:numPr>
        <w:shd w:val="clear" w:color="auto" w:fill="auto"/>
        <w:tabs>
          <w:tab w:val="clear" w:pos="708"/>
          <w:tab w:val="left" w:pos="1134" w:leader="none"/>
          <w:tab w:val="left" w:pos="1262" w:leader="none"/>
          <w:tab w:val="left" w:pos="2222" w:leader="underscore"/>
          <w:tab w:val="left" w:pos="8469" w:leader="none"/>
        </w:tabs>
        <w:ind w:firstLine="567"/>
        <w:jc w:val="both"/>
        <w:rPr/>
      </w:pPr>
      <w:r>
        <w:rPr/>
        <w:t>Досрочно принять и оплатить Товар.</w:t>
      </w:r>
    </w:p>
    <w:p>
      <w:pPr>
        <w:pStyle w:val="13"/>
        <w:numPr>
          <w:ilvl w:val="2"/>
          <w:numId w:val="1"/>
        </w:numPr>
        <w:shd w:val="clear" w:color="auto" w:fill="auto"/>
        <w:tabs>
          <w:tab w:val="clear" w:pos="708"/>
          <w:tab w:val="left" w:pos="1134" w:leader="none"/>
          <w:tab w:val="left" w:pos="1249" w:leader="none"/>
          <w:tab w:val="left" w:pos="2222" w:leader="underscore"/>
          <w:tab w:val="left" w:pos="8469" w:leader="none"/>
        </w:tabs>
        <w:ind w:firstLine="567"/>
        <w:jc w:val="both"/>
        <w:rPr/>
      </w:pPr>
      <w:r>
        <w:rPr/>
        <w:t>Привлекать экспертов, экспертные организации для проверки соответствия качества поставляемого Товара требованиям, установленным Контрактом.</w:t>
      </w:r>
    </w:p>
    <w:p>
      <w:pPr>
        <w:pStyle w:val="13"/>
        <w:numPr>
          <w:ilvl w:val="2"/>
          <w:numId w:val="1"/>
        </w:numPr>
        <w:shd w:val="clear" w:color="auto" w:fill="auto"/>
        <w:tabs>
          <w:tab w:val="clear" w:pos="708"/>
          <w:tab w:val="left" w:pos="1134" w:leader="none"/>
          <w:tab w:val="left" w:pos="1262" w:leader="none"/>
          <w:tab w:val="left" w:pos="2222" w:leader="underscore"/>
          <w:tab w:val="left" w:pos="8469" w:leader="none"/>
        </w:tabs>
        <w:ind w:firstLine="567"/>
        <w:jc w:val="both"/>
        <w:rPr/>
      </w:pPr>
      <w:r>
        <w:rPr/>
        <w:t>Осуществлять контроль за исполнением настоящего Контракта.</w:t>
      </w:r>
    </w:p>
    <w:p>
      <w:pPr>
        <w:pStyle w:val="13"/>
        <w:widowControl w:val="false"/>
        <w:numPr>
          <w:ilvl w:val="2"/>
          <w:numId w:val="1"/>
        </w:numPr>
        <w:shd w:val="clear" w:fill="auto"/>
        <w:tabs>
          <w:tab w:val="clear" w:pos="708"/>
          <w:tab w:val="left" w:pos="1249" w:leader="none"/>
        </w:tabs>
        <w:suppressAutoHyphens w:val="false"/>
        <w:overflowPunct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Требовать от Поставщика надлежащего исполнения обязательств в соответствии с условиями Контракта.</w:t>
      </w:r>
    </w:p>
    <w:p>
      <w:pPr>
        <w:pStyle w:val="13"/>
        <w:numPr>
          <w:ilvl w:val="1"/>
          <w:numId w:val="1"/>
        </w:numPr>
        <w:shd w:val="clear" w:color="auto" w:fill="auto"/>
        <w:tabs>
          <w:tab w:val="clear" w:pos="708"/>
          <w:tab w:val="left" w:pos="1080" w:leader="none"/>
          <w:tab w:val="left" w:pos="1134" w:leader="none"/>
          <w:tab w:val="left" w:pos="2222" w:leader="underscore"/>
          <w:tab w:val="left" w:pos="8469" w:leader="none"/>
        </w:tabs>
        <w:ind w:firstLine="567"/>
        <w:jc w:val="both"/>
        <w:rPr/>
      </w:pPr>
      <w:r>
        <w:rPr/>
        <w:t>Государственный заказчик обязан:</w:t>
      </w:r>
    </w:p>
    <w:p>
      <w:pPr>
        <w:pStyle w:val="13"/>
        <w:numPr>
          <w:ilvl w:val="2"/>
          <w:numId w:val="1"/>
        </w:numPr>
        <w:shd w:val="clear" w:color="auto" w:fill="auto"/>
        <w:tabs>
          <w:tab w:val="clear" w:pos="708"/>
          <w:tab w:val="left" w:pos="1134" w:leader="none"/>
          <w:tab w:val="left" w:pos="1249" w:leader="none"/>
          <w:tab w:val="left" w:pos="2222" w:leader="underscore"/>
          <w:tab w:val="left" w:pos="8469" w:leader="none"/>
        </w:tabs>
        <w:ind w:firstLine="567"/>
        <w:jc w:val="both"/>
        <w:rPr/>
      </w:pPr>
      <w:r>
        <w:rPr/>
        <w:t>Обеспечить приемку и экспертизу поставляемого по настоящему Контракту Товара в соответствии с условиями настоящего Контракта при отсутствии претензий качества, количества, ассортимента, комплектности.</w:t>
      </w:r>
    </w:p>
    <w:p>
      <w:pPr>
        <w:pStyle w:val="13"/>
        <w:numPr>
          <w:ilvl w:val="2"/>
          <w:numId w:val="1"/>
        </w:numPr>
        <w:shd w:val="clear" w:color="auto" w:fill="auto"/>
        <w:tabs>
          <w:tab w:val="clear" w:pos="708"/>
          <w:tab w:val="left" w:pos="1134" w:leader="none"/>
          <w:tab w:val="left" w:pos="1249" w:leader="none"/>
          <w:tab w:val="left" w:pos="2222" w:leader="underscore"/>
          <w:tab w:val="left" w:pos="8469" w:leader="none"/>
        </w:tabs>
        <w:ind w:firstLine="567"/>
        <w:jc w:val="both"/>
        <w:rPr/>
      </w:pPr>
      <w:r>
        <w:rPr/>
        <w:t>Оплатить поставленный и принятый Товар в порядке, предусмотренном настоящим Контрактом.</w:t>
      </w:r>
    </w:p>
    <w:p>
      <w:pPr>
        <w:pStyle w:val="13"/>
        <w:numPr>
          <w:ilvl w:val="1"/>
          <w:numId w:val="1"/>
        </w:numPr>
        <w:shd w:val="clear" w:color="auto" w:fill="auto"/>
        <w:tabs>
          <w:tab w:val="clear" w:pos="708"/>
          <w:tab w:val="left" w:pos="1080" w:leader="none"/>
          <w:tab w:val="left" w:pos="1134" w:leader="none"/>
          <w:tab w:val="left" w:pos="2222" w:leader="underscore"/>
          <w:tab w:val="left" w:pos="8469" w:leader="none"/>
        </w:tabs>
        <w:ind w:firstLine="567"/>
        <w:jc w:val="both"/>
        <w:rPr/>
      </w:pPr>
      <w:r>
        <w:rPr/>
        <w:t>Поставщик обязан:</w:t>
      </w:r>
    </w:p>
    <w:p>
      <w:pPr>
        <w:pStyle w:val="13"/>
        <w:numPr>
          <w:ilvl w:val="2"/>
          <w:numId w:val="1"/>
        </w:numPr>
        <w:shd w:val="clear" w:color="auto" w:fill="auto"/>
        <w:tabs>
          <w:tab w:val="clear" w:pos="708"/>
          <w:tab w:val="left" w:pos="1134" w:leader="none"/>
          <w:tab w:val="left" w:pos="1235" w:leader="none"/>
          <w:tab w:val="left" w:pos="2222" w:leader="underscore"/>
          <w:tab w:val="left" w:pos="8469" w:leader="none"/>
        </w:tabs>
        <w:ind w:firstLine="567"/>
        <w:jc w:val="both"/>
        <w:rPr/>
      </w:pPr>
      <w:r>
        <w:rPr/>
        <w:t>Поставить Товар в соответствии со Спецификацией (Приложение № 1 к Контракту) и Техническим задании (Приложение № 3 к Контракту).</w:t>
      </w:r>
    </w:p>
    <w:p>
      <w:pPr>
        <w:pStyle w:val="13"/>
        <w:widowControl w:val="false"/>
        <w:numPr>
          <w:ilvl w:val="2"/>
          <w:numId w:val="1"/>
        </w:numPr>
        <w:shd w:val="clear" w:fill="auto"/>
        <w:suppressAutoHyphens w:val="false"/>
        <w:overflowPunct w:val="false"/>
        <w:bidi w:val="0"/>
        <w:spacing w:before="0" w:after="0"/>
        <w:ind w:firstLine="567"/>
        <w:jc w:val="both"/>
        <w:rPr/>
      </w:pPr>
      <w:r>
        <w:rPr>
          <w:rStyle w:val="Strong"/>
          <w:b w:val="false"/>
          <w:bCs w:val="false"/>
          <w:color w:val="000000"/>
          <w:kern w:val="0"/>
          <w:sz w:val="24"/>
          <w:szCs w:val="24"/>
          <w:lang w:val="ru-RU" w:eastAsia="ru-RU" w:bidi="ru-RU"/>
        </w:rPr>
        <w:t xml:space="preserve">Направить </w:t>
      </w:r>
      <w:r>
        <w:rPr>
          <w:rStyle w:val="Strong"/>
          <w:rFonts w:eastAsia="Droid Sans Fallback"/>
          <w:b w:val="false"/>
          <w:bCs w:val="false"/>
          <w:color w:val="000000"/>
          <w:kern w:val="0"/>
          <w:sz w:val="24"/>
          <w:szCs w:val="24"/>
          <w:lang w:val="ru-RU" w:eastAsia="ru-RU" w:bidi="ru-RU"/>
        </w:rPr>
        <w:t>Государственному заказчику</w:t>
      </w:r>
      <w:r>
        <w:rPr>
          <w:rStyle w:val="Strong"/>
          <w:b w:val="false"/>
          <w:bCs w:val="false"/>
          <w:color w:val="000000"/>
          <w:kern w:val="0"/>
          <w:sz w:val="24"/>
          <w:szCs w:val="24"/>
          <w:lang w:val="ru-RU" w:eastAsia="ru-RU" w:bidi="ru-RU"/>
        </w:rPr>
        <w:t xml:space="preserve"> комплект отчётных документов в соответствии с Техническим заданием.</w:t>
      </w:r>
    </w:p>
    <w:p>
      <w:pPr>
        <w:pStyle w:val="13"/>
        <w:numPr>
          <w:ilvl w:val="2"/>
          <w:numId w:val="1"/>
        </w:numPr>
        <w:shd w:val="clear" w:color="auto" w:fill="auto"/>
        <w:tabs>
          <w:tab w:val="clear" w:pos="708"/>
          <w:tab w:val="left" w:pos="1134" w:leader="none"/>
          <w:tab w:val="left" w:pos="1235" w:leader="none"/>
          <w:tab w:val="left" w:pos="2222" w:leader="underscore"/>
          <w:tab w:val="left" w:pos="8469" w:leader="none"/>
        </w:tabs>
        <w:ind w:firstLine="567"/>
        <w:jc w:val="both"/>
        <w:rPr/>
      </w:pPr>
      <w:r>
        <w:rPr/>
        <w:t>Передать Государственному заказчику Товар надлежащего качества, в количестве, ассортименте и комплектации согласно Спецификации (Приложение № 1 к Контракту) и Техническому заданию (Приложение № 3 к Контракту).</w:t>
      </w:r>
    </w:p>
    <w:p>
      <w:pPr>
        <w:pStyle w:val="13"/>
        <w:numPr>
          <w:ilvl w:val="2"/>
          <w:numId w:val="1"/>
        </w:numPr>
        <w:shd w:val="clear" w:color="auto" w:fill="auto"/>
        <w:tabs>
          <w:tab w:val="clear" w:pos="708"/>
          <w:tab w:val="left" w:pos="1134" w:leader="none"/>
          <w:tab w:val="left" w:pos="1245" w:leader="none"/>
          <w:tab w:val="left" w:pos="2222" w:leader="underscore"/>
          <w:tab w:val="left" w:pos="8469" w:leader="none"/>
        </w:tabs>
        <w:ind w:firstLine="567"/>
        <w:jc w:val="both"/>
        <w:rPr/>
      </w:pPr>
      <w:r>
        <w:rPr/>
        <w:t>Обеспечить надлежащую упаковку Товара, способную предотвратить его повреждение или порчу во время перевозки к месту доставки, передачи Государственному заказчику.</w:t>
      </w:r>
    </w:p>
    <w:p>
      <w:pPr>
        <w:pStyle w:val="13"/>
        <w:numPr>
          <w:ilvl w:val="2"/>
          <w:numId w:val="1"/>
        </w:numPr>
        <w:shd w:val="clear" w:color="auto" w:fill="auto"/>
        <w:tabs>
          <w:tab w:val="clear" w:pos="708"/>
          <w:tab w:val="left" w:pos="1134" w:leader="none"/>
          <w:tab w:val="left" w:pos="1245" w:leader="none"/>
          <w:tab w:val="left" w:pos="2222" w:leader="underscore"/>
          <w:tab w:val="left" w:pos="8469" w:leader="none"/>
        </w:tabs>
        <w:ind w:firstLine="567"/>
        <w:jc w:val="both"/>
        <w:rPr/>
      </w:pPr>
      <w:r>
        <w:rPr/>
        <w:t>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Контракта.</w:t>
      </w:r>
    </w:p>
    <w:p>
      <w:pPr>
        <w:pStyle w:val="13"/>
        <w:numPr>
          <w:ilvl w:val="2"/>
          <w:numId w:val="1"/>
        </w:numPr>
        <w:shd w:val="clear" w:color="auto" w:fill="auto"/>
        <w:tabs>
          <w:tab w:val="clear" w:pos="708"/>
          <w:tab w:val="left" w:pos="1134" w:leader="none"/>
          <w:tab w:val="left" w:pos="1249" w:leader="none"/>
          <w:tab w:val="left" w:pos="2222" w:leader="underscore"/>
          <w:tab w:val="left" w:pos="8469" w:leader="none"/>
        </w:tabs>
        <w:ind w:firstLine="567"/>
        <w:jc w:val="both"/>
        <w:rPr/>
      </w:pPr>
      <w:r>
        <w:rPr/>
        <w:t>Выполнять иные обязанности, предусмотренные Контрактом.</w:t>
      </w:r>
    </w:p>
    <w:p>
      <w:pPr>
        <w:pStyle w:val="13"/>
        <w:numPr>
          <w:ilvl w:val="2"/>
          <w:numId w:val="1"/>
        </w:numPr>
        <w:shd w:val="clear" w:color="auto" w:fill="auto"/>
        <w:tabs>
          <w:tab w:val="clear" w:pos="708"/>
          <w:tab w:val="left" w:pos="1134" w:leader="none"/>
          <w:tab w:val="left" w:pos="1245" w:leader="none"/>
          <w:tab w:val="left" w:pos="2222" w:leader="underscore"/>
          <w:tab w:val="left" w:pos="8469" w:leader="none"/>
        </w:tabs>
        <w:ind w:firstLine="567"/>
        <w:jc w:val="both"/>
        <w:rPr/>
      </w:pPr>
      <w:r>
        <w:rPr/>
        <w:t>Нести ответственность за неисполнение своих обязательств по настоящему Контракту в соответствии с законодательством Российской Федерации и условиями настоящего Контракта.</w:t>
      </w:r>
    </w:p>
    <w:p>
      <w:pPr>
        <w:pStyle w:val="13"/>
        <w:numPr>
          <w:ilvl w:val="2"/>
          <w:numId w:val="1"/>
        </w:numPr>
        <w:shd w:val="clear" w:color="auto" w:fill="auto"/>
        <w:tabs>
          <w:tab w:val="clear" w:pos="708"/>
          <w:tab w:val="left" w:pos="1134" w:leader="none"/>
          <w:tab w:val="left" w:pos="1245" w:leader="none"/>
          <w:tab w:val="left" w:pos="2222" w:leader="underscore"/>
          <w:tab w:val="left" w:pos="8469" w:leader="none"/>
        </w:tabs>
        <w:ind w:firstLine="567"/>
        <w:jc w:val="both"/>
        <w:rPr/>
      </w:pPr>
      <w:r>
        <w:rPr/>
        <w:t>Отвечать по искам третьих лиц, в случае предъявления третьими лицами к Государственному заказчику исков в связи с поставляемым Товаром.</w:t>
      </w:r>
    </w:p>
    <w:p>
      <w:pPr>
        <w:pStyle w:val="13"/>
        <w:numPr>
          <w:ilvl w:val="2"/>
          <w:numId w:val="1"/>
        </w:numPr>
        <w:shd w:val="clear" w:color="auto" w:fill="auto"/>
        <w:tabs>
          <w:tab w:val="clear" w:pos="708"/>
          <w:tab w:val="left" w:pos="1134" w:leader="none"/>
          <w:tab w:val="left" w:pos="1365" w:leader="none"/>
          <w:tab w:val="left" w:pos="2222" w:leader="underscore"/>
          <w:tab w:val="left" w:pos="8469" w:leader="none"/>
        </w:tabs>
        <w:ind w:firstLine="567"/>
        <w:jc w:val="both"/>
        <w:rPr/>
      </w:pPr>
      <w:r>
        <w:rPr/>
        <w:t>Своевременно и в полном объеме представлять в органы государственного финансового контроля по их запросам информацию, документы и материалы, необходимые для осуществления государственного финансового контроля, предоставлять должностным лицам органов государственного финансового контроля допуск указанных лиц в помещения и на территории объектов контроля, выполнять их законные требования.</w:t>
      </w:r>
    </w:p>
    <w:p>
      <w:pPr>
        <w:pStyle w:val="Normal"/>
        <w:widowControl w:val="false"/>
        <w:tabs>
          <w:tab w:val="clear" w:pos="708"/>
          <w:tab w:val="left" w:pos="1134" w:leader="none"/>
        </w:tabs>
        <w:ind w:firstLine="567"/>
        <w:jc w:val="both"/>
        <w:rPr>
          <w:rFonts w:ascii="Times New Roman" w:hAnsi="Times New Roman"/>
        </w:rPr>
      </w:pPr>
      <w:r>
        <w:rPr>
          <w:rFonts w:ascii="Times New Roman" w:hAnsi="Times New Roman"/>
          <w:b w:val="false"/>
          <w:bCs w:val="false"/>
        </w:rPr>
        <w:t xml:space="preserve">3.3.10. Одновременно с Товаром предоставить Государственному заказчику документы любым из способов: </w:t>
      </w:r>
    </w:p>
    <w:p>
      <w:pPr>
        <w:pStyle w:val="Normal"/>
        <w:widowControl w:val="false"/>
        <w:tabs>
          <w:tab w:val="clear" w:pos="708"/>
          <w:tab w:val="left" w:pos="1134" w:leader="none"/>
        </w:tabs>
        <w:ind w:firstLine="567"/>
        <w:jc w:val="both"/>
        <w:rPr>
          <w:rFonts w:ascii="Times New Roman" w:hAnsi="Times New Roman"/>
          <w:b/>
          <w:bCs/>
        </w:rPr>
      </w:pPr>
      <w:r>
        <w:rPr>
          <w:rFonts w:ascii="Times New Roman" w:hAnsi="Times New Roman"/>
          <w:b/>
          <w:bCs/>
        </w:rPr>
        <w:t>Способ 1.</w:t>
      </w:r>
    </w:p>
    <w:p>
      <w:pPr>
        <w:pStyle w:val="Normal"/>
        <w:widowControl w:val="false"/>
        <w:tabs>
          <w:tab w:val="clear" w:pos="708"/>
          <w:tab w:val="left" w:pos="1134" w:leader="none"/>
        </w:tabs>
        <w:ind w:firstLine="567"/>
        <w:jc w:val="both"/>
        <w:rPr>
          <w:rFonts w:ascii="Times New Roman" w:hAnsi="Times New Roman"/>
          <w:i/>
          <w:i/>
          <w:iCs/>
        </w:rPr>
      </w:pPr>
      <w:r>
        <w:rPr>
          <w:rFonts w:ascii="Times New Roman" w:hAnsi="Times New Roman"/>
          <w:b/>
          <w:bCs/>
          <w:i/>
          <w:iCs/>
        </w:rPr>
        <w:t>В случае обмена через операторов электронного документооборота электронными документами:</w:t>
      </w:r>
    </w:p>
    <w:p>
      <w:pPr>
        <w:pStyle w:val="Normal"/>
        <w:widowControl w:val="false"/>
        <w:tabs>
          <w:tab w:val="clear" w:pos="708"/>
          <w:tab w:val="left" w:pos="1134" w:leader="none"/>
        </w:tabs>
        <w:ind w:firstLine="567"/>
        <w:jc w:val="both"/>
        <w:rPr>
          <w:rFonts w:ascii="Liberation Serif" w:hAnsi="Liberation Serif"/>
        </w:rPr>
      </w:pPr>
      <w:r>
        <w:rPr>
          <w:rFonts w:ascii="Liberation Serif" w:hAnsi="Liberation Serif"/>
          <w:b w:val="false"/>
          <w:bCs w:val="false"/>
          <w:i w:val="false"/>
          <w:iCs w:val="false"/>
        </w:rPr>
        <w:t>- Оригинал товарной накладной в 2 (двух) экземплярах (один экземпляр для Государственного заказчика, один для Поставщика)</w:t>
      </w:r>
    </w:p>
    <w:p>
      <w:pPr>
        <w:pStyle w:val="Normal"/>
        <w:widowControl w:val="false"/>
        <w:tabs>
          <w:tab w:val="clear" w:pos="708"/>
          <w:tab w:val="left" w:pos="1134" w:leader="none"/>
        </w:tabs>
        <w:jc w:val="both"/>
        <w:rPr>
          <w:rFonts w:ascii="Times New Roman" w:hAnsi="Times New Roman"/>
        </w:rPr>
      </w:pPr>
      <w:r>
        <w:rPr>
          <w:rFonts w:ascii="Times New Roman" w:hAnsi="Times New Roman"/>
        </w:rPr>
        <w:t xml:space="preserve">      </w:t>
      </w:r>
      <w:r>
        <w:rPr>
          <w:rFonts w:ascii="Times New Roman" w:hAnsi="Times New Roman"/>
        </w:rPr>
        <w:t>-  У</w:t>
      </w:r>
      <w:r>
        <w:rPr>
          <w:rFonts w:ascii="Times New Roman" w:hAnsi="Times New Roman"/>
          <w:shd w:fill="FFFFFF" w:val="clear"/>
        </w:rPr>
        <w:t xml:space="preserve">ПД по форме 5.03, утвержденную  </w:t>
      </w:r>
      <w:bookmarkStart w:id="10" w:name="ctl00_ctl03_ctl01_td_title"/>
      <w:bookmarkEnd w:id="10"/>
      <w:r>
        <w:rPr>
          <w:rFonts w:eastAsia="Times New Roman" w:cs="Times New Roman" w:ascii="Times New Roman" w:hAnsi="Times New Roman"/>
          <w:sz w:val="24"/>
          <w:szCs w:val="24"/>
          <w:shd w:fill="FFFFFF" w:val="clear"/>
        </w:rPr>
        <w:t>Приказом ФНС России от 19.12.2023 № ЕД-7-26/970@</w:t>
      </w:r>
    </w:p>
    <w:p>
      <w:pPr>
        <w:pStyle w:val="Normal"/>
        <w:widowControl w:val="false"/>
        <w:tabs>
          <w:tab w:val="clear" w:pos="708"/>
          <w:tab w:val="left" w:pos="1134" w:leader="none"/>
        </w:tabs>
        <w:ind w:firstLine="567"/>
        <w:jc w:val="both"/>
        <w:rPr>
          <w:rFonts w:ascii="Times New Roman" w:hAnsi="Times New Roman"/>
        </w:rPr>
      </w:pPr>
      <w:r>
        <w:rPr>
          <w:rFonts w:ascii="Times New Roman" w:hAnsi="Times New Roman"/>
        </w:rPr>
        <w:t>- Счет, а также соответствующие документы (документация технического характера, документация о качестве, иные документы, относящиеся к выполненным работам), вся документация предоставляется на русском языке.</w:t>
      </w:r>
    </w:p>
    <w:p>
      <w:pPr>
        <w:pStyle w:val="Normal"/>
        <w:widowControl w:val="false"/>
        <w:tabs>
          <w:tab w:val="clear" w:pos="708"/>
          <w:tab w:val="left" w:pos="1134" w:leader="none"/>
        </w:tabs>
        <w:ind w:firstLine="567"/>
        <w:jc w:val="both"/>
        <w:rPr>
          <w:rFonts w:ascii="Times New Roman" w:hAnsi="Times New Roman"/>
          <w:b/>
          <w:bCs/>
        </w:rPr>
      </w:pPr>
      <w:r>
        <w:rPr>
          <w:rFonts w:ascii="Times New Roman" w:hAnsi="Times New Roman"/>
          <w:b/>
          <w:bCs/>
        </w:rPr>
        <w:t>Способ 2.</w:t>
      </w:r>
    </w:p>
    <w:p>
      <w:pPr>
        <w:pStyle w:val="Normal"/>
        <w:widowControl w:val="false"/>
        <w:tabs>
          <w:tab w:val="clear" w:pos="708"/>
          <w:tab w:val="left" w:pos="1134" w:leader="none"/>
        </w:tabs>
        <w:ind w:firstLine="567"/>
        <w:jc w:val="both"/>
        <w:rPr>
          <w:rFonts w:ascii="Times New Roman" w:hAnsi="Times New Roman"/>
          <w:i/>
          <w:i/>
          <w:iCs/>
        </w:rPr>
      </w:pPr>
      <w:r>
        <w:rPr>
          <w:rFonts w:ascii="Times New Roman" w:hAnsi="Times New Roman"/>
          <w:b/>
          <w:bCs/>
          <w:i/>
          <w:iCs/>
        </w:rPr>
        <w:t>В случае предоставления документов на бумажном носителе:</w:t>
      </w:r>
    </w:p>
    <w:p>
      <w:pPr>
        <w:pStyle w:val="Normal"/>
        <w:widowControl w:val="false"/>
        <w:tabs>
          <w:tab w:val="clear" w:pos="708"/>
          <w:tab w:val="left" w:pos="1134" w:leader="none"/>
        </w:tabs>
        <w:ind w:firstLine="567"/>
        <w:jc w:val="both"/>
        <w:rPr>
          <w:rFonts w:ascii="Times New Roman" w:hAnsi="Times New Roman"/>
          <w:b w:val="false"/>
          <w:bCs w:val="false"/>
          <w:i w:val="false"/>
          <w:i w:val="false"/>
          <w:iCs w:val="false"/>
        </w:rPr>
      </w:pPr>
      <w:r>
        <w:rPr>
          <w:rFonts w:ascii="Times New Roman" w:hAnsi="Times New Roman"/>
          <w:b w:val="false"/>
          <w:bCs w:val="false"/>
          <w:i w:val="false"/>
          <w:iCs w:val="false"/>
        </w:rPr>
        <w:t>- Оригинал товарной накладной в 2 (двух) экземплярах (один экземпляр для Государственного заказчика, один для Поставщика);</w:t>
      </w:r>
    </w:p>
    <w:p>
      <w:pPr>
        <w:pStyle w:val="Normal"/>
        <w:widowControl w:val="false"/>
        <w:tabs>
          <w:tab w:val="clear" w:pos="708"/>
          <w:tab w:val="left" w:pos="1134" w:leader="none"/>
        </w:tabs>
        <w:ind w:firstLine="567"/>
        <w:jc w:val="both"/>
        <w:rPr>
          <w:rFonts w:ascii="Times New Roman" w:hAnsi="Times New Roman"/>
        </w:rPr>
      </w:pPr>
      <w:r>
        <w:rPr>
          <w:rFonts w:ascii="Times New Roman" w:hAnsi="Times New Roman"/>
        </w:rPr>
        <w:t>- Оригинал Акта сдачи-приемки Товара, оформленный в соответствии с Приложением № 2 к Контракту в 2 (двух) экземплярах (один экземпляр для Государственного заказчика, один для Поставщика);</w:t>
      </w:r>
    </w:p>
    <w:p>
      <w:pPr>
        <w:pStyle w:val="Normal"/>
        <w:widowControl w:val="false"/>
        <w:tabs>
          <w:tab w:val="clear" w:pos="708"/>
          <w:tab w:val="left" w:pos="1134" w:leader="none"/>
        </w:tabs>
        <w:ind w:firstLine="567"/>
        <w:jc w:val="both"/>
        <w:rPr>
          <w:rFonts w:ascii="Times New Roman" w:hAnsi="Times New Roman"/>
        </w:rPr>
      </w:pPr>
      <w:bookmarkStart w:id="11" w:name="_Hlk219973717"/>
      <w:r>
        <w:rPr>
          <w:rFonts w:ascii="Times New Roman" w:hAnsi="Times New Roman"/>
        </w:rPr>
        <w:t>- Оригинал счета в 1 (одном) экземпляре, оригинал счета-фактуры в 1 (одном) экземпляре (при наличии), а также соответствующие документы (документация технического характера, документация о качестве, иные документы, относящиеся к выполненным работам), вся документация предоставляется на русском языке.</w:t>
      </w:r>
      <w:bookmarkEnd w:id="11"/>
    </w:p>
    <w:p>
      <w:pPr>
        <w:pStyle w:val="13"/>
        <w:numPr>
          <w:ilvl w:val="1"/>
          <w:numId w:val="1"/>
        </w:numPr>
        <w:shd w:val="clear" w:color="auto" w:fill="auto"/>
        <w:tabs>
          <w:tab w:val="clear" w:pos="708"/>
          <w:tab w:val="left" w:pos="1071" w:leader="none"/>
          <w:tab w:val="left" w:pos="1134" w:leader="none"/>
          <w:tab w:val="left" w:pos="2222" w:leader="underscore"/>
          <w:tab w:val="left" w:pos="8469" w:leader="none"/>
        </w:tabs>
        <w:ind w:firstLine="567"/>
        <w:jc w:val="both"/>
        <w:rPr/>
      </w:pPr>
      <w:r>
        <w:rPr/>
        <w:t>Поставщик вправе:</w:t>
      </w:r>
    </w:p>
    <w:p>
      <w:pPr>
        <w:pStyle w:val="13"/>
        <w:numPr>
          <w:ilvl w:val="2"/>
          <w:numId w:val="1"/>
        </w:numPr>
        <w:shd w:val="clear" w:color="auto" w:fill="auto"/>
        <w:tabs>
          <w:tab w:val="clear" w:pos="708"/>
          <w:tab w:val="left" w:pos="1134" w:leader="none"/>
          <w:tab w:val="left" w:pos="1235" w:leader="none"/>
          <w:tab w:val="left" w:pos="2222" w:leader="underscore"/>
          <w:tab w:val="left" w:pos="8469" w:leader="none"/>
        </w:tabs>
        <w:ind w:firstLine="567"/>
        <w:jc w:val="both"/>
        <w:rPr/>
      </w:pPr>
      <w:r>
        <w:rPr/>
        <w:t>Требовать приемки и оплаты Товара в объеме, порядке, сроки и на условиях, предусмотренных Контрактом.</w:t>
      </w:r>
    </w:p>
    <w:p>
      <w:pPr>
        <w:pStyle w:val="13"/>
        <w:numPr>
          <w:ilvl w:val="2"/>
          <w:numId w:val="1"/>
        </w:numPr>
        <w:shd w:val="clear" w:color="auto" w:fill="auto"/>
        <w:tabs>
          <w:tab w:val="clear" w:pos="708"/>
          <w:tab w:val="left" w:pos="1134" w:leader="none"/>
          <w:tab w:val="left" w:pos="1249" w:leader="none"/>
          <w:tab w:val="left" w:pos="2222" w:leader="underscore"/>
          <w:tab w:val="left" w:pos="8469" w:leader="none"/>
        </w:tabs>
        <w:spacing w:before="0" w:after="260"/>
        <w:ind w:firstLine="567"/>
        <w:jc w:val="both"/>
        <w:rPr/>
      </w:pPr>
      <w:r>
        <w:rPr/>
        <w:t>По согласованию с Государственным заказчиком досрочно поставить Товар.</w:t>
      </w:r>
    </w:p>
    <w:p>
      <w:pPr>
        <w:pStyle w:val="14"/>
        <w:keepNext w:val="true"/>
        <w:keepLines/>
        <w:numPr>
          <w:ilvl w:val="0"/>
          <w:numId w:val="1"/>
        </w:numPr>
        <w:shd w:val="clear" w:color="auto" w:fill="auto"/>
        <w:tabs>
          <w:tab w:val="clear" w:pos="708"/>
          <w:tab w:val="left" w:pos="342" w:leader="none"/>
          <w:tab w:val="left" w:pos="1134" w:leader="none"/>
          <w:tab w:val="left" w:pos="2222" w:leader="underscore"/>
          <w:tab w:val="left" w:pos="8469" w:leader="none"/>
        </w:tabs>
        <w:ind w:firstLine="567"/>
        <w:rPr/>
      </w:pPr>
      <w:bookmarkStart w:id="12" w:name="bookmark9"/>
      <w:bookmarkStart w:id="13" w:name="bookmark8"/>
      <w:r>
        <w:rPr/>
        <w:t>КАЧЕСТВО ТОВАРА</w:t>
      </w:r>
      <w:bookmarkEnd w:id="12"/>
      <w:bookmarkEnd w:id="13"/>
    </w:p>
    <w:p>
      <w:pPr>
        <w:pStyle w:val="13"/>
        <w:numPr>
          <w:ilvl w:val="1"/>
          <w:numId w:val="1"/>
        </w:numPr>
        <w:shd w:val="clear" w:color="auto" w:fill="auto"/>
        <w:tabs>
          <w:tab w:val="clear" w:pos="708"/>
          <w:tab w:val="left" w:pos="1134" w:leader="none"/>
          <w:tab w:val="left" w:pos="1235" w:leader="none"/>
          <w:tab w:val="left" w:pos="2222" w:leader="underscore"/>
          <w:tab w:val="left" w:pos="8469" w:leader="none"/>
        </w:tabs>
        <w:ind w:firstLine="567"/>
        <w:jc w:val="both"/>
        <w:rPr/>
      </w:pPr>
      <w:r>
        <w:rPr/>
        <w:t>Поставщик обязуется поставить качественный товар, в соответствии с Техническим заданием (Приложение № 3 к Контракту).</w:t>
      </w:r>
    </w:p>
    <w:p>
      <w:pPr>
        <w:pStyle w:val="13"/>
        <w:numPr>
          <w:ilvl w:val="1"/>
          <w:numId w:val="1"/>
        </w:numPr>
        <w:shd w:val="clear" w:color="auto" w:fill="auto"/>
        <w:tabs>
          <w:tab w:val="clear" w:pos="708"/>
          <w:tab w:val="left" w:pos="1057" w:leader="none"/>
          <w:tab w:val="left" w:pos="1134" w:leader="none"/>
          <w:tab w:val="left" w:pos="2222" w:leader="underscore"/>
          <w:tab w:val="left" w:pos="8469" w:leader="none"/>
        </w:tabs>
        <w:ind w:firstLine="567"/>
        <w:jc w:val="both"/>
        <w:rPr/>
      </w:pPr>
      <w:r>
        <w:rPr/>
        <w:t>Товар должен поставляться в таре/упаковке, обеспечивающих сохранность Товара при перевозке и хранении, без дефектов.</w:t>
      </w:r>
    </w:p>
    <w:p>
      <w:pPr>
        <w:pStyle w:val="ConsPlusNormal"/>
        <w:spacing w:lineRule="auto" w:line="23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13"/>
        <w:numPr>
          <w:ilvl w:val="0"/>
          <w:numId w:val="0"/>
        </w:numPr>
        <w:shd w:val="clear" w:color="auto" w:fill="auto"/>
        <w:tabs>
          <w:tab w:val="clear" w:pos="708"/>
          <w:tab w:val="left" w:pos="1067" w:leader="none"/>
          <w:tab w:val="left" w:pos="1134" w:leader="none"/>
          <w:tab w:val="left" w:pos="2222" w:leader="underscore"/>
          <w:tab w:val="left" w:pos="8469" w:leader="none"/>
        </w:tabs>
        <w:ind w:hanging="0" w:left="0"/>
        <w:jc w:val="both"/>
        <w:rPr/>
      </w:pPr>
      <w:r>
        <w:rPr/>
        <w:t xml:space="preserve">     </w:t>
      </w:r>
      <w:r>
        <w:rPr>
          <w:rFonts w:cs="Times New Roman"/>
          <w:color w:val="000000"/>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pPr>
        <w:pStyle w:val="13"/>
        <w:numPr>
          <w:ilvl w:val="1"/>
          <w:numId w:val="1"/>
        </w:numPr>
        <w:shd w:val="clear" w:color="auto" w:fill="auto"/>
        <w:tabs>
          <w:tab w:val="clear" w:pos="708"/>
          <w:tab w:val="left" w:pos="1057" w:leader="none"/>
          <w:tab w:val="left" w:pos="1134" w:leader="none"/>
          <w:tab w:val="left" w:pos="2222" w:leader="underscore"/>
          <w:tab w:val="left" w:pos="8469" w:leader="none"/>
        </w:tabs>
        <w:ind w:firstLine="567"/>
        <w:jc w:val="both"/>
        <w:rPr/>
      </w:pPr>
      <w:r>
        <w:rPr/>
        <w:t>Государственный заказчик в случае обнаружения в Товаре недостатков, по своему выбору вправе:</w:t>
      </w:r>
    </w:p>
    <w:p>
      <w:pPr>
        <w:pStyle w:val="13"/>
        <w:shd w:val="clear" w:color="auto" w:fill="auto"/>
        <w:tabs>
          <w:tab w:val="clear" w:pos="708"/>
          <w:tab w:val="left" w:pos="917" w:leader="none"/>
          <w:tab w:val="left" w:pos="1134" w:leader="none"/>
          <w:tab w:val="left" w:pos="2222" w:leader="underscore"/>
          <w:tab w:val="left" w:pos="8469" w:leader="none"/>
        </w:tabs>
        <w:ind w:firstLine="567"/>
        <w:jc w:val="both"/>
        <w:rPr/>
      </w:pPr>
      <w:r>
        <w:rPr/>
        <w:t xml:space="preserve">а) </w:t>
        <w:tab/>
        <w:t>потребовать замены на товар этой же марки (этих же модели и (или) артикула);</w:t>
      </w:r>
    </w:p>
    <w:p>
      <w:pPr>
        <w:pStyle w:val="13"/>
        <w:shd w:val="clear" w:color="auto" w:fill="auto"/>
        <w:tabs>
          <w:tab w:val="clear" w:pos="708"/>
          <w:tab w:val="left" w:pos="941" w:leader="none"/>
          <w:tab w:val="left" w:pos="1134" w:leader="none"/>
          <w:tab w:val="left" w:pos="2222" w:leader="underscore"/>
          <w:tab w:val="left" w:pos="8469" w:leader="none"/>
        </w:tabs>
        <w:ind w:firstLine="567"/>
        <w:jc w:val="both"/>
        <w:rPr/>
      </w:pPr>
      <w:r>
        <w:rPr/>
        <w:t xml:space="preserve">б) </w:t>
        <w:tab/>
        <w:t>потребовать незамедлительного безвозмездного устранения недостатков Товара.</w:t>
      </w:r>
    </w:p>
    <w:p>
      <w:pPr>
        <w:pStyle w:val="13"/>
        <w:numPr>
          <w:ilvl w:val="1"/>
          <w:numId w:val="1"/>
        </w:numPr>
        <w:shd w:val="clear" w:color="auto" w:fill="auto"/>
        <w:tabs>
          <w:tab w:val="clear" w:pos="708"/>
          <w:tab w:val="left" w:pos="1067" w:leader="none"/>
          <w:tab w:val="left" w:pos="1134" w:leader="none"/>
          <w:tab w:val="left" w:pos="2222" w:leader="underscore"/>
          <w:tab w:val="left" w:pos="8469" w:leader="none"/>
        </w:tabs>
        <w:ind w:firstLine="567"/>
        <w:jc w:val="both"/>
        <w:rPr/>
      </w:pPr>
      <w:r>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pPr>
        <w:pStyle w:val="13"/>
        <w:numPr>
          <w:ilvl w:val="0"/>
          <w:numId w:val="0"/>
        </w:numPr>
        <w:shd w:val="clear" w:color="auto" w:fill="auto"/>
        <w:tabs>
          <w:tab w:val="clear" w:pos="708"/>
          <w:tab w:val="left" w:pos="1067" w:leader="none"/>
          <w:tab w:val="left" w:pos="1134" w:leader="none"/>
          <w:tab w:val="left" w:pos="2222" w:leader="underscore"/>
          <w:tab w:val="left" w:pos="8469" w:leader="none"/>
        </w:tabs>
        <w:ind w:hanging="0" w:left="0"/>
        <w:jc w:val="both"/>
        <w:rPr/>
      </w:pPr>
      <w:r>
        <w:rPr/>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В случае поставки некачественного товара, Государственный заказчик в течение всего срока службы товара вправе потребовать от Поставщика безвозмездно устранить недостатки товара в течение 10 дней с момента заявления о них Государственным заказчиком, либо возместить расходы Государственного заказчика на устранение недостатков товара, за исключением случаев, когда Поставщик без промедления в течение 1 (одного) дня заменит поставленные товары качественными товарами.</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В случае существенного нарушения требований к качеству товара, Государственный заказчик вправе вернуть товар ненадлежащего качества без оплаты товара.</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Требования, связанные с недостатками Товара, могут быть предъявлены Государственным заказчиком, если недостатки Товара обнаружены в течение гарантийного срока Товара.</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spacing w:before="0" w:after="260"/>
        <w:ind w:firstLine="567"/>
        <w:jc w:val="both"/>
        <w:rPr/>
      </w:pPr>
      <w:r>
        <w:rPr/>
        <w:t>На поставляемый товар Поставщик предоставляет гарантию 12 месяцев с даты поставки Товара.</w:t>
      </w:r>
    </w:p>
    <w:p>
      <w:pPr>
        <w:pStyle w:val="14"/>
        <w:keepNext w:val="true"/>
        <w:keepLines/>
        <w:numPr>
          <w:ilvl w:val="0"/>
          <w:numId w:val="1"/>
        </w:numPr>
        <w:shd w:val="clear" w:color="auto" w:fill="auto"/>
        <w:tabs>
          <w:tab w:val="clear" w:pos="708"/>
          <w:tab w:val="left" w:pos="322" w:leader="none"/>
          <w:tab w:val="left" w:pos="1134" w:leader="none"/>
          <w:tab w:val="left" w:pos="2222" w:leader="underscore"/>
          <w:tab w:val="left" w:pos="8469" w:leader="none"/>
        </w:tabs>
        <w:ind w:firstLine="567"/>
        <w:rPr/>
      </w:pPr>
      <w:bookmarkStart w:id="14" w:name="bookmark11"/>
      <w:bookmarkStart w:id="15" w:name="bookmark10"/>
      <w:r>
        <w:rPr/>
        <w:t>ПОРЯДОК ПОСТАВКИ ТОВАРА</w:t>
      </w:r>
      <w:bookmarkEnd w:id="14"/>
      <w:bookmarkEnd w:id="15"/>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color w:val="000000"/>
        </w:rPr>
      </w:pPr>
      <w:r>
        <w:rPr>
          <w:color w:val="000000"/>
        </w:rPr>
        <w:t xml:space="preserve"> </w:t>
      </w:r>
      <w:r>
        <w:rPr>
          <w:color w:val="000000"/>
        </w:rPr>
        <w:t xml:space="preserve">Доставка до места поставки Товара должна осуществляться одной партией силами и средствами Поставщика </w:t>
      </w:r>
      <w:bookmarkStart w:id="16" w:name="_Hlk207618303"/>
      <w:r>
        <w:rPr>
          <w:color w:val="000000"/>
        </w:rPr>
        <w:t>по заявке Заказчика посредством электронной почты, сообщения на мессенджер,телефонного звонка.</w:t>
      </w:r>
      <w:bookmarkEnd w:id="16"/>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Поставка Товара должна осуществляться единовременно в месте доставки Товара с понедельника по пятницу, с 9 до 13 часов и с 14 до 17 часов (за исключением выходных и общепринятых праздничных дней). Дата и время поставки согласовывается с Государственным заказчиком.</w:t>
      </w:r>
    </w:p>
    <w:p>
      <w:pPr>
        <w:pStyle w:val="13"/>
        <w:numPr>
          <w:ilvl w:val="2"/>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Условия поставки товара:</w:t>
      </w:r>
    </w:p>
    <w:p>
      <w:pPr>
        <w:pStyle w:val="15"/>
        <w:tabs>
          <w:tab w:val="clear" w:pos="708"/>
          <w:tab w:val="left" w:pos="1134" w:leader="none"/>
          <w:tab w:val="left" w:pos="2222" w:leader="underscore"/>
          <w:tab w:val="left" w:pos="8469" w:leader="none"/>
        </w:tabs>
        <w:ind w:firstLine="567"/>
        <w:jc w:val="both"/>
        <w:rPr>
          <w:rFonts w:ascii="Times New Roman" w:hAnsi="Times New Roman"/>
          <w:bCs/>
          <w:sz w:val="24"/>
          <w:szCs w:val="24"/>
        </w:rPr>
      </w:pPr>
      <w:r>
        <w:rPr>
          <w:rFonts w:ascii="Times New Roman" w:hAnsi="Times New Roman"/>
          <w:bCs/>
          <w:sz w:val="24"/>
          <w:szCs w:val="24"/>
        </w:rPr>
        <w:t>Поставка Товара и оказание сопутствующих услуг, расходы на реализацию гарантийных обязательств осуществляются за счет Поставщика.</w:t>
      </w:r>
    </w:p>
    <w:p>
      <w:pPr>
        <w:pStyle w:val="15"/>
        <w:tabs>
          <w:tab w:val="clear" w:pos="708"/>
          <w:tab w:val="left" w:pos="1134" w:leader="none"/>
          <w:tab w:val="left" w:pos="2222" w:leader="underscore"/>
          <w:tab w:val="left" w:pos="8469" w:leader="none"/>
        </w:tabs>
        <w:ind w:firstLine="567"/>
        <w:jc w:val="both"/>
        <w:rPr>
          <w:rFonts w:ascii="Times New Roman" w:hAnsi="Times New Roman"/>
          <w:bCs/>
          <w:sz w:val="24"/>
          <w:szCs w:val="24"/>
        </w:rPr>
      </w:pPr>
      <w:r>
        <w:rPr>
          <w:rFonts w:ascii="Times New Roman" w:hAnsi="Times New Roman"/>
          <w:bCs/>
          <w:sz w:val="24"/>
          <w:szCs w:val="24"/>
        </w:rPr>
        <w:t>В ходе выполнения Государственного контракта Поставщик оказывает сопутствующие поставке услуги, т.е.:</w:t>
      </w:r>
    </w:p>
    <w:p>
      <w:pPr>
        <w:pStyle w:val="13"/>
        <w:shd w:val="clear" w:color="auto" w:fill="auto"/>
        <w:tabs>
          <w:tab w:val="clear" w:pos="708"/>
          <w:tab w:val="left" w:pos="1066" w:leader="none"/>
          <w:tab w:val="left" w:pos="1134" w:leader="none"/>
          <w:tab w:val="left" w:pos="2222" w:leader="underscore"/>
          <w:tab w:val="left" w:pos="8469" w:leader="none"/>
        </w:tabs>
        <w:ind w:firstLine="567"/>
        <w:jc w:val="both"/>
        <w:rPr>
          <w:bCs/>
        </w:rPr>
      </w:pPr>
      <w:r>
        <w:rPr>
          <w:bCs/>
        </w:rPr>
        <w:t xml:space="preserve">- доставку и разгрузку поставленного Товара на этаж в рабочее помещение Государственного заказчика;  </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Поставка Товара должна осуществляться в упаковке, отвечающей требованиям ГОСТов, способу транспортировки и обеспечивающей сохранность целостности и надлежащего товарного вида Товара. Поставщик несет ответственность за всякого рода порчу Товара до приемки его Государственным заказчиком вследствие некачественной упаковки или несоблюдения инструкции по хранению.</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Поставщик обязан поставить Товар Государственному заказчику, указанный в Спецификации (Приложение № 1 к Контракту). В случае предоставления Товара, не указанного в Спецификации (Приложение № 1 к Контракту) его оплата не производится, а Товар возвращается Поставщику без оплаты.</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spacing w:before="0" w:after="260"/>
        <w:ind w:firstLine="567"/>
        <w:jc w:val="both"/>
        <w:rPr/>
      </w:pPr>
      <w:r>
        <w:rPr/>
        <w:t>Поставщик обязуется поставить Товар Государственному заказчику свободным от любых прав третьих лиц.</w:t>
      </w:r>
    </w:p>
    <w:p>
      <w:pPr>
        <w:pStyle w:val="14"/>
        <w:keepNext w:val="true"/>
        <w:keepLines/>
        <w:numPr>
          <w:ilvl w:val="0"/>
          <w:numId w:val="1"/>
        </w:numPr>
        <w:shd w:val="clear" w:color="auto" w:fill="auto"/>
        <w:tabs>
          <w:tab w:val="clear" w:pos="708"/>
          <w:tab w:val="left" w:pos="318" w:leader="none"/>
          <w:tab w:val="left" w:pos="1134" w:leader="none"/>
          <w:tab w:val="left" w:pos="2222" w:leader="underscore"/>
          <w:tab w:val="left" w:pos="8469" w:leader="none"/>
        </w:tabs>
        <w:ind w:firstLine="567"/>
        <w:rPr/>
      </w:pPr>
      <w:bookmarkStart w:id="17" w:name="bookmark13"/>
      <w:bookmarkStart w:id="18" w:name="bookmark12"/>
      <w:r>
        <w:rPr/>
        <w:t>ПОРЯДОК ПРИЕМКИ ТОВАРА</w:t>
      </w:r>
      <w:bookmarkEnd w:id="17"/>
      <w:bookmarkEnd w:id="18"/>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 xml:space="preserve">Приемка Товара по количеству и качеству производится в помещении Государственного заказчика в соответствии с действующим законодательством Российской Федерации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w:t>
      </w:r>
      <w:r>
        <w:rPr>
          <w:lang w:val="en-US" w:eastAsia="en-US" w:bidi="en-US"/>
        </w:rPr>
        <w:t>N</w:t>
      </w:r>
      <w:r>
        <w:rPr/>
        <w:t xml:space="preserve">П-6) (ред. от 23.07.1975, с изм. от 22.10.1997), 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w:t>
      </w:r>
      <w:r>
        <w:rPr>
          <w:lang w:val="en-US" w:eastAsia="en-US" w:bidi="en-US"/>
        </w:rPr>
        <w:t>N</w:t>
      </w:r>
      <w:r>
        <w:rPr/>
        <w:t>П-7) (ред. от 23.07.1975, с изм. от 22.10.1997).</w:t>
      </w:r>
    </w:p>
    <w:p>
      <w:pPr>
        <w:pStyle w:val="13"/>
        <w:numPr>
          <w:ilvl w:val="1"/>
          <w:numId w:val="1"/>
        </w:numPr>
        <w:shd w:val="clear" w:color="auto" w:fill="auto"/>
        <w:tabs>
          <w:tab w:val="clear" w:pos="708"/>
          <w:tab w:val="left" w:pos="1134" w:leader="none"/>
          <w:tab w:val="left" w:pos="2222" w:leader="underscore"/>
          <w:tab w:val="left" w:pos="8469" w:leader="none"/>
        </w:tabs>
        <w:ind w:firstLine="567"/>
        <w:jc w:val="both"/>
        <w:rPr/>
      </w:pPr>
      <w:r>
        <w:rPr/>
        <w:t>Право собственности на Товар и риск случайной гибели переходит к Государственному заказчику с момента приемки от Поставщика Товара в помещении Государственного заказчика.</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Приемка Товара по количеству производится по товарной накладной, либо УПД в зависимости от выбранного способа предоставления отчетной документации, указанного в п.3.3.10.</w:t>
      </w:r>
    </w:p>
    <w:p>
      <w:pPr>
        <w:pStyle w:val="13"/>
        <w:shd w:val="clear" w:color="auto" w:fill="auto"/>
        <w:tabs>
          <w:tab w:val="clear" w:pos="708"/>
          <w:tab w:val="left" w:pos="1134" w:leader="none"/>
          <w:tab w:val="left" w:pos="2222" w:leader="underscore"/>
          <w:tab w:val="left" w:pos="8469" w:leader="none"/>
        </w:tabs>
        <w:ind w:firstLine="567"/>
        <w:jc w:val="both"/>
        <w:rPr/>
      </w:pPr>
      <w:r>
        <w:rPr/>
        <w:t>Приемка поставленного Товара по количеству включает в себя:</w:t>
      </w:r>
    </w:p>
    <w:p>
      <w:pPr>
        <w:pStyle w:val="13"/>
        <w:shd w:val="clear" w:color="auto" w:fill="auto"/>
        <w:tabs>
          <w:tab w:val="clear" w:pos="708"/>
          <w:tab w:val="left" w:pos="1134" w:leader="none"/>
          <w:tab w:val="left" w:pos="2222" w:leader="underscore"/>
          <w:tab w:val="left" w:pos="8469" w:leader="none"/>
        </w:tabs>
        <w:ind w:firstLine="567"/>
        <w:jc w:val="both"/>
        <w:rPr/>
      </w:pPr>
      <w:r>
        <w:rPr/>
        <w:t>- контроль наличия/отсутствия внешних повреждений товара и упаковки;</w:t>
      </w:r>
    </w:p>
    <w:p>
      <w:pPr>
        <w:pStyle w:val="13"/>
        <w:shd w:val="clear" w:color="auto" w:fill="auto"/>
        <w:tabs>
          <w:tab w:val="clear" w:pos="708"/>
          <w:tab w:val="left" w:pos="1134" w:leader="none"/>
          <w:tab w:val="left" w:pos="2222" w:leader="underscore"/>
          <w:tab w:val="left" w:pos="8469" w:leader="none"/>
        </w:tabs>
        <w:ind w:firstLine="567"/>
        <w:jc w:val="both"/>
        <w:rPr/>
      </w:pPr>
      <w:r>
        <w:rPr/>
        <w:t>- проверка количества поставленного Товара на соответствие спецификации к настоящему Контракту.</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Для проверки поставленного товара в части соответствия условиям настоящего Контракта Государственный заказчик проводит экспертизу. Экспертиза может проводиться Государственным заказчиком своими силами или к её проведению могут привлекаться независимые эксперты (экспертные организации).</w:t>
      </w:r>
    </w:p>
    <w:p>
      <w:pPr>
        <w:pStyle w:val="13"/>
        <w:numPr>
          <w:ilvl w:val="1"/>
          <w:numId w:val="1"/>
        </w:numPr>
        <w:tabs>
          <w:tab w:val="clear" w:pos="708"/>
          <w:tab w:val="left" w:pos="1066" w:leader="none"/>
        </w:tabs>
        <w:ind w:firstLine="567"/>
        <w:jc w:val="both"/>
        <w:rPr/>
      </w:pPr>
      <w:r>
        <w:rPr/>
        <w:t xml:space="preserve">В течение 5 (пяти) рабочих дней с момента предоставления </w:t>
      </w:r>
      <w:r>
        <w:rPr>
          <w:rFonts w:cs="Times New Roman"/>
        </w:rPr>
        <w:t>всех необходимых документов, предусмотренных законодательством Российской Федерации и Контрактом для данного вида Товара, а также иных документов, подтверждающих качество Товара</w:t>
      </w:r>
      <w:r>
        <w:rPr/>
        <w:t>, Заказчик осуществляет приемку и экспертизу поставленного Товара (при необходимости) на соответствие количества, объема и соответствия Товара требованиям, указанным в Спецификации (Приложение № 1 к Контракту) и Техническом задании (Приложение № 3 к Контракту).</w:t>
      </w:r>
    </w:p>
    <w:p>
      <w:pPr>
        <w:pStyle w:val="13"/>
        <w:shd w:val="clear" w:color="auto" w:fill="auto"/>
        <w:tabs>
          <w:tab w:val="clear" w:pos="708"/>
          <w:tab w:val="left" w:pos="1066" w:leader="none"/>
          <w:tab w:val="left" w:pos="1134" w:leader="none"/>
          <w:tab w:val="left" w:pos="2222" w:leader="underscore"/>
          <w:tab w:val="left" w:pos="8469" w:leader="none"/>
        </w:tabs>
        <w:ind w:firstLine="567"/>
        <w:jc w:val="both"/>
        <w:rPr/>
      </w:pPr>
      <w:r>
        <w:rPr/>
        <w:t>При отсутствии замечаний, Заказчик подписывает Акт сдачи-приемки Товара/УПД, либо мотивированный отказ от приемки услуг и/или поставленного товара.</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В случае выявления несоответствия Товара характеристикам, указанным в спецификации к настоящему Контракту, а также несоответствия Товара требованиям, установленным действующим законодательством Российской Федерации, условиям Контракта, Государственный заказчик направляет Поставщику мотивированный отказ от приемки поставленного Товара (Акт рекламаций), с указанием замечаний и сроков их устранения, в том числе, о замене ненадлежащего Товара. Акт сдачи-приемки Товара в этом случае Государственным заказчиком не подписывается.</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Поставщик обязан устранить выявленные замечания без взимания платы в срок, указанный в Акте рекламаций.</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Поставщик направляет Государственному заказчику письменное уведомление об устранении замечаний, указанных в Акте рекламаций, в течение 1 (одного) рабочего дня со дня их устранения.</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spacing w:before="0" w:after="260"/>
        <w:ind w:firstLine="567"/>
        <w:jc w:val="both"/>
        <w:rPr/>
      </w:pPr>
      <w:r>
        <w:rPr/>
        <w:t>Государственный заказчик в течение 3 (трех) рабочих дней с даты получения письменного уведомления об устранении замечаний, указанных в Акте рекламаций, обязан обеспечить приемку Товара либо отказаться от исполнения Контракта.</w:t>
      </w:r>
    </w:p>
    <w:p>
      <w:pPr>
        <w:pStyle w:val="14"/>
        <w:keepNext w:val="true"/>
        <w:keepLines/>
        <w:numPr>
          <w:ilvl w:val="0"/>
          <w:numId w:val="1"/>
        </w:numPr>
        <w:shd w:val="clear" w:color="auto" w:fill="auto"/>
        <w:tabs>
          <w:tab w:val="clear" w:pos="708"/>
          <w:tab w:val="left" w:pos="318" w:leader="none"/>
          <w:tab w:val="left" w:pos="1134" w:leader="none"/>
          <w:tab w:val="left" w:pos="2222" w:leader="underscore"/>
          <w:tab w:val="left" w:pos="8469" w:leader="none"/>
        </w:tabs>
        <w:ind w:firstLine="567"/>
        <w:rPr/>
      </w:pPr>
      <w:bookmarkStart w:id="19" w:name="bookmark15"/>
      <w:bookmarkStart w:id="20" w:name="bookmark14"/>
      <w:r>
        <w:rPr/>
        <w:t>СРОК ДЕЙСТВИЯ КОНТРАКТА</w:t>
      </w:r>
      <w:bookmarkEnd w:id="19"/>
      <w:bookmarkEnd w:id="20"/>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spacing w:before="0" w:after="260"/>
        <w:ind w:firstLine="567"/>
        <w:jc w:val="both"/>
        <w:rPr/>
      </w:pPr>
      <w:r>
        <w:rPr/>
        <w:t>Контракт вступает в силу с момента подписания и действует по 3</w:t>
      </w:r>
      <w:r>
        <w:rPr/>
        <w:t>0</w:t>
      </w:r>
      <w:r>
        <w:rPr/>
        <w:t xml:space="preserve"> июля 2026 г., а в части оплаты до полного исполнения обязательств Сторонами.</w:t>
      </w:r>
    </w:p>
    <w:p>
      <w:pPr>
        <w:pStyle w:val="14"/>
        <w:keepNext w:val="true"/>
        <w:keepLines/>
        <w:numPr>
          <w:ilvl w:val="0"/>
          <w:numId w:val="1"/>
        </w:numPr>
        <w:shd w:val="clear" w:color="auto" w:fill="auto"/>
        <w:tabs>
          <w:tab w:val="clear" w:pos="708"/>
          <w:tab w:val="left" w:pos="318" w:leader="none"/>
          <w:tab w:val="left" w:pos="1134" w:leader="none"/>
          <w:tab w:val="left" w:pos="2222" w:leader="underscore"/>
          <w:tab w:val="left" w:pos="8469" w:leader="none"/>
        </w:tabs>
        <w:ind w:firstLine="567"/>
        <w:rPr/>
      </w:pPr>
      <w:bookmarkStart w:id="21" w:name="bookmark17"/>
      <w:bookmarkStart w:id="22" w:name="bookmark16"/>
      <w:r>
        <w:rPr/>
        <w:t>ФОРС-МАЖОР</w:t>
      </w:r>
      <w:bookmarkEnd w:id="21"/>
      <w:bookmarkEnd w:id="22"/>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w:t>
      </w:r>
    </w:p>
    <w:p>
      <w:pPr>
        <w:pStyle w:val="13"/>
        <w:shd w:val="clear" w:color="auto" w:fill="auto"/>
        <w:tabs>
          <w:tab w:val="clear" w:pos="708"/>
          <w:tab w:val="left" w:pos="1134" w:leader="none"/>
          <w:tab w:val="left" w:pos="2222" w:leader="underscore"/>
          <w:tab w:val="left" w:pos="8469" w:leader="none"/>
        </w:tabs>
        <w:ind w:firstLine="567"/>
        <w:jc w:val="both"/>
        <w:rPr/>
      </w:pPr>
      <w:r>
        <w:rPr/>
        <w:t>Под обстоятельствами непреодолимой силы подразумеваются внешние чрезвычайные события, политические и экономические изменения, непосредственно влияющие на исполнение контрактных обязательств, которые наступили независимо от воли Сторон (пожары, землетрясения, наводнения, любые другие стихийные бедствия, эпидемии, аварии, взрывы, несчастные случаи, забастовки, массовые беспорядки, волнения гражданского населения, действия враждебных сил, война, а также установления органов власти всех уровней, предписания судебных органов), временное или полное прекращение финансирования Государственного заказчика или финансирование в неполном объеме, инфляция, а также все другие события и обстоятельства, которые Стороны не могли предвидеть и/или предотвратить.</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Неуведомление,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13"/>
        <w:shd w:val="clear" w:color="auto" w:fill="auto"/>
        <w:tabs>
          <w:tab w:val="clear" w:pos="708"/>
          <w:tab w:val="left" w:pos="1066" w:leader="none"/>
          <w:tab w:val="left" w:pos="1134" w:leader="none"/>
          <w:tab w:val="left" w:pos="2222" w:leader="underscore"/>
          <w:tab w:val="left" w:pos="8469" w:leader="none"/>
        </w:tabs>
        <w:ind w:firstLine="567"/>
        <w:jc w:val="both"/>
        <w:rPr/>
      </w:pPr>
      <w:r>
        <w:rPr/>
      </w:r>
    </w:p>
    <w:p>
      <w:pPr>
        <w:pStyle w:val="14"/>
        <w:keepNext w:val="true"/>
        <w:keepLines/>
        <w:numPr>
          <w:ilvl w:val="0"/>
          <w:numId w:val="1"/>
        </w:numPr>
        <w:shd w:val="clear" w:color="auto" w:fill="auto"/>
        <w:tabs>
          <w:tab w:val="clear" w:pos="708"/>
          <w:tab w:val="left" w:pos="330" w:leader="none"/>
          <w:tab w:val="left" w:pos="1134" w:leader="none"/>
          <w:tab w:val="left" w:pos="2222" w:leader="underscore"/>
          <w:tab w:val="left" w:pos="8469" w:leader="none"/>
        </w:tabs>
        <w:ind w:firstLine="567"/>
        <w:rPr/>
      </w:pPr>
      <w:bookmarkStart w:id="23" w:name="bookmark19"/>
      <w:bookmarkStart w:id="24" w:name="bookmark18"/>
      <w:r>
        <w:rPr/>
        <w:t>ОТВЕТСТВЕННОСТЬ СТОРОН</w:t>
      </w:r>
      <w:bookmarkEnd w:id="23"/>
      <w:bookmarkEnd w:id="24"/>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ind w:firstLine="567"/>
        <w:jc w:val="both"/>
        <w:rPr/>
      </w:pPr>
      <w:r>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pPr>
        <w:pStyle w:val="13"/>
        <w:numPr>
          <w:ilvl w:val="1"/>
          <w:numId w:val="1"/>
        </w:numPr>
        <w:shd w:val="clear" w:color="auto" w:fill="auto"/>
        <w:tabs>
          <w:tab w:val="clear" w:pos="708"/>
          <w:tab w:val="left" w:pos="1066" w:leader="none"/>
          <w:tab w:val="left" w:pos="1134" w:leader="none"/>
          <w:tab w:val="left" w:pos="2222" w:leader="underscore"/>
          <w:tab w:val="left" w:pos="8469" w:leader="none"/>
        </w:tabs>
        <w:spacing w:before="0" w:after="260"/>
        <w:ind w:firstLine="567"/>
        <w:jc w:val="both"/>
        <w:rPr/>
      </w:pPr>
      <w:r>
        <w:rPr/>
        <w:t>Ущерб, нанесенный третьему лицу, в ходе оказания услуг и произошедший по вине Поставщика, компенсируется за счет Поставщика.</w:t>
      </w:r>
    </w:p>
    <w:p>
      <w:pPr>
        <w:pStyle w:val="14"/>
        <w:keepNext w:val="true"/>
        <w:keepLines/>
        <w:numPr>
          <w:ilvl w:val="0"/>
          <w:numId w:val="1"/>
        </w:numPr>
        <w:shd w:val="clear" w:color="auto" w:fill="auto"/>
        <w:tabs>
          <w:tab w:val="clear" w:pos="708"/>
          <w:tab w:val="left" w:pos="442" w:leader="none"/>
          <w:tab w:val="left" w:pos="1134" w:leader="none"/>
          <w:tab w:val="left" w:pos="2222" w:leader="underscore"/>
          <w:tab w:val="left" w:pos="8469" w:leader="none"/>
        </w:tabs>
        <w:ind w:firstLine="567"/>
        <w:rPr/>
      </w:pPr>
      <w:bookmarkStart w:id="25" w:name="bookmark21"/>
      <w:bookmarkStart w:id="26" w:name="bookmark20"/>
      <w:r>
        <w:rPr/>
        <w:t>РАЗРЕШЕНИЕ СПОРОВ</w:t>
      </w:r>
      <w:bookmarkEnd w:id="25"/>
      <w:bookmarkEnd w:id="26"/>
    </w:p>
    <w:p>
      <w:pPr>
        <w:pStyle w:val="13"/>
        <w:numPr>
          <w:ilvl w:val="1"/>
          <w:numId w:val="1"/>
        </w:numPr>
        <w:shd w:val="clear" w:color="auto" w:fill="auto"/>
        <w:tabs>
          <w:tab w:val="clear" w:pos="708"/>
          <w:tab w:val="left" w:pos="1134" w:leader="none"/>
          <w:tab w:val="left" w:pos="1279" w:leader="none"/>
          <w:tab w:val="left" w:pos="2222" w:leader="underscore"/>
          <w:tab w:val="left" w:pos="8469" w:leader="none"/>
        </w:tabs>
        <w:ind w:firstLine="567"/>
        <w:jc w:val="both"/>
        <w:rPr/>
      </w:pPr>
      <w:r>
        <w:rPr/>
        <w:t>В случае возникновения споров и разногласий при исполнении контракта Стороны обязуются принимать все меры к разрешению разногласий путем переговоров.</w:t>
      </w:r>
    </w:p>
    <w:p>
      <w:pPr>
        <w:pStyle w:val="13"/>
        <w:numPr>
          <w:ilvl w:val="1"/>
          <w:numId w:val="1"/>
        </w:numPr>
        <w:shd w:val="clear" w:color="auto" w:fill="auto"/>
        <w:tabs>
          <w:tab w:val="clear" w:pos="708"/>
          <w:tab w:val="left" w:pos="1134" w:leader="none"/>
          <w:tab w:val="left" w:pos="1186" w:leader="none"/>
          <w:tab w:val="left" w:pos="2222" w:leader="underscore"/>
          <w:tab w:val="left" w:pos="8469" w:leader="none"/>
        </w:tabs>
        <w:ind w:firstLine="567"/>
        <w:jc w:val="both"/>
        <w:rPr/>
      </w:pPr>
      <w:r>
        <w:rPr/>
        <w:t>В случае если согласие не достигнуто, то споры и разногласия разрешаются в досудебном порядке.</w:t>
      </w:r>
    </w:p>
    <w:p>
      <w:pPr>
        <w:pStyle w:val="13"/>
        <w:numPr>
          <w:ilvl w:val="2"/>
          <w:numId w:val="1"/>
        </w:numPr>
        <w:shd w:val="clear" w:color="auto" w:fill="auto"/>
        <w:tabs>
          <w:tab w:val="clear" w:pos="708"/>
          <w:tab w:val="left" w:pos="1134" w:leader="none"/>
          <w:tab w:val="left" w:pos="1369" w:leader="none"/>
          <w:tab w:val="left" w:pos="2222" w:leader="underscore"/>
          <w:tab w:val="left" w:pos="8469" w:leader="none"/>
        </w:tabs>
        <w:ind w:firstLine="567"/>
        <w:jc w:val="both"/>
        <w:rPr/>
      </w:pPr>
      <w:r>
        <w:rPr/>
        <w:t>Сторона, право которой нарушено, до обращения в Арбитражный суд обязана предъявить письменно другой Стороне претензию с изложением своих требований.</w:t>
      </w:r>
    </w:p>
    <w:p>
      <w:pPr>
        <w:pStyle w:val="13"/>
        <w:numPr>
          <w:ilvl w:val="2"/>
          <w:numId w:val="1"/>
        </w:numPr>
        <w:shd w:val="clear" w:color="auto" w:fill="auto"/>
        <w:tabs>
          <w:tab w:val="clear" w:pos="708"/>
          <w:tab w:val="left" w:pos="1134" w:leader="none"/>
          <w:tab w:val="left" w:pos="1369" w:leader="none"/>
          <w:tab w:val="left" w:pos="2222" w:leader="underscore"/>
          <w:tab w:val="left" w:pos="8469" w:leader="none"/>
        </w:tabs>
        <w:ind w:firstLine="567"/>
        <w:jc w:val="both"/>
        <w:rPr/>
      </w:pPr>
      <w:r>
        <w:rPr/>
        <w:t>Претензия направляется нарочно или по электронной почте и (или) по факсу и одновременно высылаться по почте заказным письмом. Датой получения претензии считается день получения Стороной нарочно или по почте. Срок для ответа на претензию устанавливается 10 (десять) календарных дней со дня ее получения.</w:t>
      </w:r>
    </w:p>
    <w:p>
      <w:pPr>
        <w:pStyle w:val="13"/>
        <w:numPr>
          <w:ilvl w:val="2"/>
          <w:numId w:val="1"/>
        </w:numPr>
        <w:shd w:val="clear" w:color="auto" w:fill="auto"/>
        <w:tabs>
          <w:tab w:val="clear" w:pos="708"/>
          <w:tab w:val="left" w:pos="1134" w:leader="none"/>
          <w:tab w:val="left" w:pos="1340" w:leader="none"/>
          <w:tab w:val="left" w:pos="2222" w:leader="underscore"/>
          <w:tab w:val="left" w:pos="8469" w:leader="none"/>
        </w:tabs>
        <w:spacing w:before="0" w:after="260"/>
        <w:ind w:firstLine="567"/>
        <w:jc w:val="both"/>
        <w:rPr/>
      </w:pPr>
      <w:r>
        <w:rPr/>
        <w:t>Ответ на претензию направляется по электронной почте и (или) по факсу и одновременно высылается по почте заказным письмом. В случае, если в указанный в претензии разумный срок претензионные требования не рассмотрены либо не удовлетворены (полностью или частично) Сторона, право которой нарушено, вправе обратиться с исковым заявлением в Арбитражный суд г. Москвы.</w:t>
      </w:r>
    </w:p>
    <w:p>
      <w:pPr>
        <w:pStyle w:val="14"/>
        <w:keepNext w:val="true"/>
        <w:keepLines/>
        <w:numPr>
          <w:ilvl w:val="0"/>
          <w:numId w:val="1"/>
        </w:numPr>
        <w:shd w:val="clear" w:color="auto" w:fill="auto"/>
        <w:tabs>
          <w:tab w:val="clear" w:pos="708"/>
          <w:tab w:val="left" w:pos="438" w:leader="none"/>
          <w:tab w:val="left" w:pos="1134" w:leader="none"/>
          <w:tab w:val="left" w:pos="2222" w:leader="underscore"/>
          <w:tab w:val="left" w:pos="8469" w:leader="none"/>
        </w:tabs>
        <w:spacing w:lineRule="auto" w:line="276" w:before="0" w:after="0"/>
        <w:ind w:firstLine="567"/>
        <w:rPr/>
      </w:pPr>
      <w:bookmarkStart w:id="27" w:name="bookmark23"/>
      <w:bookmarkStart w:id="28" w:name="bookmark22"/>
      <w:r>
        <w:rPr/>
        <w:t>ОСНОВАНИЕ И ПОРЯДОК РАСТОРЖЕНИЯ И ИЗМЕНЕНИЯ КОНТРАКТА</w:t>
      </w:r>
      <w:bookmarkEnd w:id="27"/>
      <w:bookmarkEnd w:id="28"/>
    </w:p>
    <w:p>
      <w:pPr>
        <w:pStyle w:val="13"/>
        <w:numPr>
          <w:ilvl w:val="1"/>
          <w:numId w:val="1"/>
        </w:numPr>
        <w:shd w:val="clear" w:color="auto" w:fill="auto"/>
        <w:tabs>
          <w:tab w:val="clear" w:pos="708"/>
          <w:tab w:val="left" w:pos="1134" w:leader="none"/>
          <w:tab w:val="left" w:pos="1186" w:leader="none"/>
          <w:tab w:val="left" w:pos="2222" w:leader="underscore"/>
          <w:tab w:val="left" w:pos="8469" w:leader="none"/>
        </w:tabs>
        <w:spacing w:lineRule="auto" w:line="276"/>
        <w:ind w:firstLine="567"/>
        <w:jc w:val="both"/>
        <w:rPr/>
      </w:pPr>
      <w:r>
        <w:rPr/>
        <w:t>Изменение существенных условий настоящего Контракта при его исполнении не допускается, за исключением их изменения в случаях, предусмотренных ч. 1 ст. 95 Федеральным законом от 05.04.2013 № 44-ФЗ.</w:t>
      </w:r>
    </w:p>
    <w:p>
      <w:pPr>
        <w:pStyle w:val="13"/>
        <w:numPr>
          <w:ilvl w:val="1"/>
          <w:numId w:val="1"/>
        </w:numPr>
        <w:shd w:val="clear" w:color="auto" w:fill="auto"/>
        <w:tabs>
          <w:tab w:val="clear" w:pos="708"/>
          <w:tab w:val="left" w:pos="1134" w:leader="none"/>
          <w:tab w:val="left" w:pos="1186" w:leader="none"/>
          <w:tab w:val="left" w:pos="2222" w:leader="underscore"/>
          <w:tab w:val="left" w:pos="8469" w:leader="none"/>
        </w:tabs>
        <w:spacing w:lineRule="auto" w:line="276"/>
        <w:ind w:firstLine="567"/>
        <w:jc w:val="both"/>
        <w:rPr/>
      </w:pPr>
      <w:r>
        <w:rPr/>
        <w:t>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pPr>
        <w:pStyle w:val="13"/>
        <w:numPr>
          <w:ilvl w:val="1"/>
          <w:numId w:val="1"/>
        </w:numPr>
        <w:shd w:val="clear" w:color="auto" w:fill="auto"/>
        <w:tabs>
          <w:tab w:val="clear" w:pos="708"/>
          <w:tab w:val="left" w:pos="1134" w:leader="none"/>
          <w:tab w:val="left" w:pos="1279" w:leader="none"/>
          <w:tab w:val="left" w:pos="2222" w:leader="underscore"/>
          <w:tab w:val="left" w:pos="8469" w:leader="none"/>
        </w:tabs>
        <w:spacing w:lineRule="auto" w:line="276"/>
        <w:ind w:firstLine="567"/>
        <w:jc w:val="both"/>
        <w:rPr/>
      </w:pPr>
      <w:r>
        <w:rPr/>
        <w:t>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13"/>
        <w:numPr>
          <w:ilvl w:val="1"/>
          <w:numId w:val="1"/>
        </w:numPr>
        <w:shd w:val="clear" w:color="auto" w:fill="auto"/>
        <w:tabs>
          <w:tab w:val="clear" w:pos="708"/>
          <w:tab w:val="left" w:pos="1134" w:leader="none"/>
          <w:tab w:val="left" w:pos="1279" w:leader="none"/>
          <w:tab w:val="left" w:pos="2222" w:leader="underscore"/>
          <w:tab w:val="left" w:pos="8469" w:leader="none"/>
        </w:tabs>
        <w:spacing w:lineRule="auto" w:line="276"/>
        <w:ind w:firstLine="567"/>
        <w:jc w:val="both"/>
        <w:rPr/>
      </w:pPr>
      <w:r>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13"/>
        <w:numPr>
          <w:ilvl w:val="1"/>
          <w:numId w:val="1"/>
        </w:numPr>
        <w:shd w:val="clear" w:color="auto" w:fill="auto"/>
        <w:tabs>
          <w:tab w:val="clear" w:pos="708"/>
          <w:tab w:val="left" w:pos="1134" w:leader="none"/>
          <w:tab w:val="left" w:pos="1279" w:leader="none"/>
          <w:tab w:val="left" w:pos="2222" w:leader="underscore"/>
          <w:tab w:val="left" w:pos="8469" w:leader="none"/>
        </w:tabs>
        <w:spacing w:lineRule="auto" w:line="276"/>
        <w:ind w:firstLine="567"/>
        <w:jc w:val="both"/>
        <w:rPr>
          <w:rFonts w:ascii="Liberation Serif" w:hAnsi="Liberation Serif"/>
          <w:color w:val="000000"/>
          <w:sz w:val="24"/>
          <w:szCs w:val="24"/>
        </w:rPr>
      </w:pPr>
      <w:r>
        <w:rPr>
          <w:rFonts w:ascii="Liberation Serif" w:hAnsi="Liberation Serif"/>
          <w:color w:val="000000"/>
          <w:sz w:val="24"/>
          <w:szCs w:val="24"/>
        </w:rPr>
        <w:t xml:space="preserve">Порядок изменения Контракта при соглашении сторон осуществляется в </w:t>
      </w:r>
      <w:r>
        <w:rPr>
          <w:rFonts w:ascii="Liberation Serif" w:hAnsi="Liberation Serif"/>
          <w:b w:val="false"/>
          <w:i w:val="false"/>
          <w:caps w:val="false"/>
          <w:smallCaps w:val="false"/>
          <w:color w:val="000000"/>
          <w:spacing w:val="0"/>
          <w:sz w:val="24"/>
          <w:szCs w:val="24"/>
        </w:rPr>
        <w:t>случаях, предусмотренных в ч. 1 ст. 95 44-ФЗ.</w:t>
      </w:r>
    </w:p>
    <w:p>
      <w:pPr>
        <w:pStyle w:val="Normal"/>
        <w:widowControl w:val="false"/>
        <w:spacing w:lineRule="auto" w:line="235" w:before="240" w:after="200"/>
        <w:ind w:firstLine="709"/>
        <w:jc w:val="center"/>
        <w:rPr>
          <w:rFonts w:ascii="Liberation Serif" w:hAnsi="Liberation Serif"/>
          <w:sz w:val="24"/>
          <w:szCs w:val="24"/>
        </w:rPr>
      </w:pPr>
      <w:r>
        <w:rPr>
          <w:rFonts w:ascii="Liberation Serif" w:hAnsi="Liberation Serif"/>
          <w:b/>
          <w:color w:val="000000"/>
          <w:sz w:val="24"/>
          <w:szCs w:val="24"/>
        </w:rPr>
        <w:t>а</w:t>
      </w:r>
    </w:p>
    <w:p>
      <w:pPr>
        <w:pStyle w:val="Normal"/>
        <w:widowControl w:val="false"/>
        <w:spacing w:lineRule="auto" w:line="235"/>
        <w:ind w:firstLine="709"/>
        <w:jc w:val="both"/>
        <w:rPr>
          <w:rFonts w:ascii="Liberation Serif" w:hAnsi="Liberation Serif"/>
          <w:sz w:val="24"/>
          <w:szCs w:val="24"/>
        </w:rPr>
      </w:pPr>
      <w:r>
        <w:rPr>
          <w:rFonts w:ascii="Liberation Serif" w:hAnsi="Liberation Serif"/>
          <w:sz w:val="24"/>
          <w:szCs w:val="24"/>
        </w:rPr>
      </w:r>
    </w:p>
    <w:p>
      <w:pPr>
        <w:pStyle w:val="13"/>
        <w:shd w:val="clear" w:color="auto" w:fill="auto"/>
        <w:tabs>
          <w:tab w:val="clear" w:pos="708"/>
          <w:tab w:val="left" w:pos="1134" w:leader="none"/>
          <w:tab w:val="left" w:pos="1279" w:leader="none"/>
          <w:tab w:val="left" w:pos="2222" w:leader="underscore"/>
          <w:tab w:val="left" w:pos="8469" w:leader="none"/>
        </w:tabs>
        <w:spacing w:lineRule="auto" w:line="276"/>
        <w:ind w:firstLine="567"/>
        <w:jc w:val="both"/>
        <w:rPr/>
      </w:pPr>
      <w:r>
        <w:rPr/>
      </w:r>
    </w:p>
    <w:p>
      <w:pPr>
        <w:pStyle w:val="13"/>
        <w:shd w:val="clear" w:color="auto" w:fill="auto"/>
        <w:tabs>
          <w:tab w:val="clear" w:pos="708"/>
          <w:tab w:val="left" w:pos="1134" w:leader="none"/>
          <w:tab w:val="left" w:pos="1279" w:leader="none"/>
          <w:tab w:val="left" w:pos="2222" w:leader="underscore"/>
          <w:tab w:val="left" w:pos="8469" w:leader="none"/>
        </w:tabs>
        <w:spacing w:lineRule="auto" w:line="276"/>
        <w:ind w:firstLine="567"/>
        <w:jc w:val="both"/>
        <w:rPr/>
      </w:pPr>
      <w:r>
        <w:rPr/>
      </w:r>
    </w:p>
    <w:p>
      <w:pPr>
        <w:pStyle w:val="14"/>
        <w:keepNext w:val="true"/>
        <w:keepLines/>
        <w:numPr>
          <w:ilvl w:val="0"/>
          <w:numId w:val="0"/>
        </w:numPr>
        <w:shd w:val="clear" w:color="auto" w:fill="auto"/>
        <w:tabs>
          <w:tab w:val="clear" w:pos="708"/>
          <w:tab w:val="left" w:pos="442" w:leader="none"/>
          <w:tab w:val="left" w:pos="1134" w:leader="none"/>
          <w:tab w:val="left" w:pos="2222" w:leader="underscore"/>
          <w:tab w:val="left" w:pos="8469" w:leader="none"/>
        </w:tabs>
        <w:spacing w:lineRule="auto" w:line="276"/>
        <w:ind w:hanging="0" w:left="0"/>
        <w:rPr/>
      </w:pPr>
      <w:r>
        <w:rPr/>
        <w:t xml:space="preserve">12. </w:t>
      </w:r>
      <w:bookmarkStart w:id="29" w:name="bookmark25"/>
      <w:bookmarkStart w:id="30" w:name="bookmark24"/>
      <w:r>
        <w:rPr/>
        <w:t>ПРОЧИЕ УСЛОВИЯ</w:t>
      </w:r>
      <w:bookmarkEnd w:id="29"/>
      <w:bookmarkEnd w:id="30"/>
    </w:p>
    <w:p>
      <w:pPr>
        <w:pStyle w:val="13"/>
        <w:shd w:val="clear" w:color="auto" w:fill="auto"/>
        <w:tabs>
          <w:tab w:val="clear" w:pos="708"/>
          <w:tab w:val="left" w:pos="1134" w:leader="none"/>
          <w:tab w:val="left" w:pos="2222" w:leader="underscore"/>
          <w:tab w:val="left" w:pos="8469" w:leader="none"/>
        </w:tabs>
        <w:spacing w:lineRule="auto" w:line="276"/>
        <w:ind w:firstLine="567"/>
        <w:jc w:val="both"/>
        <w:rPr/>
      </w:pPr>
      <w:r>
        <w:rPr/>
        <w:t>12.1.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13 Контракта, или с использованием факсимильной связи, электронной почты с последующим представлением оригинала.</w:t>
      </w:r>
    </w:p>
    <w:p>
      <w:pPr>
        <w:pStyle w:val="13"/>
        <w:numPr>
          <w:ilvl w:val="0"/>
          <w:numId w:val="0"/>
        </w:numPr>
        <w:shd w:val="clear" w:color="auto" w:fill="auto"/>
        <w:tabs>
          <w:tab w:val="clear" w:pos="708"/>
          <w:tab w:val="left" w:pos="1134" w:leader="none"/>
          <w:tab w:val="left" w:pos="2222" w:leader="underscore"/>
          <w:tab w:val="left" w:pos="8469" w:leader="none"/>
        </w:tabs>
        <w:spacing w:lineRule="auto" w:line="276"/>
        <w:ind w:hanging="0" w:left="0"/>
        <w:jc w:val="both"/>
        <w:rPr/>
      </w:pPr>
      <w:r>
        <w:rPr/>
        <w:t xml:space="preserve">       </w:t>
      </w:r>
      <w:r>
        <w:rPr/>
        <w:t>12.2. Во всем остальном, что не предусмотрено Контрактом, стороны руководствуются действующим законодательством Российской Федерации.</w:t>
      </w:r>
    </w:p>
    <w:p>
      <w:pPr>
        <w:pStyle w:val="13"/>
        <w:numPr>
          <w:ilvl w:val="0"/>
          <w:numId w:val="0"/>
        </w:numPr>
        <w:shd w:val="clear" w:color="auto" w:fill="auto"/>
        <w:tabs>
          <w:tab w:val="clear" w:pos="708"/>
          <w:tab w:val="left" w:pos="1134" w:leader="none"/>
          <w:tab w:val="left" w:pos="2222" w:leader="underscore"/>
          <w:tab w:val="left" w:pos="8469" w:leader="none"/>
        </w:tabs>
        <w:spacing w:lineRule="auto" w:line="276"/>
        <w:ind w:hanging="0" w:left="0"/>
        <w:jc w:val="both"/>
        <w:rPr/>
      </w:pPr>
      <w:r>
        <w:rPr/>
        <w:t xml:space="preserve">       </w:t>
      </w:r>
      <w:r>
        <w:rPr/>
        <w:t>12.3. Все изменения и дополнения к Контракту действительны лишь в том случае, если они совершены в письменной форме и подписаны обеими Сторонами.</w:t>
      </w:r>
    </w:p>
    <w:p>
      <w:pPr>
        <w:pStyle w:val="13"/>
        <w:numPr>
          <w:ilvl w:val="0"/>
          <w:numId w:val="0"/>
        </w:numPr>
        <w:shd w:val="clear" w:color="auto" w:fill="auto"/>
        <w:tabs>
          <w:tab w:val="clear" w:pos="708"/>
          <w:tab w:val="left" w:pos="1134" w:leader="none"/>
          <w:tab w:val="left" w:pos="2222" w:leader="underscore"/>
          <w:tab w:val="left" w:pos="8469" w:leader="none"/>
        </w:tabs>
        <w:spacing w:lineRule="auto" w:line="276"/>
        <w:ind w:hanging="0" w:left="0"/>
        <w:jc w:val="both"/>
        <w:rPr/>
      </w:pPr>
      <w:r>
        <w:rPr/>
        <w:t xml:space="preserve">        </w:t>
      </w:r>
      <w:r>
        <w:rPr/>
        <w:t>12.4. Контракт составлен в двух экземплярах, имеющих одинаковую юридическую силу, по одному для каждой из Сторон, вступает в силу с момента подписания его Сторонами и действует до момента приема Государственным заказчиком Товара, а в части оплаты и сверки взаиморасчетов до полного исполнения Сторонами обязательств.</w:t>
      </w:r>
    </w:p>
    <w:p>
      <w:pPr>
        <w:pStyle w:val="13"/>
        <w:numPr>
          <w:ilvl w:val="0"/>
          <w:numId w:val="0"/>
        </w:numPr>
        <w:shd w:val="clear" w:color="auto" w:fill="auto"/>
        <w:tabs>
          <w:tab w:val="clear" w:pos="708"/>
          <w:tab w:val="left" w:pos="1134" w:leader="none"/>
          <w:tab w:val="left" w:pos="2222" w:leader="underscore"/>
          <w:tab w:val="left" w:pos="8469" w:leader="none"/>
        </w:tabs>
        <w:spacing w:lineRule="auto" w:line="276"/>
        <w:ind w:hanging="0" w:left="0"/>
        <w:jc w:val="both"/>
        <w:rPr/>
      </w:pPr>
      <w:r>
        <w:rPr/>
        <w:t xml:space="preserve">        </w:t>
      </w:r>
      <w:r>
        <w:rPr/>
        <w:t>12.5. Ответственное лицо от Государственного заказчика –Орехов В.В., тел. + 7 (495) 708-15-89.</w:t>
      </w:r>
    </w:p>
    <w:p>
      <w:pPr>
        <w:pStyle w:val="13"/>
        <w:numPr>
          <w:ilvl w:val="0"/>
          <w:numId w:val="0"/>
        </w:numPr>
        <w:shd w:val="clear" w:color="auto" w:fill="auto"/>
        <w:tabs>
          <w:tab w:val="clear" w:pos="708"/>
          <w:tab w:val="left" w:pos="1134" w:leader="none"/>
          <w:tab w:val="left" w:pos="2222" w:leader="underscore"/>
          <w:tab w:val="left" w:pos="8469" w:leader="none"/>
        </w:tabs>
        <w:spacing w:lineRule="auto" w:line="276"/>
        <w:ind w:hanging="0" w:left="0"/>
        <w:jc w:val="both"/>
        <w:rPr/>
      </w:pPr>
      <w:r>
        <w:rPr/>
        <w:t xml:space="preserve">            </w:t>
      </w:r>
      <w:r>
        <w:rPr/>
        <w:t>12.6. Следующие приложения являются неотъемлемой частью Контракта:</w:t>
      </w:r>
    </w:p>
    <w:p>
      <w:pPr>
        <w:pStyle w:val="NoSpacing"/>
        <w:tabs>
          <w:tab w:val="clear" w:pos="708"/>
          <w:tab w:val="left" w:pos="1134" w:leader="none"/>
          <w:tab w:val="left" w:pos="2222" w:leader="underscore"/>
          <w:tab w:val="left" w:pos="8469" w:leader="none"/>
        </w:tabs>
        <w:spacing w:lineRule="auto" w:line="276"/>
        <w:ind w:firstLine="567"/>
        <w:jc w:val="both"/>
        <w:rPr>
          <w:rFonts w:ascii="Times New Roman" w:hAnsi="Times New Roman" w:cs="Times New Roman"/>
        </w:rPr>
      </w:pPr>
      <w:r>
        <w:rPr>
          <w:rFonts w:cs="Times New Roman" w:ascii="Times New Roman" w:hAnsi="Times New Roman"/>
        </w:rPr>
        <w:t>- Приложение № 1 - Спецификация.</w:t>
      </w:r>
    </w:p>
    <w:p>
      <w:pPr>
        <w:pStyle w:val="NoSpacing"/>
        <w:tabs>
          <w:tab w:val="clear" w:pos="708"/>
          <w:tab w:val="left" w:pos="1134" w:leader="none"/>
          <w:tab w:val="left" w:pos="2222" w:leader="underscore"/>
          <w:tab w:val="left" w:pos="8469" w:leader="none"/>
        </w:tabs>
        <w:spacing w:lineRule="auto" w:line="276"/>
        <w:ind w:firstLine="567"/>
        <w:jc w:val="both"/>
        <w:rPr>
          <w:rFonts w:ascii="Times New Roman" w:hAnsi="Times New Roman" w:cs="Times New Roman"/>
        </w:rPr>
      </w:pPr>
      <w:r>
        <w:rPr>
          <w:rFonts w:cs="Times New Roman" w:ascii="Times New Roman" w:hAnsi="Times New Roman"/>
        </w:rPr>
        <w:t>- Приложение № 2 - Форма Акта сдачи-приемки поставленного Товара</w:t>
      </w:r>
    </w:p>
    <w:p>
      <w:pPr>
        <w:pStyle w:val="NoSpacing"/>
        <w:tabs>
          <w:tab w:val="clear" w:pos="708"/>
          <w:tab w:val="left" w:pos="1134" w:leader="none"/>
          <w:tab w:val="left" w:pos="2222" w:leader="underscore"/>
          <w:tab w:val="left" w:pos="8469" w:leader="none"/>
        </w:tabs>
        <w:ind w:firstLine="567"/>
        <w:jc w:val="both"/>
        <w:rPr>
          <w:rFonts w:ascii="Times New Roman" w:hAnsi="Times New Roman" w:cs="Times New Roman"/>
        </w:rPr>
      </w:pPr>
      <w:r>
        <w:rPr>
          <w:rFonts w:cs="Times New Roman" w:ascii="Times New Roman" w:hAnsi="Times New Roman"/>
        </w:rPr>
        <w:t xml:space="preserve">- Приложение № 3 - Техническое задание </w:t>
      </w:r>
    </w:p>
    <w:p>
      <w:pPr>
        <w:pStyle w:val="NoSpacing"/>
        <w:rPr>
          <w:rFonts w:ascii="Times New Roman" w:hAnsi="Times New Roman" w:cs="Times New Roman"/>
        </w:rPr>
      </w:pPr>
      <w:r>
        <w:rPr>
          <w:rFonts w:cs="Times New Roman" w:ascii="Times New Roman" w:hAnsi="Times New Roman"/>
        </w:rPr>
      </w:r>
    </w:p>
    <w:p>
      <w:pPr>
        <w:pStyle w:val="13"/>
        <w:numPr>
          <w:ilvl w:val="0"/>
          <w:numId w:val="0"/>
        </w:numPr>
        <w:shd w:val="clear" w:color="auto" w:fill="auto"/>
        <w:tabs>
          <w:tab w:val="clear" w:pos="708"/>
          <w:tab w:val="left" w:pos="498" w:leader="none"/>
        </w:tabs>
        <w:spacing w:before="0" w:after="0"/>
        <w:ind w:hanging="0" w:left="0"/>
        <w:jc w:val="center"/>
        <w:rPr/>
      </w:pPr>
      <w:r>
        <w:rPr>
          <w:b/>
          <w:bCs/>
        </w:rPr>
        <w:t>13. ПОДПИСИ И БАНКОВСКИЕ РЕКВИЗИТЫ СТОРОН</w:t>
      </w:r>
    </w:p>
    <w:tbl>
      <w:tblPr>
        <w:tblStyle w:val="a8"/>
        <w:tblW w:w="9855" w:type="dxa"/>
        <w:jc w:val="left"/>
        <w:tblInd w:w="108" w:type="dxa"/>
        <w:tblLayout w:type="fixed"/>
        <w:tblCellMar>
          <w:top w:w="0" w:type="dxa"/>
          <w:left w:w="108" w:type="dxa"/>
          <w:bottom w:w="0" w:type="dxa"/>
          <w:right w:w="108" w:type="dxa"/>
        </w:tblCellMar>
        <w:tblLook w:val="04a0"/>
      </w:tblPr>
      <w:tblGrid>
        <w:gridCol w:w="5066"/>
        <w:gridCol w:w="4788"/>
      </w:tblGrid>
      <w:tr>
        <w:trPr/>
        <w:tc>
          <w:tcPr>
            <w:tcW w:w="5066" w:type="dxa"/>
            <w:tcBorders>
              <w:top w:val="nil"/>
              <w:left w:val="nil"/>
              <w:bottom w:val="nil"/>
              <w:right w:val="nil"/>
            </w:tcBorders>
          </w:tcPr>
          <w:p>
            <w:pPr>
              <w:pStyle w:val="14"/>
              <w:keepNext w:val="true"/>
              <w:keepLines/>
              <w:widowControl w:val="false"/>
              <w:shd w:val="clear" w:color="auto" w:fill="auto"/>
              <w:suppressAutoHyphens w:val="true"/>
              <w:spacing w:lineRule="auto" w:line="276" w:before="0" w:after="0"/>
              <w:jc w:val="both"/>
              <w:rPr>
                <w:color w:val="000000"/>
              </w:rPr>
            </w:pPr>
            <w:bookmarkStart w:id="31" w:name="bookmark27"/>
            <w:bookmarkStart w:id="32" w:name="bookmark26"/>
            <w:r>
              <w:rPr>
                <w:color w:val="000000"/>
                <w:kern w:val="0"/>
                <w:sz w:val="24"/>
                <w:szCs w:val="24"/>
                <w:lang w:val="ru-RU" w:eastAsia="ru-RU" w:bidi="ru-RU"/>
              </w:rPr>
              <w:t>ГОСУДАРСТВЕННЫЙ ЗАКАЗЧИК:</w:t>
            </w:r>
            <w:bookmarkEnd w:id="31"/>
            <w:bookmarkEnd w:id="32"/>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b/>
                <w:bCs/>
                <w:kern w:val="0"/>
                <w:sz w:val="24"/>
                <w:szCs w:val="24"/>
                <w:lang w:val="ru-RU" w:eastAsia="ru-RU" w:bidi="ru-RU"/>
              </w:rPr>
              <w:t>Государственный заказчик:</w:t>
            </w:r>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ФКУ «ГБ МСЭ по Московской области»</w:t>
            </w:r>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Минтруда России</w:t>
            </w:r>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125319, г. Москва, ул. Коккинаки, д.6</w:t>
            </w:r>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ИНН 7714584918/КПП 771401001</w:t>
            </w:r>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ОГРН 1047797082068,</w:t>
            </w:r>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ОКПО 75399391, ОКТМО 45333000,</w:t>
            </w:r>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ОКВЭД 88.10, ОКОГУ 1326500, ОКФС 12,</w:t>
            </w:r>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ОКОПФ 75104; л/сч. 03481А76410</w:t>
            </w:r>
          </w:p>
          <w:p>
            <w:pPr>
              <w:pStyle w:val="NoSpacing"/>
              <w:widowControl/>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р/с 03211643000000013234</w:t>
            </w:r>
          </w:p>
          <w:p>
            <w:pPr>
              <w:pStyle w:val="NoSpacing"/>
              <w:widowControl/>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к/с 40102810745370000024</w:t>
            </w:r>
          </w:p>
          <w:p>
            <w:pPr>
              <w:pStyle w:val="NoSpacing"/>
              <w:widowControl w:val="false"/>
              <w:suppressAutoHyphens w:val="true"/>
              <w:spacing w:before="0" w:after="0"/>
              <w:jc w:val="both"/>
              <w:rPr>
                <w:rFonts w:ascii="Liberation Serif" w:hAnsi="Liberation Serif" w:cs="Liberation Serif"/>
              </w:rPr>
            </w:pPr>
            <w:r>
              <w:rPr>
                <w:rFonts w:eastAsia="Courier New" w:cs="Liberation Serif" w:ascii="Liberation Serif" w:hAnsi="Liberation Serif"/>
                <w:kern w:val="0"/>
                <w:sz w:val="24"/>
                <w:szCs w:val="24"/>
                <w:lang w:val="ru-RU" w:eastAsia="ru-RU" w:bidi="ru-RU"/>
              </w:rPr>
              <w:t>ОКЦ №1 ВОЛГО-ВЯТСКОЕ ГУ БАНКА РОССИИ//УФК по Нижегородской области, г. Нижний Новгород.</w:t>
            </w:r>
          </w:p>
          <w:p>
            <w:pPr>
              <w:pStyle w:val="NoSpacing"/>
              <w:widowControl/>
              <w:suppressAutoHyphens w:val="true"/>
              <w:spacing w:before="0" w:after="0"/>
              <w:jc w:val="both"/>
              <w:rPr>
                <w:rFonts w:ascii="Liberation Serif" w:hAnsi="Liberation Serif" w:cs="Liberation Serif"/>
                <w:lang w:val="en-US"/>
              </w:rPr>
            </w:pPr>
            <w:r>
              <w:rPr>
                <w:rFonts w:eastAsia="Courier New" w:cs="Liberation Serif" w:ascii="Liberation Serif" w:hAnsi="Liberation Serif"/>
                <w:kern w:val="0"/>
                <w:sz w:val="24"/>
                <w:szCs w:val="24"/>
                <w:lang w:val="ru-RU" w:eastAsia="ru-RU" w:bidi="ru-RU"/>
              </w:rPr>
              <w:t>БИК</w:t>
            </w:r>
            <w:r>
              <w:rPr>
                <w:rFonts w:eastAsia="Courier New" w:cs="Liberation Serif" w:ascii="Liberation Serif" w:hAnsi="Liberation Serif"/>
                <w:kern w:val="0"/>
                <w:sz w:val="24"/>
                <w:szCs w:val="24"/>
                <w:lang w:val="en-US" w:eastAsia="ru-RU" w:bidi="ru-RU"/>
              </w:rPr>
              <w:t xml:space="preserve"> 012202102</w:t>
            </w:r>
          </w:p>
          <w:p>
            <w:pPr>
              <w:pStyle w:val="NoSpacing"/>
              <w:widowControl/>
              <w:suppressAutoHyphens w:val="true"/>
              <w:spacing w:before="0" w:after="0"/>
              <w:jc w:val="both"/>
              <w:rPr>
                <w:rFonts w:ascii="Liberation Serif" w:hAnsi="Liberation Serif" w:cs="Liberation Serif"/>
                <w:lang w:val="en-US"/>
              </w:rPr>
            </w:pPr>
            <w:r>
              <w:rPr>
                <w:rFonts w:eastAsia="Courier New" w:cs="Liberation Serif" w:ascii="Liberation Serif" w:hAnsi="Liberation Serif"/>
                <w:kern w:val="0"/>
                <w:sz w:val="24"/>
                <w:szCs w:val="24"/>
                <w:lang w:val="ru-RU" w:eastAsia="ru-RU" w:bidi="ru-RU"/>
              </w:rPr>
              <w:t>тел</w:t>
            </w:r>
            <w:r>
              <w:rPr>
                <w:rFonts w:eastAsia="Courier New" w:cs="Liberation Serif" w:ascii="Liberation Serif" w:hAnsi="Liberation Serif"/>
                <w:kern w:val="0"/>
                <w:sz w:val="24"/>
                <w:szCs w:val="24"/>
                <w:lang w:val="en-US" w:eastAsia="ru-RU" w:bidi="ru-RU"/>
              </w:rPr>
              <w:t>. 8 (499) 152-05-55</w:t>
            </w:r>
          </w:p>
          <w:p>
            <w:pPr>
              <w:pStyle w:val="14"/>
              <w:keepNext w:val="true"/>
              <w:keepLines/>
              <w:widowControl w:val="false"/>
              <w:shd w:val="clear" w:color="auto" w:fill="auto"/>
              <w:suppressAutoHyphens w:val="true"/>
              <w:spacing w:lineRule="auto" w:line="276" w:before="0" w:after="0"/>
              <w:jc w:val="both"/>
              <w:rPr>
                <w:lang w:val="en-US"/>
              </w:rPr>
            </w:pPr>
            <w:r>
              <w:rPr>
                <w:rFonts w:cs="Liberation Serif" w:ascii="Liberation Serif" w:hAnsi="Liberation Serif"/>
                <w:kern w:val="0"/>
                <w:sz w:val="24"/>
                <w:szCs w:val="24"/>
                <w:lang w:val="en-US" w:eastAsia="ru-RU" w:bidi="ru-RU"/>
              </w:rPr>
              <w:t>e-mail: zakupkimsemo@yandex.ru</w:t>
            </w:r>
          </w:p>
        </w:tc>
        <w:tc>
          <w:tcPr>
            <w:tcW w:w="4788" w:type="dxa"/>
            <w:tcBorders>
              <w:top w:val="nil"/>
              <w:left w:val="nil"/>
              <w:bottom w:val="nil"/>
              <w:right w:val="nil"/>
            </w:tcBorders>
          </w:tcPr>
          <w:p>
            <w:pPr>
              <w:pStyle w:val="14"/>
              <w:keepNext w:val="true"/>
              <w:keepLines/>
              <w:widowControl w:val="false"/>
              <w:shd w:val="clear" w:color="auto" w:fill="auto"/>
              <w:suppressAutoHyphens w:val="true"/>
              <w:spacing w:lineRule="auto" w:line="276" w:before="0" w:after="0"/>
              <w:jc w:val="both"/>
              <w:rPr>
                <w:kern w:val="0"/>
                <w:sz w:val="24"/>
                <w:szCs w:val="24"/>
                <w:lang w:val="ru-RU" w:eastAsia="ru-RU" w:bidi="ru-RU"/>
              </w:rPr>
            </w:pPr>
            <w:r>
              <w:rPr>
                <w:kern w:val="0"/>
                <w:sz w:val="24"/>
                <w:szCs w:val="24"/>
                <w:lang w:val="ru-RU" w:eastAsia="ru-RU" w:bidi="ru-RU"/>
              </w:rPr>
              <w:t>ПОСТАВЩИК:</w:t>
            </w:r>
          </w:p>
          <w:p>
            <w:pPr>
              <w:pStyle w:val="14"/>
              <w:keepNext w:val="true"/>
              <w:keepLines/>
              <w:widowControl w:val="false"/>
              <w:shd w:val="clear" w:color="auto" w:fill="auto"/>
              <w:suppressAutoHyphens w:val="true"/>
              <w:spacing w:lineRule="auto" w:line="276" w:before="0" w:after="0"/>
              <w:jc w:val="both"/>
              <w:rPr>
                <w:b w:val="false"/>
                <w:lang w:val="en-US"/>
              </w:rPr>
            </w:pPr>
            <w:r>
              <w:rPr>
                <w:b w:val="false"/>
                <w:lang w:val="en-US"/>
              </w:rPr>
            </w:r>
          </w:p>
        </w:tc>
      </w:tr>
      <w:tr>
        <w:trPr/>
        <w:tc>
          <w:tcPr>
            <w:tcW w:w="5066" w:type="dxa"/>
            <w:tcBorders>
              <w:top w:val="nil"/>
              <w:left w:val="nil"/>
              <w:bottom w:val="nil"/>
              <w:right w:val="nil"/>
            </w:tcBorders>
          </w:tcPr>
          <w:p>
            <w:pPr>
              <w:pStyle w:val="NoSpacing"/>
              <w:widowControl w:val="false"/>
              <w:suppressAutoHyphens w:val="true"/>
              <w:spacing w:before="0" w:after="0"/>
              <w:jc w:val="left"/>
              <w:rPr>
                <w:rFonts w:ascii="Times New Roman" w:hAnsi="Times New Roman" w:cs="Times New Roman"/>
              </w:rPr>
            </w:pPr>
            <w:r>
              <w:rPr>
                <w:rFonts w:cs="Times New Roman" w:ascii="Times New Roman" w:hAnsi="Times New Roman"/>
              </w:rPr>
            </w:r>
          </w:p>
          <w:p>
            <w:pPr>
              <w:pStyle w:val="NoSpacing"/>
              <w:widowControl w:val="false"/>
              <w:suppressAutoHyphens w:val="true"/>
              <w:spacing w:before="0" w:after="0"/>
              <w:jc w:val="left"/>
              <w:rPr>
                <w:rFonts w:ascii="Times New Roman" w:hAnsi="Times New Roman" w:cs="Times New Roman"/>
              </w:rPr>
            </w:pPr>
            <w:r>
              <w:rPr>
                <w:rFonts w:cs="Times New Roman" w:ascii="Times New Roman" w:hAnsi="Times New Roman"/>
              </w:rPr>
            </w:r>
          </w:p>
          <w:p>
            <w:pPr>
              <w:pStyle w:val="NoSpacing"/>
              <w:widowControl w:val="false"/>
              <w:suppressAutoHyphens w:val="true"/>
              <w:spacing w:before="0" w:after="0"/>
              <w:jc w:val="left"/>
              <w:rPr>
                <w:rFonts w:ascii="Times New Roman" w:hAnsi="Times New Roman" w:cs="Times New Roman"/>
              </w:rPr>
            </w:pPr>
            <w:r>
              <w:rPr>
                <w:rFonts w:cs="Times New Roman" w:ascii="Times New Roman" w:hAnsi="Times New Roman"/>
              </w:rPr>
            </w:r>
          </w:p>
          <w:p>
            <w:pPr>
              <w:pStyle w:val="NoSpacing"/>
              <w:widowControl w:val="false"/>
              <w:suppressAutoHyphens w:val="true"/>
              <w:spacing w:before="0" w:after="0"/>
              <w:jc w:val="left"/>
              <w:rPr>
                <w:rFonts w:ascii="Times New Roman" w:hAnsi="Times New Roman" w:cs="Times New Roman"/>
              </w:rPr>
            </w:pPr>
            <w:r>
              <w:rPr>
                <w:rFonts w:eastAsia="Courier New" w:cs="Times New Roman" w:ascii="Times New Roman" w:hAnsi="Times New Roman"/>
                <w:kern w:val="0"/>
                <w:sz w:val="24"/>
                <w:szCs w:val="24"/>
                <w:lang w:val="ru-RU" w:eastAsia="ru-RU" w:bidi="ru-RU"/>
              </w:rPr>
              <w:t>______________________ /А.В. Фирсов /</w:t>
            </w:r>
          </w:p>
          <w:p>
            <w:pPr>
              <w:pStyle w:val="NoSpacing"/>
              <w:widowControl w:val="false"/>
              <w:suppressAutoHyphens w:val="true"/>
              <w:spacing w:before="0" w:after="0"/>
              <w:jc w:val="left"/>
              <w:rPr>
                <w:rFonts w:ascii="Times New Roman" w:hAnsi="Times New Roman" w:cs="Times New Roman"/>
              </w:rPr>
            </w:pPr>
            <w:r>
              <w:rPr>
                <w:rFonts w:eastAsia="Courier New" w:cs="Times New Roman" w:ascii="Times New Roman" w:hAnsi="Times New Roman"/>
                <w:kern w:val="0"/>
                <w:sz w:val="24"/>
                <w:szCs w:val="24"/>
                <w:lang w:val="ru-RU" w:eastAsia="ru-RU" w:bidi="ru-RU"/>
              </w:rPr>
              <w:t>м.п.</w:t>
            </w:r>
          </w:p>
        </w:tc>
        <w:tc>
          <w:tcPr>
            <w:tcW w:w="4788" w:type="dxa"/>
            <w:tcBorders>
              <w:top w:val="nil"/>
              <w:left w:val="nil"/>
              <w:bottom w:val="nil"/>
              <w:right w:val="nil"/>
            </w:tcBorders>
          </w:tcPr>
          <w:p>
            <w:pPr>
              <w:pStyle w:val="NoSpacing"/>
              <w:widowControl w:val="false"/>
              <w:suppressAutoHyphens w:val="true"/>
              <w:spacing w:before="0" w:after="0"/>
              <w:jc w:val="left"/>
              <w:rPr>
                <w:rFonts w:ascii="Times New Roman" w:hAnsi="Times New Roman" w:cs="Times New Roman"/>
              </w:rPr>
            </w:pPr>
            <w:r>
              <w:rPr>
                <w:rFonts w:cs="Times New Roman" w:ascii="Times New Roman" w:hAnsi="Times New Roman"/>
              </w:rPr>
            </w:r>
          </w:p>
          <w:p>
            <w:pPr>
              <w:pStyle w:val="NoSpacing"/>
              <w:widowControl w:val="false"/>
              <w:suppressAutoHyphens w:val="true"/>
              <w:spacing w:before="0" w:after="0"/>
              <w:jc w:val="left"/>
              <w:rPr>
                <w:rFonts w:ascii="Times New Roman" w:hAnsi="Times New Roman" w:cs="Times New Roman"/>
              </w:rPr>
            </w:pPr>
            <w:r>
              <w:rPr>
                <w:rFonts w:cs="Times New Roman" w:ascii="Times New Roman" w:hAnsi="Times New Roman"/>
              </w:rPr>
            </w:r>
          </w:p>
          <w:p>
            <w:pPr>
              <w:pStyle w:val="NoSpacing"/>
              <w:widowControl w:val="false"/>
              <w:suppressAutoHyphens w:val="true"/>
              <w:spacing w:before="0" w:after="0"/>
              <w:jc w:val="left"/>
              <w:rPr>
                <w:rFonts w:ascii="Times New Roman" w:hAnsi="Times New Roman" w:cs="Times New Roman"/>
              </w:rPr>
            </w:pPr>
            <w:r>
              <w:rPr>
                <w:rFonts w:cs="Times New Roman" w:ascii="Times New Roman" w:hAnsi="Times New Roman"/>
              </w:rPr>
            </w:r>
          </w:p>
          <w:p>
            <w:pPr>
              <w:pStyle w:val="NoSpacing"/>
              <w:widowControl w:val="false"/>
              <w:suppressAutoHyphens w:val="true"/>
              <w:spacing w:before="0" w:after="0"/>
              <w:jc w:val="left"/>
              <w:rPr>
                <w:rFonts w:ascii="Times New Roman" w:hAnsi="Times New Roman" w:cs="Times New Roman"/>
              </w:rPr>
            </w:pPr>
            <w:r>
              <w:rPr>
                <w:rFonts w:eastAsia="Courier New" w:cs="Times New Roman" w:ascii="Times New Roman" w:hAnsi="Times New Roman"/>
                <w:kern w:val="0"/>
                <w:sz w:val="24"/>
                <w:szCs w:val="24"/>
                <w:lang w:val="ru-RU" w:eastAsia="ru-RU" w:bidi="ru-RU"/>
              </w:rPr>
              <w:t>______________________ /_________ /</w:t>
            </w:r>
          </w:p>
          <w:p>
            <w:pPr>
              <w:pStyle w:val="NoSpacing"/>
              <w:widowControl w:val="false"/>
              <w:suppressAutoHyphens w:val="true"/>
              <w:spacing w:before="0" w:after="0"/>
              <w:jc w:val="left"/>
              <w:rPr>
                <w:rFonts w:ascii="Times New Roman" w:hAnsi="Times New Roman" w:cs="Times New Roman"/>
              </w:rPr>
            </w:pPr>
            <w:r>
              <w:rPr>
                <w:rFonts w:eastAsia="Courier New" w:cs="Times New Roman" w:ascii="Times New Roman" w:hAnsi="Times New Roman"/>
                <w:kern w:val="0"/>
                <w:sz w:val="24"/>
                <w:szCs w:val="24"/>
                <w:lang w:val="ru-RU" w:eastAsia="ru-RU" w:bidi="ru-RU"/>
              </w:rPr>
              <w:t>м.п.</w:t>
            </w:r>
          </w:p>
        </w:tc>
      </w:tr>
    </w:tbl>
    <w:p>
      <w:pPr>
        <w:sectPr>
          <w:footerReference w:type="even" r:id="rId2"/>
          <w:footerReference w:type="default" r:id="rId3"/>
          <w:footerReference w:type="first" r:id="rId4"/>
          <w:type w:val="nextPage"/>
          <w:pgSz w:w="11906" w:h="16838"/>
          <w:pgMar w:left="1134" w:right="1127" w:gutter="0" w:header="0" w:top="897" w:footer="3" w:bottom="710"/>
          <w:pgNumType w:start="1" w:fmt="decimal"/>
          <w:formProt w:val="false"/>
          <w:titlePg/>
          <w:textDirection w:val="lrTb"/>
          <w:docGrid w:type="default" w:linePitch="360" w:charSpace="0"/>
        </w:sectPr>
      </w:pPr>
    </w:p>
    <w:p>
      <w:pPr>
        <w:pStyle w:val="Normal"/>
        <w:shd w:val="clear" w:color="auto" w:fill="FFFFFF"/>
        <w:tabs>
          <w:tab w:val="clear" w:pos="708"/>
          <w:tab w:val="left" w:pos="3480" w:leader="none"/>
          <w:tab w:val="center" w:pos="4667" w:leader="none"/>
        </w:tabs>
        <w:spacing w:before="67" w:after="0"/>
        <w:ind w:left="11199" w:right="21"/>
        <w:rPr>
          <w:rFonts w:ascii="Times New Roman" w:hAnsi="Times New Roman" w:cs="Times New Roman"/>
          <w:spacing w:val="-2"/>
        </w:rPr>
      </w:pPr>
      <w:r>
        <w:rPr>
          <w:rFonts w:cs="Times New Roman" w:ascii="Times New Roman" w:hAnsi="Times New Roman"/>
        </w:rPr>
        <w:t xml:space="preserve">Приложение № 1 </w:t>
      </w:r>
    </w:p>
    <w:p>
      <w:pPr>
        <w:pStyle w:val="15"/>
        <w:ind w:left="11199"/>
        <w:rPr>
          <w:rFonts w:ascii="Times New Roman" w:hAnsi="Times New Roman"/>
          <w:sz w:val="24"/>
          <w:szCs w:val="24"/>
        </w:rPr>
      </w:pPr>
      <w:r>
        <w:rPr>
          <w:rFonts w:ascii="Times New Roman" w:hAnsi="Times New Roman"/>
          <w:sz w:val="24"/>
          <w:szCs w:val="24"/>
        </w:rPr>
        <w:t xml:space="preserve">к Государственному Контракту </w:t>
      </w:r>
    </w:p>
    <w:p>
      <w:pPr>
        <w:pStyle w:val="15"/>
        <w:ind w:left="11199"/>
        <w:rPr>
          <w:rFonts w:ascii="Times New Roman" w:hAnsi="Times New Roman"/>
          <w:sz w:val="24"/>
          <w:szCs w:val="24"/>
        </w:rPr>
      </w:pPr>
      <w:r>
        <w:rPr>
          <w:rFonts w:ascii="Times New Roman" w:hAnsi="Times New Roman"/>
          <w:sz w:val="24"/>
          <w:szCs w:val="24"/>
        </w:rPr>
        <w:t>от «___» _________ 2026 г.</w:t>
      </w:r>
    </w:p>
    <w:p>
      <w:pPr>
        <w:pStyle w:val="15"/>
        <w:ind w:left="1119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w:t>
      </w:r>
    </w:p>
    <w:p>
      <w:pPr>
        <w:pStyle w:val="Normal"/>
        <w:ind w:left="11057"/>
        <w:jc w:val="both"/>
        <w:rPr>
          <w:rFonts w:ascii="Times New Roman" w:hAnsi="Times New Roman" w:cs="Times New Roman"/>
        </w:rPr>
      </w:pPr>
      <w:r>
        <w:rPr>
          <w:rFonts w:cs="Times New Roman" w:ascii="Times New Roman" w:hAnsi="Times New Roman"/>
        </w:rPr>
      </w:r>
    </w:p>
    <w:p>
      <w:pPr>
        <w:pStyle w:val="Normal"/>
        <w:ind w:left="6379"/>
        <w:jc w:val="both"/>
        <w:rPr>
          <w:rFonts w:ascii="Times New Roman" w:hAnsi="Times New Roman" w:cs="Times New Roman"/>
        </w:rPr>
      </w:pPr>
      <w:r>
        <w:rPr>
          <w:rFonts w:cs="Times New Roman" w:ascii="Times New Roman" w:hAnsi="Times New Roman"/>
        </w:rPr>
      </w:r>
    </w:p>
    <w:p>
      <w:pPr>
        <w:pStyle w:val="13"/>
        <w:shd w:val="clear" w:color="auto" w:fill="auto"/>
        <w:ind w:hanging="0"/>
        <w:jc w:val="center"/>
        <w:rPr/>
      </w:pPr>
      <w:r>
        <w:rPr>
          <w:b/>
          <w:bCs/>
        </w:rPr>
        <w:t>СПЕЦИФИКАЦИЯ*</w:t>
      </w:r>
    </w:p>
    <w:p>
      <w:pPr>
        <w:pStyle w:val="13"/>
        <w:shd w:val="clear" w:color="auto" w:fill="auto"/>
        <w:ind w:hanging="0"/>
        <w:jc w:val="center"/>
        <w:rPr>
          <w:b/>
          <w:bCs/>
        </w:rPr>
      </w:pPr>
      <w:r>
        <w:rPr>
          <w:b/>
          <w:bCs/>
        </w:rPr>
        <w:t>на поставку автомобильной шины для нужд ФКУ «ГБ МСЭ по</w:t>
        <w:br/>
        <w:t>Московской области»Минтруда России</w:t>
      </w:r>
    </w:p>
    <w:p>
      <w:pPr>
        <w:pStyle w:val="13"/>
        <w:shd w:val="clear" w:color="auto" w:fill="auto"/>
        <w:ind w:hanging="0"/>
        <w:jc w:val="center"/>
        <w:rPr>
          <w:b/>
          <w:bCs/>
        </w:rPr>
      </w:pPr>
      <w:r>
        <w:rPr>
          <w:b/>
          <w:bCs/>
        </w:rPr>
      </w:r>
    </w:p>
    <w:tbl>
      <w:tblPr>
        <w:tblStyle w:val="a8"/>
        <w:tblW w:w="15163" w:type="dxa"/>
        <w:jc w:val="left"/>
        <w:tblInd w:w="113" w:type="dxa"/>
        <w:tblLayout w:type="fixed"/>
        <w:tblCellMar>
          <w:top w:w="0" w:type="dxa"/>
          <w:left w:w="108" w:type="dxa"/>
          <w:bottom w:w="0" w:type="dxa"/>
          <w:right w:w="108" w:type="dxa"/>
        </w:tblCellMar>
        <w:tblLook w:val="04a0"/>
      </w:tblPr>
      <w:tblGrid>
        <w:gridCol w:w="662"/>
        <w:gridCol w:w="6420"/>
        <w:gridCol w:w="1844"/>
        <w:gridCol w:w="1416"/>
        <w:gridCol w:w="2552"/>
        <w:gridCol w:w="2268"/>
      </w:tblGrid>
      <w:tr>
        <w:trPr>
          <w:trHeight w:val="907" w:hRule="atLeast"/>
        </w:trPr>
        <w:tc>
          <w:tcPr>
            <w:tcW w:w="662" w:type="dxa"/>
            <w:tcBorders/>
            <w:vAlign w:val="center"/>
          </w:tcPr>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w:t>
            </w:r>
          </w:p>
          <w:p>
            <w:pPr>
              <w:pStyle w:val="Style22"/>
              <w:widowControl w:val="false"/>
              <w:shd w:val="clear" w:color="auto" w:fill="auto"/>
              <w:suppressAutoHyphens w:val="true"/>
              <w:spacing w:lineRule="auto" w:line="233" w:before="0" w:after="0"/>
              <w:ind w:hanging="0"/>
              <w:jc w:val="center"/>
              <w:rPr>
                <w:kern w:val="0"/>
                <w:sz w:val="24"/>
                <w:szCs w:val="24"/>
                <w:lang w:val="ru-RU" w:eastAsia="ru-RU" w:bidi="ru-RU"/>
              </w:rPr>
            </w:pPr>
            <w:r>
              <w:rPr>
                <w:b/>
                <w:bCs/>
                <w:kern w:val="0"/>
                <w:sz w:val="24"/>
                <w:szCs w:val="24"/>
                <w:lang w:val="ru-RU" w:eastAsia="ru-RU" w:bidi="ru-RU"/>
              </w:rPr>
              <w:t>п/п</w:t>
            </w:r>
          </w:p>
        </w:tc>
        <w:tc>
          <w:tcPr>
            <w:tcW w:w="6420" w:type="dxa"/>
            <w:tcBorders/>
            <w:vAlign w:val="center"/>
          </w:tcPr>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Наименование и характеристики товара</w:t>
            </w:r>
          </w:p>
        </w:tc>
        <w:tc>
          <w:tcPr>
            <w:tcW w:w="1844" w:type="dxa"/>
            <w:tcBorders/>
            <w:vAlign w:val="center"/>
          </w:tcPr>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Количество</w:t>
            </w:r>
          </w:p>
        </w:tc>
        <w:tc>
          <w:tcPr>
            <w:tcW w:w="1416" w:type="dxa"/>
            <w:tcBorders/>
            <w:vAlign w:val="center"/>
          </w:tcPr>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Ед.</w:t>
            </w:r>
          </w:p>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измерения</w:t>
            </w:r>
          </w:p>
        </w:tc>
        <w:tc>
          <w:tcPr>
            <w:tcW w:w="2552" w:type="dxa"/>
            <w:tcBorders/>
            <w:vAlign w:val="center"/>
          </w:tcPr>
          <w:p>
            <w:pPr>
              <w:pStyle w:val="Style22"/>
              <w:widowControl w:val="false"/>
              <w:shd w:val="clear" w:color="auto" w:fill="auto"/>
              <w:suppressAutoHyphens w:val="true"/>
              <w:spacing w:before="0" w:after="0"/>
              <w:ind w:hanging="0" w:left="132" w:right="145"/>
              <w:jc w:val="both"/>
              <w:rPr>
                <w:kern w:val="0"/>
                <w:sz w:val="24"/>
                <w:szCs w:val="24"/>
                <w:lang w:val="ru-RU" w:eastAsia="ru-RU" w:bidi="ru-RU"/>
              </w:rPr>
            </w:pPr>
            <w:r>
              <w:rPr>
                <w:b/>
                <w:bCs/>
                <w:kern w:val="0"/>
                <w:sz w:val="24"/>
                <w:szCs w:val="24"/>
                <w:lang w:val="ru-RU" w:eastAsia="ru-RU" w:bidi="ru-RU"/>
              </w:rPr>
              <w:t>Цена за ед. в руб.,</w:t>
            </w:r>
            <w:r>
              <w:rPr>
                <w:bCs/>
                <w:i/>
                <w:kern w:val="0"/>
                <w:sz w:val="24"/>
                <w:szCs w:val="24"/>
                <w:lang w:val="ru-RU" w:eastAsia="ru-RU" w:bidi="ru-RU"/>
              </w:rPr>
              <w:t xml:space="preserve"> с учетом НДС / НДС не облагается</w:t>
            </w:r>
          </w:p>
        </w:tc>
        <w:tc>
          <w:tcPr>
            <w:tcW w:w="2268" w:type="dxa"/>
            <w:tcBorders/>
            <w:vAlign w:val="center"/>
          </w:tcPr>
          <w:p>
            <w:pPr>
              <w:pStyle w:val="Normal"/>
              <w:widowControl w:val="false"/>
              <w:suppressAutoHyphens w:val="true"/>
              <w:spacing w:before="0" w:after="0"/>
              <w:ind w:left="118" w:right="156"/>
              <w:jc w:val="both"/>
              <w:rPr>
                <w:rFonts w:ascii="Times New Roman" w:hAnsi="Times New Roman" w:cs="Times New Roman"/>
                <w:b/>
              </w:rPr>
            </w:pPr>
            <w:r>
              <w:rPr>
                <w:rFonts w:eastAsia="Courier New" w:cs="Times New Roman" w:ascii="Times New Roman" w:hAnsi="Times New Roman"/>
                <w:b/>
                <w:kern w:val="0"/>
                <w:sz w:val="24"/>
                <w:szCs w:val="24"/>
                <w:lang w:val="ru-RU" w:eastAsia="ru-RU" w:bidi="ru-RU"/>
              </w:rPr>
              <w:t xml:space="preserve">Итого стоимость в руб., </w:t>
            </w:r>
            <w:r>
              <w:rPr>
                <w:rFonts w:eastAsia="Courier New" w:cs="Times New Roman" w:ascii="Times New Roman" w:hAnsi="Times New Roman"/>
                <w:i/>
                <w:kern w:val="0"/>
                <w:sz w:val="24"/>
                <w:szCs w:val="24"/>
                <w:lang w:val="ru-RU" w:eastAsia="ru-RU" w:bidi="ru-RU"/>
              </w:rPr>
              <w:t>с учетом НДС / НДС не облагается</w:t>
            </w:r>
          </w:p>
        </w:tc>
      </w:tr>
      <w:tr>
        <w:trPr>
          <w:trHeight w:val="245" w:hRule="atLeast"/>
        </w:trPr>
        <w:tc>
          <w:tcPr>
            <w:tcW w:w="662" w:type="dxa"/>
            <w:tcBorders/>
            <w:vAlign w:val="center"/>
          </w:tcPr>
          <w:p>
            <w:pPr>
              <w:pStyle w:val="13"/>
              <w:widowControl w:val="false"/>
              <w:shd w:val="clear" w:color="auto" w:fill="auto"/>
              <w:suppressAutoHyphens w:val="true"/>
              <w:spacing w:before="0" w:after="0"/>
              <w:ind w:hanging="0"/>
              <w:jc w:val="center"/>
              <w:rPr>
                <w:b/>
                <w:bCs/>
              </w:rPr>
            </w:pPr>
            <w:r>
              <w:rPr>
                <w:b/>
                <w:bCs/>
                <w:kern w:val="0"/>
                <w:sz w:val="24"/>
                <w:szCs w:val="24"/>
                <w:lang w:val="ru-RU" w:eastAsia="ru-RU" w:bidi="ru-RU"/>
              </w:rPr>
              <w:t>1</w:t>
            </w:r>
          </w:p>
        </w:tc>
        <w:tc>
          <w:tcPr>
            <w:tcW w:w="6420" w:type="dxa"/>
            <w:tcBorders/>
            <w:vAlign w:val="center"/>
          </w:tcPr>
          <w:p>
            <w:pPr>
              <w:pStyle w:val="13"/>
              <w:widowControl w:val="false"/>
              <w:shd w:val="clear" w:color="auto" w:fill="auto"/>
              <w:suppressAutoHyphens w:val="true"/>
              <w:spacing w:before="0" w:after="0"/>
              <w:ind w:hanging="0"/>
              <w:jc w:val="center"/>
              <w:rPr>
                <w:b/>
                <w:bCs/>
              </w:rPr>
            </w:pPr>
            <w:r>
              <w:rPr>
                <w:b/>
                <w:bCs/>
                <w:kern w:val="0"/>
                <w:sz w:val="24"/>
                <w:szCs w:val="24"/>
                <w:lang w:val="ru-RU" w:eastAsia="ru-RU" w:bidi="ru-RU"/>
              </w:rPr>
              <w:t>2</w:t>
            </w:r>
          </w:p>
        </w:tc>
        <w:tc>
          <w:tcPr>
            <w:tcW w:w="1844" w:type="dxa"/>
            <w:tcBorders/>
            <w:vAlign w:val="center"/>
          </w:tcPr>
          <w:p>
            <w:pPr>
              <w:pStyle w:val="13"/>
              <w:widowControl w:val="false"/>
              <w:shd w:val="clear" w:color="auto" w:fill="auto"/>
              <w:suppressAutoHyphens w:val="true"/>
              <w:spacing w:before="0" w:after="0"/>
              <w:ind w:hanging="0"/>
              <w:jc w:val="center"/>
              <w:rPr>
                <w:b/>
                <w:bCs/>
              </w:rPr>
            </w:pPr>
            <w:r>
              <w:rPr>
                <w:b/>
                <w:bCs/>
                <w:kern w:val="0"/>
                <w:sz w:val="24"/>
                <w:szCs w:val="24"/>
                <w:lang w:val="ru-RU" w:eastAsia="ru-RU" w:bidi="ru-RU"/>
              </w:rPr>
              <w:t>3</w:t>
            </w:r>
          </w:p>
        </w:tc>
        <w:tc>
          <w:tcPr>
            <w:tcW w:w="1416" w:type="dxa"/>
            <w:tcBorders/>
            <w:vAlign w:val="center"/>
          </w:tcPr>
          <w:p>
            <w:pPr>
              <w:pStyle w:val="13"/>
              <w:widowControl w:val="false"/>
              <w:shd w:val="clear" w:color="auto" w:fill="auto"/>
              <w:suppressAutoHyphens w:val="true"/>
              <w:spacing w:before="0" w:after="0"/>
              <w:ind w:hanging="0"/>
              <w:jc w:val="center"/>
              <w:rPr>
                <w:b/>
                <w:bCs/>
              </w:rPr>
            </w:pPr>
            <w:r>
              <w:rPr>
                <w:b/>
                <w:bCs/>
                <w:kern w:val="0"/>
                <w:sz w:val="24"/>
                <w:szCs w:val="24"/>
                <w:lang w:val="ru-RU" w:eastAsia="ru-RU" w:bidi="ru-RU"/>
              </w:rPr>
              <w:t>4</w:t>
            </w:r>
          </w:p>
        </w:tc>
        <w:tc>
          <w:tcPr>
            <w:tcW w:w="2552" w:type="dxa"/>
            <w:tcBorders/>
            <w:vAlign w:val="center"/>
          </w:tcPr>
          <w:p>
            <w:pPr>
              <w:pStyle w:val="13"/>
              <w:widowControl w:val="false"/>
              <w:shd w:val="clear" w:color="auto" w:fill="auto"/>
              <w:suppressAutoHyphens w:val="true"/>
              <w:spacing w:before="0" w:after="0"/>
              <w:ind w:hanging="0"/>
              <w:jc w:val="center"/>
              <w:rPr>
                <w:b/>
                <w:bCs/>
              </w:rPr>
            </w:pPr>
            <w:r>
              <w:rPr>
                <w:b/>
                <w:bCs/>
                <w:kern w:val="0"/>
                <w:sz w:val="24"/>
                <w:szCs w:val="24"/>
                <w:lang w:val="ru-RU" w:eastAsia="ru-RU" w:bidi="ru-RU"/>
              </w:rPr>
              <w:t>5</w:t>
            </w:r>
          </w:p>
        </w:tc>
        <w:tc>
          <w:tcPr>
            <w:tcW w:w="2268" w:type="dxa"/>
            <w:tcBorders/>
            <w:vAlign w:val="center"/>
          </w:tcPr>
          <w:p>
            <w:pPr>
              <w:pStyle w:val="13"/>
              <w:widowControl w:val="false"/>
              <w:shd w:val="clear" w:color="auto" w:fill="auto"/>
              <w:suppressAutoHyphens w:val="true"/>
              <w:spacing w:before="0" w:after="0"/>
              <w:ind w:hanging="0"/>
              <w:jc w:val="center"/>
              <w:rPr>
                <w:b/>
                <w:bCs/>
              </w:rPr>
            </w:pPr>
            <w:r>
              <w:rPr>
                <w:b/>
                <w:bCs/>
                <w:kern w:val="0"/>
                <w:sz w:val="24"/>
                <w:szCs w:val="24"/>
                <w:lang w:val="ru-RU" w:eastAsia="ru-RU" w:bidi="ru-RU"/>
              </w:rPr>
              <w:t>6</w:t>
            </w:r>
          </w:p>
        </w:tc>
      </w:tr>
      <w:tr>
        <w:trPr>
          <w:trHeight w:val="907" w:hRule="atLeast"/>
        </w:trPr>
        <w:tc>
          <w:tcPr>
            <w:tcW w:w="662" w:type="dxa"/>
            <w:tcBorders/>
            <w:vAlign w:val="center"/>
          </w:tcPr>
          <w:p>
            <w:pPr>
              <w:pStyle w:val="13"/>
              <w:widowControl w:val="false"/>
              <w:shd w:val="clear" w:color="auto" w:fill="auto"/>
              <w:suppressAutoHyphens w:val="true"/>
              <w:spacing w:before="0" w:after="0"/>
              <w:ind w:hanging="0"/>
              <w:jc w:val="center"/>
              <w:rPr>
                <w:bCs/>
              </w:rPr>
            </w:pPr>
            <w:r>
              <w:rPr>
                <w:bCs/>
                <w:kern w:val="0"/>
                <w:sz w:val="24"/>
                <w:szCs w:val="24"/>
                <w:lang w:val="ru-RU" w:eastAsia="ru-RU" w:bidi="ru-RU"/>
              </w:rPr>
              <w:t>1</w:t>
            </w:r>
          </w:p>
        </w:tc>
        <w:tc>
          <w:tcPr>
            <w:tcW w:w="6420" w:type="dxa"/>
            <w:tcBorders/>
            <w:vAlign w:val="center"/>
          </w:tcPr>
          <w:p>
            <w:pPr>
              <w:pStyle w:val="NoSpacing"/>
              <w:widowControl w:val="false"/>
              <w:suppressAutoHyphens w:val="true"/>
              <w:spacing w:before="0" w:after="0"/>
              <w:jc w:val="left"/>
              <w:rPr>
                <w:rFonts w:ascii="Courier New" w:hAnsi="Courier New" w:eastAsia="Courier New" w:cs="Courier New"/>
                <w:color w:val="1C1C1C"/>
                <w:kern w:val="0"/>
                <w:sz w:val="24"/>
                <w:szCs w:val="24"/>
                <w:lang w:val="ru-RU" w:eastAsia="ru-RU" w:bidi="ru-RU"/>
              </w:rPr>
            </w:pPr>
            <w:r>
              <w:rPr>
                <w:rFonts w:eastAsia="Courier New" w:cs="Times New Roman" w:ascii="Times New Roman" w:hAnsi="Times New Roman"/>
                <w:color w:val="1C1C1C"/>
                <w:kern w:val="0"/>
                <w:sz w:val="24"/>
                <w:szCs w:val="24"/>
                <w:lang w:val="ru-RU" w:eastAsia="ru-RU" w:bidi="ru-RU"/>
              </w:rPr>
              <w:t>Шины Hankook W429 i Pike X 235/70 R16 109T XL</w:t>
            </w:r>
          </w:p>
          <w:p>
            <w:pPr>
              <w:pStyle w:val="NoSpacing"/>
              <w:widowControl w:val="false"/>
              <w:suppressAutoHyphens w:val="true"/>
              <w:spacing w:before="0" w:after="0"/>
              <w:jc w:val="left"/>
              <w:rPr>
                <w:rFonts w:ascii="Times New Roman" w:hAnsi="Times New Roman" w:eastAsia="Courier New" w:cs="Times New Roman"/>
                <w:color w:val="1C1C1C"/>
                <w:kern w:val="0"/>
                <w:sz w:val="24"/>
                <w:szCs w:val="24"/>
                <w:lang w:val="en-US" w:eastAsia="ru-RU" w:bidi="ru-RU"/>
              </w:rPr>
            </w:pPr>
            <w:r>
              <w:rPr>
                <w:rFonts w:eastAsia="Courier New" w:cs="Times New Roman" w:ascii="Times New Roman" w:hAnsi="Times New Roman"/>
                <w:color w:val="1C1C1C"/>
                <w:kern w:val="0"/>
                <w:sz w:val="24"/>
                <w:szCs w:val="24"/>
                <w:lang w:val="en-US" w:eastAsia="ru-RU" w:bidi="ru-RU"/>
              </w:rPr>
            </w:r>
          </w:p>
        </w:tc>
        <w:tc>
          <w:tcPr>
            <w:tcW w:w="1844" w:type="dxa"/>
            <w:tcBorders/>
            <w:vAlign w:val="center"/>
          </w:tcPr>
          <w:p>
            <w:pPr>
              <w:pStyle w:val="13"/>
              <w:widowControl w:val="false"/>
              <w:shd w:val="clear" w:color="auto" w:fill="auto"/>
              <w:suppressAutoHyphens w:val="true"/>
              <w:spacing w:before="0" w:after="0"/>
              <w:ind w:hanging="0"/>
              <w:jc w:val="center"/>
              <w:rPr>
                <w:bCs/>
              </w:rPr>
            </w:pPr>
            <w:r>
              <w:rPr>
                <w:bCs/>
                <w:kern w:val="0"/>
                <w:sz w:val="24"/>
                <w:szCs w:val="24"/>
                <w:lang w:val="ru-RU" w:eastAsia="ru-RU" w:bidi="ru-RU"/>
              </w:rPr>
              <w:t>12</w:t>
            </w:r>
          </w:p>
        </w:tc>
        <w:tc>
          <w:tcPr>
            <w:tcW w:w="1416" w:type="dxa"/>
            <w:tcBorders/>
            <w:vAlign w:val="center"/>
          </w:tcPr>
          <w:p>
            <w:pPr>
              <w:pStyle w:val="13"/>
              <w:widowControl w:val="false"/>
              <w:shd w:val="clear" w:color="auto" w:fill="auto"/>
              <w:suppressAutoHyphens w:val="true"/>
              <w:spacing w:before="0" w:after="0"/>
              <w:ind w:hanging="0"/>
              <w:jc w:val="center"/>
              <w:rPr>
                <w:bCs/>
              </w:rPr>
            </w:pPr>
            <w:r>
              <w:rPr>
                <w:bCs/>
                <w:kern w:val="0"/>
                <w:sz w:val="24"/>
                <w:szCs w:val="24"/>
                <w:lang w:val="ru-RU" w:eastAsia="ru-RU" w:bidi="ru-RU"/>
              </w:rPr>
              <w:t>шт.</w:t>
            </w:r>
          </w:p>
        </w:tc>
        <w:tc>
          <w:tcPr>
            <w:tcW w:w="2552" w:type="dxa"/>
            <w:tcBorders/>
            <w:vAlign w:val="center"/>
          </w:tcPr>
          <w:p>
            <w:pPr>
              <w:pStyle w:val="13"/>
              <w:widowControl w:val="false"/>
              <w:shd w:val="clear" w:color="auto" w:fill="auto"/>
              <w:suppressAutoHyphens w:val="true"/>
              <w:spacing w:before="0" w:after="0"/>
              <w:ind w:hanging="0"/>
              <w:jc w:val="center"/>
              <w:rPr>
                <w:bCs/>
                <w:i/>
                <w:i/>
                <w:iCs/>
              </w:rPr>
            </w:pPr>
            <w:r>
              <w:rPr>
                <w:bCs/>
                <w:i/>
                <w:iCs/>
              </w:rPr>
            </w:r>
          </w:p>
        </w:tc>
        <w:tc>
          <w:tcPr>
            <w:tcW w:w="2268" w:type="dxa"/>
            <w:tcBorders/>
            <w:vAlign w:val="center"/>
          </w:tcPr>
          <w:p>
            <w:pPr>
              <w:pStyle w:val="13"/>
              <w:widowControl w:val="false"/>
              <w:shd w:val="clear" w:color="auto" w:fill="auto"/>
              <w:suppressAutoHyphens w:val="true"/>
              <w:spacing w:before="0" w:after="0"/>
              <w:ind w:hanging="0"/>
              <w:jc w:val="center"/>
              <w:rPr>
                <w:bCs/>
                <w:i/>
                <w:i/>
                <w:iCs/>
              </w:rPr>
            </w:pPr>
            <w:r>
              <w:rPr>
                <w:bCs/>
                <w:i/>
                <w:iCs/>
              </w:rPr>
            </w:r>
          </w:p>
        </w:tc>
      </w:tr>
      <w:tr>
        <w:trPr>
          <w:trHeight w:val="907" w:hRule="atLeast"/>
        </w:trPr>
        <w:tc>
          <w:tcPr>
            <w:tcW w:w="662" w:type="dxa"/>
            <w:tcBorders/>
            <w:vAlign w:val="center"/>
          </w:tcPr>
          <w:p>
            <w:pPr>
              <w:pStyle w:val="13"/>
              <w:widowControl w:val="false"/>
              <w:shd w:val="clear" w:color="auto" w:fill="auto"/>
              <w:suppressAutoHyphens w:val="true"/>
              <w:spacing w:before="0" w:after="0"/>
              <w:ind w:hanging="0"/>
              <w:jc w:val="center"/>
              <w:rPr>
                <w:bCs/>
              </w:rPr>
            </w:pPr>
            <w:r>
              <w:rPr>
                <w:bCs/>
                <w:kern w:val="0"/>
                <w:sz w:val="24"/>
                <w:szCs w:val="24"/>
                <w:lang w:val="ru-RU" w:eastAsia="ru-RU" w:bidi="ru-RU"/>
              </w:rPr>
              <w:t>2</w:t>
            </w:r>
          </w:p>
        </w:tc>
        <w:tc>
          <w:tcPr>
            <w:tcW w:w="6420" w:type="dxa"/>
            <w:tcBorders/>
            <w:vAlign w:val="center"/>
          </w:tcPr>
          <w:p>
            <w:pPr>
              <w:pStyle w:val="NoSpacing"/>
              <w:widowControl w:val="false"/>
              <w:suppressAutoHyphens w:val="true"/>
              <w:spacing w:before="0" w:after="0"/>
              <w:jc w:val="left"/>
              <w:rPr>
                <w:rFonts w:ascii="Courier New" w:hAnsi="Courier New" w:eastAsia="Courier New" w:cs="Courier New"/>
                <w:color w:val="1C1C1C"/>
                <w:kern w:val="0"/>
                <w:sz w:val="24"/>
                <w:szCs w:val="24"/>
                <w:lang w:val="ru-RU" w:eastAsia="ru-RU" w:bidi="ru-RU"/>
              </w:rPr>
            </w:pPr>
            <w:r>
              <w:rPr>
                <w:rFonts w:eastAsia="Courier New" w:cs="Times New Roman" w:ascii="Times New Roman" w:hAnsi="Times New Roman"/>
                <w:color w:val="1C1C1C"/>
                <w:kern w:val="0"/>
                <w:sz w:val="24"/>
                <w:szCs w:val="24"/>
                <w:lang w:val="ru-RU" w:eastAsia="ru-RU" w:bidi="ru-RU"/>
              </w:rPr>
              <w:t>Шины Nexen Roadian HTX 2 235/70 R16 109T XL</w:t>
            </w:r>
          </w:p>
        </w:tc>
        <w:tc>
          <w:tcPr>
            <w:tcW w:w="1844" w:type="dxa"/>
            <w:tcBorders/>
            <w:vAlign w:val="center"/>
          </w:tcPr>
          <w:p>
            <w:pPr>
              <w:pStyle w:val="13"/>
              <w:widowControl w:val="false"/>
              <w:shd w:val="clear" w:color="auto" w:fill="auto"/>
              <w:suppressAutoHyphens w:val="true"/>
              <w:spacing w:before="0" w:after="0"/>
              <w:ind w:hanging="0"/>
              <w:jc w:val="center"/>
              <w:rPr>
                <w:bCs/>
                <w:lang w:val="en-US"/>
              </w:rPr>
            </w:pPr>
            <w:r>
              <w:rPr>
                <w:bCs/>
                <w:kern w:val="0"/>
                <w:sz w:val="24"/>
                <w:szCs w:val="24"/>
                <w:lang w:val="en-US" w:eastAsia="ru-RU" w:bidi="ru-RU"/>
              </w:rPr>
              <w:t>4</w:t>
            </w:r>
          </w:p>
        </w:tc>
        <w:tc>
          <w:tcPr>
            <w:tcW w:w="1416" w:type="dxa"/>
            <w:tcBorders/>
            <w:vAlign w:val="center"/>
          </w:tcPr>
          <w:p>
            <w:pPr>
              <w:pStyle w:val="13"/>
              <w:widowControl w:val="false"/>
              <w:shd w:val="clear" w:color="auto" w:fill="auto"/>
              <w:suppressAutoHyphens w:val="true"/>
              <w:spacing w:before="0" w:after="0"/>
              <w:ind w:hanging="0"/>
              <w:jc w:val="center"/>
              <w:rPr>
                <w:bCs/>
              </w:rPr>
            </w:pPr>
            <w:r>
              <w:rPr>
                <w:bCs/>
                <w:kern w:val="0"/>
                <w:sz w:val="24"/>
                <w:szCs w:val="24"/>
                <w:lang w:val="ru-RU" w:eastAsia="ru-RU" w:bidi="ru-RU"/>
              </w:rPr>
              <w:t>шт.</w:t>
            </w:r>
          </w:p>
        </w:tc>
        <w:tc>
          <w:tcPr>
            <w:tcW w:w="2552" w:type="dxa"/>
            <w:tcBorders/>
            <w:vAlign w:val="center"/>
          </w:tcPr>
          <w:p>
            <w:pPr>
              <w:pStyle w:val="13"/>
              <w:widowControl w:val="false"/>
              <w:shd w:val="clear" w:color="auto" w:fill="auto"/>
              <w:suppressAutoHyphens w:val="true"/>
              <w:spacing w:before="0" w:after="0"/>
              <w:ind w:hanging="0"/>
              <w:jc w:val="center"/>
              <w:rPr>
                <w:bCs/>
                <w:i/>
                <w:i/>
                <w:iCs/>
              </w:rPr>
            </w:pPr>
            <w:r>
              <w:rPr>
                <w:bCs/>
                <w:i/>
                <w:iCs/>
              </w:rPr>
            </w:r>
          </w:p>
        </w:tc>
        <w:tc>
          <w:tcPr>
            <w:tcW w:w="2268" w:type="dxa"/>
            <w:tcBorders/>
            <w:vAlign w:val="center"/>
          </w:tcPr>
          <w:p>
            <w:pPr>
              <w:pStyle w:val="13"/>
              <w:widowControl w:val="false"/>
              <w:shd w:val="clear" w:color="auto" w:fill="auto"/>
              <w:suppressAutoHyphens w:val="true"/>
              <w:spacing w:before="0" w:after="0"/>
              <w:ind w:hanging="0"/>
              <w:jc w:val="center"/>
              <w:rPr>
                <w:bCs/>
                <w:i/>
                <w:i/>
                <w:iCs/>
              </w:rPr>
            </w:pPr>
            <w:r>
              <w:rPr>
                <w:bCs/>
                <w:i/>
                <w:iCs/>
              </w:rPr>
            </w:r>
          </w:p>
        </w:tc>
      </w:tr>
      <w:tr>
        <w:trPr>
          <w:trHeight w:val="907" w:hRule="atLeast"/>
        </w:trPr>
        <w:tc>
          <w:tcPr>
            <w:tcW w:w="662" w:type="dxa"/>
            <w:tcBorders/>
            <w:vAlign w:val="center"/>
          </w:tcPr>
          <w:p>
            <w:pPr>
              <w:pStyle w:val="13"/>
              <w:widowControl w:val="false"/>
              <w:shd w:val="clear" w:color="auto" w:fill="auto"/>
              <w:suppressAutoHyphens w:val="true"/>
              <w:spacing w:before="0" w:after="0"/>
              <w:ind w:hanging="0"/>
              <w:jc w:val="center"/>
              <w:rPr>
                <w:bCs/>
              </w:rPr>
            </w:pPr>
            <w:r>
              <w:rPr>
                <w:bCs/>
                <w:kern w:val="0"/>
                <w:sz w:val="24"/>
                <w:szCs w:val="24"/>
                <w:lang w:val="ru-RU" w:eastAsia="ru-RU" w:bidi="ru-RU"/>
              </w:rPr>
              <w:t>3</w:t>
            </w:r>
          </w:p>
        </w:tc>
        <w:tc>
          <w:tcPr>
            <w:tcW w:w="6420" w:type="dxa"/>
            <w:tcBorders/>
            <w:vAlign w:val="center"/>
          </w:tcPr>
          <w:p>
            <w:pPr>
              <w:pStyle w:val="NoSpacing"/>
              <w:widowControl w:val="false"/>
              <w:suppressAutoHyphens w:val="true"/>
              <w:spacing w:before="0" w:after="0"/>
              <w:jc w:val="left"/>
              <w:rPr>
                <w:rFonts w:ascii="Courier New" w:hAnsi="Courier New" w:eastAsia="Courier New" w:cs="Courier New"/>
                <w:color w:val="1C1C1C"/>
                <w:kern w:val="0"/>
                <w:sz w:val="24"/>
                <w:szCs w:val="24"/>
                <w:lang w:val="ru-RU" w:eastAsia="ru-RU" w:bidi="ru-RU"/>
              </w:rPr>
            </w:pPr>
            <w:r>
              <w:rPr>
                <w:rFonts w:eastAsia="Courier New" w:cs="Times New Roman" w:ascii="Times New Roman" w:hAnsi="Times New Roman"/>
                <w:color w:val="1C1C1C"/>
                <w:kern w:val="0"/>
                <w:sz w:val="24"/>
                <w:szCs w:val="24"/>
                <w:lang w:val="ru-RU" w:eastAsia="ru-RU" w:bidi="ru-RU"/>
              </w:rPr>
              <w:t>Шины</w:t>
            </w:r>
            <w:r>
              <w:rPr>
                <w:rFonts w:eastAsia="Courier New" w:cs="Times New Roman" w:ascii="Times New Roman" w:hAnsi="Times New Roman"/>
                <w:color w:val="1C1C1C"/>
                <w:kern w:val="0"/>
                <w:sz w:val="24"/>
                <w:szCs w:val="24"/>
                <w:lang w:val="en-US" w:eastAsia="ru-RU" w:bidi="ru-RU"/>
              </w:rPr>
              <w:t xml:space="preserve"> Kumho Ecsta PS71 215/60 R17 96H</w:t>
            </w:r>
          </w:p>
        </w:tc>
        <w:tc>
          <w:tcPr>
            <w:tcW w:w="1844" w:type="dxa"/>
            <w:tcBorders/>
            <w:vAlign w:val="center"/>
          </w:tcPr>
          <w:p>
            <w:pPr>
              <w:pStyle w:val="13"/>
              <w:widowControl w:val="false"/>
              <w:shd w:val="clear" w:color="auto" w:fill="auto"/>
              <w:suppressAutoHyphens w:val="true"/>
              <w:spacing w:before="0" w:after="0"/>
              <w:ind w:hanging="0"/>
              <w:jc w:val="center"/>
              <w:rPr>
                <w:bCs/>
                <w:lang w:val="en-US"/>
              </w:rPr>
            </w:pPr>
            <w:r>
              <w:rPr>
                <w:bCs/>
                <w:kern w:val="0"/>
                <w:sz w:val="24"/>
                <w:szCs w:val="24"/>
                <w:lang w:val="en-US" w:eastAsia="ru-RU" w:bidi="ru-RU"/>
              </w:rPr>
              <w:t>4</w:t>
            </w:r>
          </w:p>
        </w:tc>
        <w:tc>
          <w:tcPr>
            <w:tcW w:w="1416" w:type="dxa"/>
            <w:tcBorders/>
            <w:vAlign w:val="center"/>
          </w:tcPr>
          <w:p>
            <w:pPr>
              <w:pStyle w:val="13"/>
              <w:widowControl w:val="false"/>
              <w:shd w:val="clear" w:color="auto" w:fill="auto"/>
              <w:suppressAutoHyphens w:val="true"/>
              <w:spacing w:before="0" w:after="0"/>
              <w:ind w:hanging="0"/>
              <w:jc w:val="center"/>
              <w:rPr>
                <w:bCs/>
              </w:rPr>
            </w:pPr>
            <w:r>
              <w:rPr>
                <w:bCs/>
                <w:kern w:val="0"/>
                <w:sz w:val="24"/>
                <w:szCs w:val="24"/>
                <w:lang w:val="ru-RU" w:eastAsia="ru-RU" w:bidi="ru-RU"/>
              </w:rPr>
              <w:t>шт.</w:t>
            </w:r>
          </w:p>
        </w:tc>
        <w:tc>
          <w:tcPr>
            <w:tcW w:w="2552" w:type="dxa"/>
            <w:tcBorders/>
            <w:vAlign w:val="center"/>
          </w:tcPr>
          <w:p>
            <w:pPr>
              <w:pStyle w:val="13"/>
              <w:widowControl w:val="false"/>
              <w:shd w:val="clear" w:color="auto" w:fill="auto"/>
              <w:suppressAutoHyphens w:val="true"/>
              <w:spacing w:before="0" w:after="0"/>
              <w:ind w:hanging="0"/>
              <w:jc w:val="center"/>
              <w:rPr>
                <w:bCs/>
                <w:i/>
                <w:i/>
                <w:iCs/>
              </w:rPr>
            </w:pPr>
            <w:r>
              <w:rPr>
                <w:bCs/>
                <w:i/>
                <w:iCs/>
              </w:rPr>
            </w:r>
          </w:p>
        </w:tc>
        <w:tc>
          <w:tcPr>
            <w:tcW w:w="2268" w:type="dxa"/>
            <w:tcBorders/>
            <w:vAlign w:val="center"/>
          </w:tcPr>
          <w:p>
            <w:pPr>
              <w:pStyle w:val="13"/>
              <w:widowControl w:val="false"/>
              <w:shd w:val="clear" w:color="auto" w:fill="auto"/>
              <w:suppressAutoHyphens w:val="true"/>
              <w:spacing w:before="0" w:after="0"/>
              <w:ind w:hanging="0"/>
              <w:jc w:val="center"/>
              <w:rPr>
                <w:bCs/>
                <w:i/>
                <w:i/>
                <w:iCs/>
              </w:rPr>
            </w:pPr>
            <w:r>
              <w:rPr>
                <w:bCs/>
                <w:i/>
                <w:iCs/>
              </w:rPr>
            </w:r>
          </w:p>
        </w:tc>
      </w:tr>
      <w:tr>
        <w:trPr>
          <w:trHeight w:val="907" w:hRule="atLeast"/>
        </w:trPr>
        <w:tc>
          <w:tcPr>
            <w:tcW w:w="662" w:type="dxa"/>
            <w:tcBorders/>
            <w:vAlign w:val="center"/>
          </w:tcPr>
          <w:p>
            <w:pPr>
              <w:pStyle w:val="13"/>
              <w:widowControl w:val="false"/>
              <w:shd w:val="clear" w:color="auto" w:fill="auto"/>
              <w:suppressAutoHyphens w:val="true"/>
              <w:spacing w:before="0" w:after="0"/>
              <w:ind w:hanging="0"/>
              <w:jc w:val="center"/>
              <w:rPr>
                <w:bCs/>
              </w:rPr>
            </w:pPr>
            <w:r>
              <w:rPr>
                <w:bCs/>
                <w:kern w:val="0"/>
                <w:sz w:val="24"/>
                <w:szCs w:val="24"/>
                <w:lang w:val="ru-RU" w:eastAsia="ru-RU" w:bidi="ru-RU"/>
              </w:rPr>
              <w:t>4</w:t>
            </w:r>
          </w:p>
        </w:tc>
        <w:tc>
          <w:tcPr>
            <w:tcW w:w="6420" w:type="dxa"/>
            <w:tcBorders/>
            <w:vAlign w:val="center"/>
          </w:tcPr>
          <w:p>
            <w:pPr>
              <w:pStyle w:val="NoSpacing"/>
              <w:widowControl w:val="false"/>
              <w:suppressAutoHyphens w:val="true"/>
              <w:spacing w:before="0" w:after="0"/>
              <w:jc w:val="left"/>
              <w:rPr>
                <w:rFonts w:ascii="Courier New" w:hAnsi="Courier New" w:eastAsia="Courier New" w:cs="Courier New"/>
                <w:color w:val="1C1C1C"/>
                <w:kern w:val="0"/>
                <w:sz w:val="24"/>
                <w:szCs w:val="24"/>
                <w:lang w:val="ru-RU" w:eastAsia="ru-RU" w:bidi="ru-RU"/>
              </w:rPr>
            </w:pPr>
            <w:r>
              <w:rPr>
                <w:rFonts w:eastAsia="Courier New" w:cs="Times New Roman" w:ascii="Times New Roman" w:hAnsi="Times New Roman"/>
                <w:color w:val="1C1C1C"/>
                <w:kern w:val="0"/>
                <w:sz w:val="24"/>
                <w:szCs w:val="24"/>
                <w:lang w:val="ru-RU" w:eastAsia="ru-RU" w:bidi="ru-RU"/>
              </w:rPr>
              <w:br/>
              <w:t>Шины Hankook W429 i Pike RS2 185/65 R15 92T XL</w:t>
            </w:r>
          </w:p>
        </w:tc>
        <w:tc>
          <w:tcPr>
            <w:tcW w:w="1844" w:type="dxa"/>
            <w:tcBorders/>
            <w:vAlign w:val="center"/>
          </w:tcPr>
          <w:p>
            <w:pPr>
              <w:pStyle w:val="13"/>
              <w:widowControl w:val="false"/>
              <w:shd w:val="clear" w:color="auto" w:fill="auto"/>
              <w:suppressAutoHyphens w:val="true"/>
              <w:spacing w:before="0" w:after="0"/>
              <w:ind w:hanging="0"/>
              <w:jc w:val="center"/>
              <w:rPr>
                <w:bCs/>
                <w:lang w:val="en-US"/>
              </w:rPr>
            </w:pPr>
            <w:r>
              <w:rPr>
                <w:bCs/>
                <w:kern w:val="0"/>
                <w:sz w:val="24"/>
                <w:szCs w:val="24"/>
                <w:lang w:val="en-US" w:eastAsia="ru-RU" w:bidi="ru-RU"/>
              </w:rPr>
              <w:t>4</w:t>
            </w:r>
          </w:p>
        </w:tc>
        <w:tc>
          <w:tcPr>
            <w:tcW w:w="1416" w:type="dxa"/>
            <w:tcBorders/>
            <w:vAlign w:val="center"/>
          </w:tcPr>
          <w:p>
            <w:pPr>
              <w:pStyle w:val="13"/>
              <w:widowControl w:val="false"/>
              <w:shd w:val="clear" w:color="auto" w:fill="auto"/>
              <w:suppressAutoHyphens w:val="true"/>
              <w:spacing w:before="0" w:after="0"/>
              <w:ind w:hanging="0"/>
              <w:jc w:val="center"/>
              <w:rPr>
                <w:bCs/>
              </w:rPr>
            </w:pPr>
            <w:r>
              <w:rPr>
                <w:bCs/>
                <w:kern w:val="0"/>
                <w:sz w:val="24"/>
                <w:szCs w:val="24"/>
                <w:lang w:val="ru-RU" w:eastAsia="ru-RU" w:bidi="ru-RU"/>
              </w:rPr>
              <w:t>шт.</w:t>
            </w:r>
          </w:p>
        </w:tc>
        <w:tc>
          <w:tcPr>
            <w:tcW w:w="2552" w:type="dxa"/>
            <w:tcBorders/>
            <w:vAlign w:val="center"/>
          </w:tcPr>
          <w:p>
            <w:pPr>
              <w:pStyle w:val="13"/>
              <w:widowControl w:val="false"/>
              <w:shd w:val="clear" w:color="auto" w:fill="auto"/>
              <w:suppressAutoHyphens w:val="true"/>
              <w:spacing w:before="0" w:after="0"/>
              <w:ind w:hanging="0"/>
              <w:jc w:val="center"/>
              <w:rPr>
                <w:bCs/>
                <w:i/>
                <w:i/>
                <w:iCs/>
              </w:rPr>
            </w:pPr>
            <w:r>
              <w:rPr>
                <w:bCs/>
                <w:i/>
                <w:iCs/>
              </w:rPr>
            </w:r>
          </w:p>
        </w:tc>
        <w:tc>
          <w:tcPr>
            <w:tcW w:w="2268" w:type="dxa"/>
            <w:tcBorders/>
            <w:vAlign w:val="center"/>
          </w:tcPr>
          <w:p>
            <w:pPr>
              <w:pStyle w:val="13"/>
              <w:widowControl w:val="false"/>
              <w:shd w:val="clear" w:color="auto" w:fill="auto"/>
              <w:suppressAutoHyphens w:val="true"/>
              <w:spacing w:before="0" w:after="0"/>
              <w:ind w:hanging="0"/>
              <w:jc w:val="center"/>
              <w:rPr>
                <w:bCs/>
                <w:i/>
                <w:i/>
                <w:iCs/>
              </w:rPr>
            </w:pPr>
            <w:r>
              <w:rPr>
                <w:bCs/>
                <w:i/>
                <w:iCs/>
              </w:rPr>
            </w:r>
          </w:p>
        </w:tc>
      </w:tr>
      <w:tr>
        <w:trPr>
          <w:trHeight w:val="907" w:hRule="atLeast"/>
        </w:trPr>
        <w:tc>
          <w:tcPr>
            <w:tcW w:w="12894" w:type="dxa"/>
            <w:gridSpan w:val="5"/>
            <w:tcBorders/>
            <w:vAlign w:val="center"/>
          </w:tcPr>
          <w:p>
            <w:pPr>
              <w:pStyle w:val="13"/>
              <w:widowControl w:val="false"/>
              <w:shd w:val="clear" w:color="auto" w:fill="auto"/>
              <w:suppressAutoHyphens w:val="true"/>
              <w:spacing w:before="0" w:after="0"/>
              <w:ind w:hanging="0"/>
              <w:jc w:val="right"/>
              <w:rPr>
                <w:b/>
                <w:bCs/>
                <w:iCs/>
              </w:rPr>
            </w:pPr>
            <w:r>
              <w:rPr>
                <w:b/>
                <w:bCs/>
                <w:iCs/>
                <w:kern w:val="0"/>
                <w:sz w:val="24"/>
                <w:szCs w:val="24"/>
                <w:lang w:val="ru-RU" w:eastAsia="ru-RU" w:bidi="ru-RU"/>
              </w:rPr>
              <w:t>ИТОГО:</w:t>
            </w:r>
          </w:p>
        </w:tc>
        <w:tc>
          <w:tcPr>
            <w:tcW w:w="2268" w:type="dxa"/>
            <w:tcBorders/>
            <w:vAlign w:val="center"/>
          </w:tcPr>
          <w:p>
            <w:pPr>
              <w:pStyle w:val="13"/>
              <w:widowControl w:val="false"/>
              <w:shd w:val="clear" w:color="auto" w:fill="auto"/>
              <w:suppressAutoHyphens w:val="true"/>
              <w:spacing w:before="0" w:after="0"/>
              <w:ind w:hanging="0"/>
              <w:jc w:val="center"/>
              <w:rPr>
                <w:i/>
                <w:i/>
              </w:rPr>
            </w:pPr>
            <w:r>
              <w:rPr>
                <w:i/>
              </w:rPr>
            </w:r>
          </w:p>
        </w:tc>
      </w:tr>
    </w:tbl>
    <w:p>
      <w:pPr>
        <w:pStyle w:val="13"/>
        <w:shd w:val="clear" w:color="auto" w:fill="auto"/>
        <w:ind w:hanging="0"/>
        <w:rPr>
          <w:b/>
          <w:bCs/>
        </w:rPr>
      </w:pPr>
      <w:r>
        <w:rPr>
          <w:b/>
          <w:bCs/>
        </w:rPr>
      </w:r>
    </w:p>
    <w:p>
      <w:pPr>
        <w:pStyle w:val="Normal"/>
        <w:spacing w:lineRule="exact" w:line="1" w:before="0" w:after="259"/>
        <w:rPr/>
      </w:pPr>
      <w:r>
        <w:rPr/>
      </w:r>
    </w:p>
    <w:p>
      <w:pPr>
        <w:pStyle w:val="13"/>
        <w:shd w:val="clear" w:color="auto" w:fill="auto"/>
        <w:ind w:hanging="0"/>
        <w:jc w:val="both"/>
        <w:rPr>
          <w:sz w:val="20"/>
          <w:szCs w:val="20"/>
        </w:rPr>
      </w:pPr>
      <w:r>
        <w:rPr>
          <w:sz w:val="20"/>
          <w:szCs w:val="20"/>
          <w:vertAlign w:val="superscript"/>
        </w:rPr>
        <w:t>1</w:t>
      </w:r>
      <w:r>
        <w:rPr>
          <w:sz w:val="20"/>
          <w:szCs w:val="20"/>
        </w:rPr>
        <w:t>Цена указывается в рублях и включает в себя: стоимость всего Товара все затраты Поставщика, связанные с исполнением Государственного контракта, в том числе страхование, уплату пошлин, налогов, сборов и других обязательных платежей, которые Поставщик обязан выплатить в связи с выполнением обязательств по Государственному контракту, в соответствии с законодательством Российской Федерации.</w:t>
      </w:r>
    </w:p>
    <w:p>
      <w:pPr>
        <w:pStyle w:val="13"/>
        <w:shd w:val="clear" w:color="auto" w:fill="auto"/>
        <w:spacing w:before="0" w:after="0"/>
        <w:ind w:hanging="0"/>
        <w:rPr>
          <w:i/>
          <w:i/>
          <w:iCs/>
          <w:sz w:val="20"/>
          <w:szCs w:val="20"/>
        </w:rPr>
      </w:pPr>
      <w:r>
        <w:rPr>
          <w:i/>
          <w:iCs/>
          <w:sz w:val="20"/>
          <w:szCs w:val="20"/>
        </w:rPr>
        <w:t xml:space="preserve"> </w:t>
      </w:r>
      <w:r>
        <w:rPr>
          <w:i/>
          <w:iCs/>
          <w:sz w:val="20"/>
          <w:szCs w:val="20"/>
        </w:rPr>
        <w:t>Указанная стоимость в столбцах 5 и 6, строке 1 является предельной. Цена подлежит уменьшению на процент снижения в ходе поданных ценовых предложений</w:t>
      </w:r>
    </w:p>
    <w:tbl>
      <w:tblPr>
        <w:tblW w:w="10158" w:type="dxa"/>
        <w:jc w:val="left"/>
        <w:tblInd w:w="3227" w:type="dxa"/>
        <w:tblLayout w:type="fixed"/>
        <w:tblCellMar>
          <w:top w:w="0" w:type="dxa"/>
          <w:left w:w="108" w:type="dxa"/>
          <w:bottom w:w="0" w:type="dxa"/>
          <w:right w:w="108" w:type="dxa"/>
        </w:tblCellMar>
        <w:tblLook w:val="04a0"/>
      </w:tblPr>
      <w:tblGrid>
        <w:gridCol w:w="5104"/>
        <w:gridCol w:w="5053"/>
      </w:tblGrid>
      <w:tr>
        <w:trPr/>
        <w:tc>
          <w:tcPr>
            <w:tcW w:w="5104" w:type="dxa"/>
            <w:tcBorders/>
          </w:tcPr>
          <w:p>
            <w:pPr>
              <w:pStyle w:val="Normal"/>
              <w:ind w:hanging="5760" w:left="5760"/>
              <w:jc w:val="both"/>
              <w:rPr>
                <w:rFonts w:ascii="Times New Roman" w:hAnsi="Times New Roman" w:eastAsia="Times New Roman"/>
              </w:rPr>
            </w:pPr>
            <w:r>
              <w:rPr>
                <w:rFonts w:eastAsia="Times New Roman" w:ascii="Times New Roman" w:hAnsi="Times New Roman"/>
              </w:rPr>
              <w:t>от Государственного заказчика</w:t>
            </w:r>
          </w:p>
          <w:p>
            <w:pPr>
              <w:pStyle w:val="Normal"/>
              <w:shd w:val="clear" w:color="auto" w:fill="FFFFFF"/>
              <w:ind w:left="24"/>
              <w:jc w:val="both"/>
              <w:rPr>
                <w:rFonts w:ascii="Times New Roman" w:hAnsi="Times New Roman" w:eastAsia="Times New Roman"/>
              </w:rPr>
            </w:pPr>
            <w:r>
              <w:rPr>
                <w:rFonts w:eastAsia="Times New Roman" w:ascii="Times New Roman" w:hAnsi="Times New Roman"/>
              </w:rPr>
            </w:r>
          </w:p>
          <w:p>
            <w:pPr>
              <w:pStyle w:val="Normal"/>
              <w:rPr>
                <w:rFonts w:ascii="Times New Roman" w:hAnsi="Times New Roman"/>
              </w:rPr>
            </w:pPr>
            <w:r>
              <w:rPr>
                <w:rFonts w:ascii="Times New Roman" w:hAnsi="Times New Roman"/>
              </w:rPr>
              <w:t>__________________/А.В. Фирсов/</w:t>
            </w:r>
          </w:p>
          <w:p>
            <w:pPr>
              <w:pStyle w:val="Normal"/>
              <w:shd w:val="clear" w:color="auto" w:fill="FFFFFF"/>
              <w:ind w:left="24"/>
              <w:jc w:val="both"/>
              <w:rPr>
                <w:rFonts w:ascii="Times New Roman" w:hAnsi="Times New Roman" w:eastAsia="Times New Roman"/>
              </w:rPr>
            </w:pPr>
            <w:r>
              <w:rPr>
                <w:rFonts w:eastAsia="Times New Roman" w:ascii="Times New Roman" w:hAnsi="Times New Roman"/>
              </w:rPr>
              <w:t xml:space="preserve"> </w:t>
            </w:r>
            <w:r>
              <w:rPr>
                <w:rFonts w:eastAsia="Times New Roman" w:ascii="Times New Roman" w:hAnsi="Times New Roman"/>
              </w:rPr>
              <w:t>М.П.</w:t>
            </w:r>
          </w:p>
        </w:tc>
        <w:tc>
          <w:tcPr>
            <w:tcW w:w="5053" w:type="dxa"/>
            <w:tcBorders/>
          </w:tcPr>
          <w:p>
            <w:pPr>
              <w:pStyle w:val="Normal"/>
              <w:ind w:hanging="5760" w:left="5760"/>
              <w:jc w:val="both"/>
              <w:rPr>
                <w:rFonts w:ascii="Times New Roman" w:hAnsi="Times New Roman" w:eastAsia="Times New Roman"/>
              </w:rPr>
            </w:pPr>
            <w:r>
              <w:rPr>
                <w:rFonts w:eastAsia="Times New Roman" w:ascii="Times New Roman" w:hAnsi="Times New Roman"/>
              </w:rPr>
              <w:t>от Поставщика</w:t>
            </w:r>
          </w:p>
          <w:p>
            <w:pPr>
              <w:pStyle w:val="Normal"/>
              <w:ind w:hanging="5760" w:left="5760"/>
              <w:jc w:val="center"/>
              <w:rPr>
                <w:rFonts w:ascii="Times New Roman" w:hAnsi="Times New Roman" w:eastAsia="Times New Roman"/>
              </w:rPr>
            </w:pPr>
            <w:r>
              <w:rPr>
                <w:rFonts w:eastAsia="Times New Roman" w:ascii="Times New Roman" w:hAnsi="Times New Roman"/>
              </w:rPr>
            </w:r>
          </w:p>
          <w:p>
            <w:pPr>
              <w:pStyle w:val="Normal"/>
              <w:rPr>
                <w:rFonts w:ascii="Times New Roman" w:hAnsi="Times New Roman"/>
              </w:rPr>
            </w:pPr>
            <w:r>
              <w:rPr>
                <w:rFonts w:ascii="Times New Roman" w:hAnsi="Times New Roman"/>
              </w:rPr>
              <w:t>__________________/______________/</w:t>
            </w:r>
          </w:p>
          <w:p>
            <w:pPr>
              <w:pStyle w:val="Normal"/>
              <w:jc w:val="both"/>
              <w:rPr>
                <w:rFonts w:ascii="Times New Roman" w:hAnsi="Times New Roman" w:eastAsia="Times New Roman"/>
              </w:rPr>
            </w:pPr>
            <w:r>
              <w:rPr>
                <w:rFonts w:eastAsia="Times New Roman" w:ascii="Times New Roman" w:hAnsi="Times New Roman"/>
              </w:rPr>
              <w:t xml:space="preserve"> </w:t>
            </w:r>
            <w:r>
              <w:rPr>
                <w:rFonts w:eastAsia="Times New Roman" w:ascii="Times New Roman" w:hAnsi="Times New Roman"/>
              </w:rPr>
              <w:t>М.П.</w:t>
            </w:r>
          </w:p>
        </w:tc>
      </w:tr>
    </w:tbl>
    <w:p>
      <w:pPr>
        <w:sectPr>
          <w:footerReference w:type="even" r:id="rId5"/>
          <w:footerReference w:type="default" r:id="rId6"/>
          <w:footerReference w:type="first" r:id="rId7"/>
          <w:type w:val="nextPage"/>
          <w:pgSz w:orient="landscape" w:w="16838" w:h="11906"/>
          <w:pgMar w:left="710" w:right="897" w:gutter="0" w:header="0" w:top="702" w:footer="3" w:bottom="1134"/>
          <w:pgNumType w:start="1" w:fmt="decimal"/>
          <w:formProt w:val="false"/>
          <w:titlePg/>
          <w:textDirection w:val="lrTb"/>
          <w:docGrid w:type="default" w:linePitch="360" w:charSpace="0"/>
        </w:sectPr>
      </w:pPr>
    </w:p>
    <w:p>
      <w:pPr>
        <w:pStyle w:val="Normal"/>
        <w:shd w:val="clear" w:color="auto" w:fill="FFFFFF"/>
        <w:tabs>
          <w:tab w:val="clear" w:pos="708"/>
          <w:tab w:val="left" w:pos="3480" w:leader="none"/>
          <w:tab w:val="center" w:pos="4667" w:leader="none"/>
        </w:tabs>
        <w:spacing w:before="67" w:after="0"/>
        <w:ind w:right="21"/>
        <w:rPr>
          <w:rFonts w:ascii="Times New Roman" w:hAnsi="Times New Roman" w:cs="Times New Roman"/>
          <w:spacing w:val="-2"/>
        </w:rPr>
      </w:pPr>
      <w:r>
        <w:rPr>
          <w:i/>
        </w:rPr>
        <w:tab/>
      </w:r>
      <w:r>
        <w:rPr>
          <w:rFonts w:cs="Times New Roman" w:ascii="Times New Roman" w:hAnsi="Times New Roman"/>
        </w:rPr>
        <w:tab/>
        <w:tab/>
        <w:tab/>
        <w:t>Приложение № 2</w:t>
      </w:r>
    </w:p>
    <w:p>
      <w:pPr>
        <w:pStyle w:val="15"/>
        <w:ind w:firstLine="708" w:left="4956"/>
        <w:jc w:val="both"/>
        <w:rPr>
          <w:rFonts w:ascii="Times New Roman" w:hAnsi="Times New Roman"/>
          <w:sz w:val="24"/>
          <w:szCs w:val="24"/>
        </w:rPr>
      </w:pPr>
      <w:r>
        <w:rPr>
          <w:rFonts w:ascii="Times New Roman" w:hAnsi="Times New Roman"/>
          <w:sz w:val="24"/>
          <w:szCs w:val="24"/>
        </w:rPr>
        <w:t xml:space="preserve">к Государственному Контракту </w:t>
      </w:r>
    </w:p>
    <w:p>
      <w:pPr>
        <w:pStyle w:val="15"/>
        <w:ind w:firstLine="708" w:left="4956"/>
        <w:jc w:val="both"/>
        <w:rPr>
          <w:rFonts w:ascii="Times New Roman" w:hAnsi="Times New Roman"/>
          <w:sz w:val="24"/>
          <w:szCs w:val="24"/>
        </w:rPr>
      </w:pPr>
      <w:r>
        <w:rPr>
          <w:rFonts w:ascii="Times New Roman" w:hAnsi="Times New Roman"/>
          <w:sz w:val="24"/>
          <w:szCs w:val="24"/>
        </w:rPr>
        <w:t>от «___» _________ 2026 г.</w:t>
      </w:r>
    </w:p>
    <w:p>
      <w:pPr>
        <w:pStyle w:val="15"/>
        <w:ind w:left="566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w:t>
      </w:r>
    </w:p>
    <w:p>
      <w:pPr>
        <w:pStyle w:val="13"/>
        <w:shd w:val="clear" w:color="auto" w:fill="auto"/>
        <w:tabs>
          <w:tab w:val="clear" w:pos="708"/>
          <w:tab w:val="left" w:pos="7572" w:leader="none"/>
        </w:tabs>
        <w:spacing w:before="0" w:after="220"/>
        <w:ind w:hanging="0"/>
        <w:rPr/>
      </w:pPr>
      <w:r>
        <w:rPr/>
      </w:r>
    </w:p>
    <w:p>
      <w:pPr>
        <w:pStyle w:val="Normal"/>
        <w:jc w:val="both"/>
        <w:rPr>
          <w:rFonts w:ascii="Times New Roman" w:hAnsi="Times New Roman" w:cs="Times New Roman"/>
        </w:rPr>
      </w:pPr>
      <w:r>
        <w:rPr>
          <w:rFonts w:cs="Times New Roman" w:ascii="Times New Roman" w:hAnsi="Times New Roman"/>
        </w:rPr>
      </w:r>
    </w:p>
    <w:tbl>
      <w:tblPr>
        <w:tblpPr w:vertAnchor="text" w:horzAnchor="margin" w:tblpXSpec="center" w:leftFromText="180" w:rightFromText="180" w:tblpY="172"/>
        <w:tblW w:w="10784" w:type="dxa"/>
        <w:jc w:val="center"/>
        <w:tblInd w:w="0" w:type="dxa"/>
        <w:tblLayout w:type="fixed"/>
        <w:tblCellMar>
          <w:top w:w="0" w:type="dxa"/>
          <w:left w:w="108" w:type="dxa"/>
          <w:bottom w:w="0" w:type="dxa"/>
          <w:right w:w="108" w:type="dxa"/>
        </w:tblCellMar>
        <w:tblLook w:val="04a0"/>
      </w:tblPr>
      <w:tblGrid>
        <w:gridCol w:w="5434"/>
        <w:gridCol w:w="5349"/>
      </w:tblGrid>
      <w:tr>
        <w:trPr>
          <w:trHeight w:val="1470" w:hRule="atLeast"/>
        </w:trPr>
        <w:tc>
          <w:tcPr>
            <w:tcW w:w="5434" w:type="dxa"/>
            <w:tcBorders/>
            <w:shd w:color="auto" w:fill="auto" w:val="clear"/>
          </w:tcPr>
          <w:p>
            <w:pPr>
              <w:pStyle w:val="BodyTextIndent"/>
              <w:ind w:hanging="0" w:left="1021"/>
              <w:jc w:val="both"/>
              <w:rPr>
                <w:b/>
                <w:sz w:val="24"/>
                <w:szCs w:val="24"/>
              </w:rPr>
            </w:pPr>
            <w:r>
              <w:rPr>
                <w:b/>
                <w:sz w:val="24"/>
                <w:szCs w:val="24"/>
              </w:rPr>
              <w:t>УТВЕРЖДАЮ</w:t>
            </w:r>
          </w:p>
          <w:p>
            <w:pPr>
              <w:pStyle w:val="BodyTextIndent"/>
              <w:ind w:hanging="0" w:left="1021"/>
              <w:jc w:val="both"/>
              <w:rPr>
                <w:sz w:val="24"/>
                <w:szCs w:val="24"/>
              </w:rPr>
            </w:pPr>
            <w:r>
              <w:rPr>
                <w:sz w:val="24"/>
                <w:szCs w:val="24"/>
              </w:rPr>
              <w:t>от Государственного заказчика</w:t>
            </w:r>
          </w:p>
          <w:p>
            <w:pPr>
              <w:pStyle w:val="BodyTextIndent"/>
              <w:ind w:hanging="0" w:left="1021"/>
              <w:jc w:val="both"/>
              <w:rPr>
                <w:sz w:val="24"/>
                <w:szCs w:val="24"/>
              </w:rPr>
            </w:pPr>
            <w:r>
              <w:rPr>
                <w:sz w:val="24"/>
                <w:szCs w:val="24"/>
              </w:rPr>
            </w:r>
          </w:p>
          <w:p>
            <w:pPr>
              <w:pStyle w:val="BodyTextIndent"/>
              <w:ind w:hanging="0" w:left="1021"/>
              <w:jc w:val="both"/>
              <w:rPr>
                <w:sz w:val="24"/>
                <w:szCs w:val="24"/>
              </w:rPr>
            </w:pPr>
            <w:r>
              <w:rPr>
                <w:sz w:val="24"/>
                <w:szCs w:val="24"/>
              </w:rPr>
              <w:t>________________/ ________ /</w:t>
            </w:r>
          </w:p>
          <w:p>
            <w:pPr>
              <w:pStyle w:val="BodyTextIndent"/>
              <w:ind w:hanging="0" w:left="1021"/>
              <w:jc w:val="both"/>
              <w:rPr>
                <w:sz w:val="24"/>
                <w:szCs w:val="24"/>
              </w:rPr>
            </w:pPr>
            <w:r>
              <w:rPr>
                <w:sz w:val="24"/>
                <w:szCs w:val="24"/>
              </w:rPr>
              <w:t>м.п.</w:t>
            </w:r>
          </w:p>
        </w:tc>
        <w:tc>
          <w:tcPr>
            <w:tcW w:w="5349" w:type="dxa"/>
            <w:tcBorders/>
            <w:shd w:color="auto" w:fill="auto" w:val="clear"/>
          </w:tcPr>
          <w:p>
            <w:pPr>
              <w:pStyle w:val="BodyTextIndent"/>
              <w:ind w:hanging="0" w:left="1021"/>
              <w:jc w:val="both"/>
              <w:rPr>
                <w:b/>
                <w:sz w:val="24"/>
                <w:szCs w:val="24"/>
              </w:rPr>
            </w:pPr>
            <w:r>
              <w:rPr>
                <w:b/>
                <w:sz w:val="24"/>
                <w:szCs w:val="24"/>
              </w:rPr>
              <w:t>УТВЕРЖДАЮ</w:t>
            </w:r>
          </w:p>
          <w:p>
            <w:pPr>
              <w:pStyle w:val="BodyTextIndent"/>
              <w:ind w:hanging="0" w:left="1021"/>
              <w:jc w:val="both"/>
              <w:rPr>
                <w:sz w:val="24"/>
                <w:szCs w:val="24"/>
              </w:rPr>
            </w:pPr>
            <w:r>
              <w:rPr>
                <w:sz w:val="24"/>
                <w:szCs w:val="24"/>
              </w:rPr>
              <w:t>от Поставщика</w:t>
            </w:r>
          </w:p>
          <w:p>
            <w:pPr>
              <w:pStyle w:val="BodyTextIndent"/>
              <w:ind w:hanging="0" w:left="1021"/>
              <w:jc w:val="both"/>
              <w:rPr>
                <w:sz w:val="24"/>
                <w:szCs w:val="24"/>
              </w:rPr>
            </w:pPr>
            <w:r>
              <w:rPr>
                <w:sz w:val="24"/>
                <w:szCs w:val="24"/>
              </w:rPr>
            </w:r>
          </w:p>
          <w:p>
            <w:pPr>
              <w:pStyle w:val="BodyTextIndent"/>
              <w:ind w:hanging="0" w:left="1021"/>
              <w:jc w:val="both"/>
              <w:rPr>
                <w:sz w:val="24"/>
                <w:szCs w:val="24"/>
              </w:rPr>
            </w:pPr>
            <w:r>
              <w:rPr>
                <w:sz w:val="24"/>
                <w:szCs w:val="24"/>
              </w:rPr>
              <w:t>_______________/ ________ /</w:t>
            </w:r>
          </w:p>
          <w:p>
            <w:pPr>
              <w:pStyle w:val="Normal"/>
              <w:keepNext w:val="true"/>
              <w:tabs>
                <w:tab w:val="clear" w:pos="708"/>
                <w:tab w:val="left" w:pos="720" w:leader="none"/>
              </w:tabs>
              <w:ind w:left="1021"/>
              <w:jc w:val="both"/>
              <w:rPr>
                <w:rFonts w:ascii="Times New Roman" w:hAnsi="Times New Roman" w:cs="Times New Roman"/>
              </w:rPr>
            </w:pPr>
            <w:r>
              <w:rPr>
                <w:rFonts w:cs="Times New Roman" w:ascii="Times New Roman" w:hAnsi="Times New Roman"/>
              </w:rPr>
              <w:t>м.п.</w:t>
            </w:r>
          </w:p>
        </w:tc>
      </w:tr>
    </w:tbl>
    <w:p>
      <w:pPr>
        <w:pStyle w:val="Normal"/>
        <w:jc w:val="both"/>
        <w:rPr>
          <w:rFonts w:ascii="Times New Roman" w:hAnsi="Times New Roman" w:cs="Times New Roman"/>
        </w:rPr>
      </w:pPr>
      <w:r>
        <w:rPr>
          <w:rFonts w:cs="Times New Roman" w:ascii="Times New Roman" w:hAnsi="Times New Roman"/>
        </w:rPr>
      </w:r>
    </w:p>
    <w:p>
      <w:pPr>
        <w:pStyle w:val="Normal"/>
        <w:tabs>
          <w:tab w:val="clear" w:pos="708"/>
          <w:tab w:val="left" w:pos="432" w:leader="none"/>
        </w:tabs>
        <w:ind w:firstLine="540"/>
        <w:jc w:val="center"/>
        <w:rPr>
          <w:rFonts w:ascii="Times New Roman" w:hAnsi="Times New Roman" w:cs="Times New Roman"/>
          <w:b/>
        </w:rPr>
      </w:pPr>
      <w:r>
        <w:rPr>
          <w:rFonts w:cs="Times New Roman" w:ascii="Times New Roman" w:hAnsi="Times New Roman"/>
          <w:b/>
        </w:rPr>
      </w:r>
    </w:p>
    <w:p>
      <w:pPr>
        <w:pStyle w:val="Normal"/>
        <w:tabs>
          <w:tab w:val="clear" w:pos="708"/>
          <w:tab w:val="left" w:pos="432" w:leader="none"/>
        </w:tabs>
        <w:jc w:val="center"/>
        <w:rPr>
          <w:rFonts w:ascii="Times New Roman" w:hAnsi="Times New Roman" w:cs="Times New Roman"/>
          <w:b/>
        </w:rPr>
      </w:pPr>
      <w:r>
        <w:rPr>
          <w:rFonts w:cs="Times New Roman" w:ascii="Times New Roman" w:hAnsi="Times New Roman"/>
          <w:b/>
        </w:rPr>
        <w:t xml:space="preserve">ФОРМА </w:t>
      </w:r>
    </w:p>
    <w:p>
      <w:pPr>
        <w:pStyle w:val="Normal"/>
        <w:ind w:firstLine="426" w:left="-426"/>
        <w:jc w:val="center"/>
        <w:rPr>
          <w:rFonts w:ascii="Times New Roman" w:hAnsi="Times New Roman" w:cs="Times New Roman"/>
          <w:b/>
        </w:rPr>
      </w:pPr>
      <w:r>
        <w:rPr>
          <w:rFonts w:cs="Times New Roman" w:ascii="Times New Roman" w:hAnsi="Times New Roman"/>
          <w:b/>
        </w:rPr>
      </w:r>
    </w:p>
    <w:p>
      <w:pPr>
        <w:pStyle w:val="Normal"/>
        <w:ind w:firstLine="426" w:left="-426"/>
        <w:jc w:val="center"/>
        <w:rPr>
          <w:rFonts w:ascii="Times New Roman" w:hAnsi="Times New Roman" w:cs="Times New Roman"/>
          <w:b/>
        </w:rPr>
      </w:pPr>
      <w:r>
        <w:rPr>
          <w:rFonts w:cs="Times New Roman" w:ascii="Times New Roman" w:hAnsi="Times New Roman"/>
          <w:b/>
        </w:rPr>
        <w:t>Акт сдачи-приемки Товара</w:t>
      </w:r>
    </w:p>
    <w:p>
      <w:pPr>
        <w:pStyle w:val="Normal"/>
        <w:ind w:firstLine="426" w:left="-426"/>
        <w:jc w:val="center"/>
        <w:rPr>
          <w:rFonts w:ascii="Times New Roman" w:hAnsi="Times New Roman" w:cs="Times New Roman"/>
          <w:b/>
        </w:rPr>
      </w:pPr>
      <w:r>
        <w:rPr>
          <w:rFonts w:cs="Times New Roman" w:ascii="Times New Roman" w:hAnsi="Times New Roman"/>
          <w:b/>
        </w:rPr>
      </w:r>
    </w:p>
    <w:p>
      <w:pPr>
        <w:pStyle w:val="Normal"/>
        <w:ind w:right="19"/>
        <w:jc w:val="both"/>
        <w:rPr>
          <w:rFonts w:ascii="Times New Roman" w:hAnsi="Times New Roman" w:cs="Times New Roman"/>
        </w:rPr>
      </w:pPr>
      <w:r>
        <w:rPr>
          <w:rFonts w:cs="Times New Roman" w:ascii="Times New Roman" w:hAnsi="Times New Roman"/>
        </w:rPr>
        <w:t xml:space="preserve">г. Москва </w:t>
        <w:tab/>
        <w:tab/>
        <w:tab/>
        <w:tab/>
        <w:tab/>
        <w:tab/>
        <w:tab/>
        <w:t>«___» _________ 2026</w:t>
      </w:r>
    </w:p>
    <w:p>
      <w:pPr>
        <w:pStyle w:val="BodyTextIndent"/>
        <w:ind w:firstLine="426" w:left="-426"/>
        <w:rPr>
          <w:sz w:val="24"/>
          <w:szCs w:val="24"/>
        </w:rPr>
      </w:pPr>
      <w:r>
        <w:rPr>
          <w:sz w:val="24"/>
          <w:szCs w:val="24"/>
        </w:rPr>
      </w:r>
    </w:p>
    <w:p>
      <w:pPr>
        <w:pStyle w:val="Normal"/>
        <w:tabs>
          <w:tab w:val="clear" w:pos="708"/>
          <w:tab w:val="left" w:pos="432" w:leader="none"/>
        </w:tabs>
        <w:ind w:firstLine="567"/>
        <w:jc w:val="both"/>
        <w:rPr>
          <w:rFonts w:ascii="Times New Roman" w:hAnsi="Times New Roman" w:cs="Times New Roman"/>
        </w:rPr>
      </w:pPr>
      <w:r>
        <w:rPr>
          <w:rFonts w:cs="Times New Roman" w:ascii="Times New Roman" w:hAnsi="Times New Roman"/>
        </w:rPr>
        <w:t>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 в лице _______________________, действующего на основании _______________________, с одной стороны, и _____________, именуемое в дальнейшем «Поставщик», в лице _____________, действующего на основании _____________, с другой стороны, вместе именуемые «Стороны», составили настоящий Акт о нижеследующем:</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 В соответствии с Государственным контрактом от «____» __________ 2026 г. № _____ (далее – Контракт) Поставщик поставил товар, а Государственный заказчик принял: </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tbl>
      <w:tblPr>
        <w:tblW w:w="9750" w:type="dxa"/>
        <w:jc w:val="left"/>
        <w:tblInd w:w="-348" w:type="dxa"/>
        <w:tblLayout w:type="fixed"/>
        <w:tblCellMar>
          <w:top w:w="0" w:type="dxa"/>
          <w:left w:w="108" w:type="dxa"/>
          <w:bottom w:w="0" w:type="dxa"/>
          <w:right w:w="108" w:type="dxa"/>
        </w:tblCellMar>
        <w:tblLook w:val="01e0"/>
      </w:tblPr>
      <w:tblGrid>
        <w:gridCol w:w="747"/>
        <w:gridCol w:w="1997"/>
        <w:gridCol w:w="1531"/>
        <w:gridCol w:w="1560"/>
        <w:gridCol w:w="1709"/>
        <w:gridCol w:w="2205"/>
      </w:tblGrid>
      <w:tr>
        <w:trPr>
          <w:trHeight w:val="814"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п/п</w:t>
            </w:r>
          </w:p>
        </w:tc>
        <w:tc>
          <w:tcPr>
            <w:tcW w:w="19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Наименование товара</w:t>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Количество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Ед.измерения</w:t>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Цена за ед., в руб.</w:t>
            </w:r>
          </w:p>
        </w:tc>
        <w:tc>
          <w:tcPr>
            <w:tcW w:w="22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Итого стоимость, в руб.</w:t>
            </w:r>
          </w:p>
        </w:tc>
      </w:tr>
      <w:tr>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1.</w:t>
            </w:r>
          </w:p>
        </w:tc>
        <w:tc>
          <w:tcPr>
            <w:tcW w:w="19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22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2.</w:t>
            </w:r>
          </w:p>
        </w:tc>
        <w:tc>
          <w:tcPr>
            <w:tcW w:w="19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22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w:t>
            </w:r>
          </w:p>
        </w:tc>
        <w:tc>
          <w:tcPr>
            <w:tcW w:w="19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22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bl>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2. Фактическое качество поставленного товара, его количество, соответствуют (не соответствуют) требованиям Контракта:</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_________________________________________ </w:t>
      </w:r>
      <w:r>
        <w:rPr>
          <w:rFonts w:cs="Times New Roman" w:ascii="Times New Roman" w:hAnsi="Times New Roman"/>
          <w:i/>
          <w:iCs/>
        </w:rPr>
        <w:t>(в случае выбора «не соответствует», необходимо указать пункты контракта и/или приложений к контракту, которые не исполнены, исполнены частично, исполнены не надлежащим образом и т.п.)</w:t>
      </w:r>
      <w:r>
        <w:rPr>
          <w:rFonts w:cs="Times New Roman" w:ascii="Times New Roman" w:hAnsi="Times New Roman"/>
        </w:rPr>
        <w:t>.</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3. Недостатки поставленного товара выявлены/не выявлены:</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__________________________________________ </w:t>
      </w:r>
      <w:r>
        <w:rPr>
          <w:rFonts w:cs="Times New Roman" w:ascii="Times New Roman" w:hAnsi="Times New Roman"/>
          <w:i/>
          <w:iCs/>
        </w:rPr>
        <w:t>(в случае выбора «выявлены», необходимо указать пункты контракта и/или приложений к контракту, которые не исполнены, исполнены частично, исполнены не надлежащим образом и т.п.)</w:t>
      </w:r>
      <w:r>
        <w:rPr>
          <w:rFonts w:cs="Times New Roman" w:ascii="Times New Roman" w:hAnsi="Times New Roman"/>
        </w:rPr>
        <w:t>.</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4. Сумма, подлежащая оплате Поставщику в соответствии с условиями Контракта: _______________________________________________________________________________.</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5. В соответствии с пунктом ____ Контракта сумма штрафных санкций составляет ___________________ </w:t>
      </w:r>
      <w:r>
        <w:rPr>
          <w:rFonts w:cs="Times New Roman" w:ascii="Times New Roman" w:hAnsi="Times New Roman"/>
          <w:i/>
          <w:iCs/>
        </w:rPr>
        <w:t>(указывается порядок расчета штрафных санкций)</w:t>
      </w:r>
      <w:r>
        <w:rPr>
          <w:rFonts w:cs="Times New Roman" w:ascii="Times New Roman" w:hAnsi="Times New Roman"/>
        </w:rPr>
        <w:t>.</w:t>
      </w:r>
    </w:p>
    <w:p>
      <w:pPr>
        <w:pStyle w:val="Normal"/>
        <w:tabs>
          <w:tab w:val="clear" w:pos="708"/>
          <w:tab w:val="left" w:pos="432" w:leader="none"/>
        </w:tabs>
        <w:jc w:val="both"/>
        <w:rPr>
          <w:rFonts w:ascii="Times New Roman" w:hAnsi="Times New Roman" w:cs="Times New Roman"/>
          <w:i/>
          <w:i/>
          <w:iCs/>
        </w:rPr>
      </w:pPr>
      <w:r>
        <w:rPr>
          <w:rFonts w:cs="Times New Roman" w:ascii="Times New Roman" w:hAnsi="Times New Roman"/>
        </w:rPr>
        <w:t xml:space="preserve">Общая стоимость штрафных санкций составит: ________________________ </w:t>
      </w:r>
      <w:r>
        <w:rPr>
          <w:rFonts w:cs="Times New Roman" w:ascii="Times New Roman" w:hAnsi="Times New Roman"/>
          <w:i/>
          <w:iCs/>
        </w:rPr>
        <w:t>(в случае не начисления штрафных санкций, необходимо указать «0 рублей 00 копеек»).</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6. Итоговая сумма, подлежащая оплате Поставщику, составляет ____________________________________________________</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32" w:leader="none"/>
        </w:tabs>
        <w:jc w:val="both"/>
        <w:rPr>
          <w:rFonts w:ascii="Times New Roman" w:hAnsi="Times New Roman" w:cs="Times New Roman"/>
          <w:i/>
          <w:i/>
          <w:iCs/>
        </w:rPr>
      </w:pPr>
      <w:r>
        <w:rPr>
          <w:rFonts w:cs="Times New Roman" w:ascii="Times New Roman" w:hAnsi="Times New Roman"/>
        </w:rPr>
        <w:t xml:space="preserve">7. Результаты исполнения по Контракту: ______________________________________ </w:t>
      </w:r>
      <w:r>
        <w:rPr>
          <w:rFonts w:cs="Times New Roman" w:ascii="Times New Roman" w:hAnsi="Times New Roman"/>
          <w:i/>
          <w:iCs/>
        </w:rPr>
        <w:t>(необходимо указать, что именно рлставлено по контракту, с каким качеством, с указанием на наличие или отсутствие недостатков).</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ind w:firstLine="540"/>
        <w:jc w:val="both"/>
        <w:rPr>
          <w:rFonts w:ascii="Times New Roman" w:hAnsi="Times New Roman" w:cs="Times New Roman"/>
        </w:rPr>
      </w:pPr>
      <w:r>
        <w:rPr>
          <w:rFonts w:cs="Times New Roman" w:ascii="Times New Roman" w:hAnsi="Times New Roman"/>
        </w:rPr>
      </w:r>
    </w:p>
    <w:tbl>
      <w:tblPr>
        <w:tblW w:w="10138" w:type="dxa"/>
        <w:jc w:val="left"/>
        <w:tblInd w:w="108" w:type="dxa"/>
        <w:tblLayout w:type="fixed"/>
        <w:tblCellMar>
          <w:top w:w="0" w:type="dxa"/>
          <w:left w:w="108" w:type="dxa"/>
          <w:bottom w:w="0" w:type="dxa"/>
          <w:right w:w="108" w:type="dxa"/>
        </w:tblCellMar>
        <w:tblLook w:val="04a0"/>
      </w:tblPr>
      <w:tblGrid>
        <w:gridCol w:w="5210"/>
        <w:gridCol w:w="4927"/>
      </w:tblGrid>
      <w:tr>
        <w:trPr/>
        <w:tc>
          <w:tcPr>
            <w:tcW w:w="5210" w:type="dxa"/>
            <w:tcBorders/>
            <w:shd w:color="auto" w:fill="auto" w:val="clear"/>
          </w:tcPr>
          <w:p>
            <w:pPr>
              <w:pStyle w:val="Normal"/>
              <w:spacing w:before="150" w:after="150"/>
              <w:ind w:right="150"/>
              <w:jc w:val="both"/>
              <w:rPr>
                <w:rFonts w:ascii="Times New Roman" w:hAnsi="Times New Roman" w:cs="Times New Roman"/>
              </w:rPr>
            </w:pPr>
            <w:r>
              <w:rPr>
                <w:rFonts w:cs="Times New Roman" w:ascii="Times New Roman" w:hAnsi="Times New Roman"/>
              </w:rPr>
              <w:t>от Государственного заказчика</w:t>
            </w:r>
          </w:p>
          <w:p>
            <w:pPr>
              <w:pStyle w:val="Normal"/>
              <w:spacing w:before="150" w:after="150"/>
              <w:ind w:right="150"/>
              <w:jc w:val="both"/>
              <w:rPr>
                <w:rFonts w:ascii="Times New Roman" w:hAnsi="Times New Roman" w:cs="Times New Roman"/>
              </w:rPr>
            </w:pPr>
            <w:r>
              <w:rPr>
                <w:rFonts w:cs="Times New Roman" w:ascii="Times New Roman" w:hAnsi="Times New Roman"/>
              </w:rPr>
              <w:t>________________/ ________ /</w:t>
            </w:r>
          </w:p>
          <w:p>
            <w:pPr>
              <w:pStyle w:val="Normal"/>
              <w:spacing w:before="150" w:after="150"/>
              <w:ind w:right="150"/>
              <w:jc w:val="both"/>
              <w:rPr>
                <w:rFonts w:ascii="Times New Roman" w:hAnsi="Times New Roman" w:cs="Times New Roman"/>
              </w:rPr>
            </w:pPr>
            <w:r>
              <w:rPr>
                <w:rFonts w:cs="Times New Roman" w:ascii="Times New Roman" w:hAnsi="Times New Roman"/>
              </w:rPr>
              <w:t>м.п.</w:t>
            </w:r>
          </w:p>
        </w:tc>
        <w:tc>
          <w:tcPr>
            <w:tcW w:w="4927" w:type="dxa"/>
            <w:tcBorders/>
            <w:shd w:color="auto" w:fill="auto" w:val="clear"/>
          </w:tcPr>
          <w:p>
            <w:pPr>
              <w:pStyle w:val="Normal"/>
              <w:spacing w:before="150" w:after="150"/>
              <w:ind w:right="150"/>
              <w:jc w:val="both"/>
              <w:rPr>
                <w:rFonts w:ascii="Times New Roman" w:hAnsi="Times New Roman" w:cs="Times New Roman"/>
              </w:rPr>
            </w:pPr>
            <w:r>
              <w:rPr>
                <w:rFonts w:cs="Times New Roman" w:ascii="Times New Roman" w:hAnsi="Times New Roman"/>
              </w:rPr>
              <w:t>от Поставщика</w:t>
            </w:r>
          </w:p>
          <w:p>
            <w:pPr>
              <w:pStyle w:val="Normal"/>
              <w:spacing w:before="150" w:after="150"/>
              <w:ind w:right="150"/>
              <w:jc w:val="both"/>
              <w:rPr>
                <w:rFonts w:ascii="Times New Roman" w:hAnsi="Times New Roman" w:cs="Times New Roman"/>
              </w:rPr>
            </w:pPr>
            <w:r>
              <w:rPr>
                <w:rFonts w:cs="Times New Roman" w:ascii="Times New Roman" w:hAnsi="Times New Roman"/>
              </w:rPr>
              <w:t>________________/ ________ /</w:t>
            </w:r>
          </w:p>
          <w:p>
            <w:pPr>
              <w:pStyle w:val="Normal"/>
              <w:keepNext w:val="true"/>
              <w:tabs>
                <w:tab w:val="clear" w:pos="708"/>
                <w:tab w:val="left" w:pos="720" w:leader="none"/>
              </w:tabs>
              <w:ind w:firstLine="39"/>
              <w:jc w:val="both"/>
              <w:rPr>
                <w:rFonts w:ascii="Times New Roman" w:hAnsi="Times New Roman" w:cs="Times New Roman"/>
              </w:rPr>
            </w:pPr>
            <w:r>
              <w:rPr>
                <w:rFonts w:cs="Times New Roman" w:ascii="Times New Roman" w:hAnsi="Times New Roman"/>
              </w:rPr>
              <w:t>м.п.</w:t>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Cs/>
          <w:i/>
          <w:i/>
          <w:iCs/>
        </w:rPr>
      </w:pPr>
      <w:r>
        <w:rPr>
          <w:rFonts w:cs="Times New Roman" w:ascii="Times New Roman" w:hAnsi="Times New Roman"/>
          <w:bCs/>
          <w:i/>
          <w:iCs/>
        </w:rPr>
        <w:t>* При заполнении настоящей формы, Поставщик не указывает, что данная форма, является приложением к контракту, не указывает должностей и лиц, утверждающих настоящую форму, а также слово «форма».</w:t>
      </w:r>
    </w:p>
    <w:p>
      <w:pPr>
        <w:pStyle w:val="Normal"/>
        <w:tabs>
          <w:tab w:val="clear" w:pos="708"/>
          <w:tab w:val="left" w:pos="432" w:leader="none"/>
        </w:tabs>
        <w:jc w:val="center"/>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Ответственное лицо</w:t>
      </w:r>
    </w:p>
    <w:p>
      <w:pPr>
        <w:pStyle w:val="Normal"/>
        <w:jc w:val="both"/>
        <w:rPr>
          <w:rFonts w:ascii="Times New Roman" w:hAnsi="Times New Roman" w:cs="Times New Roman"/>
        </w:rPr>
      </w:pPr>
      <w:r>
        <w:rPr>
          <w:rFonts w:cs="Times New Roman" w:ascii="Times New Roman" w:hAnsi="Times New Roman"/>
        </w:rPr>
        <w:t>по Контракту</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 /Зайкин В.В./</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Ответственное лицо от планово-финансового</w:t>
      </w:r>
    </w:p>
    <w:p>
      <w:pPr>
        <w:pStyle w:val="Normal"/>
        <w:jc w:val="both"/>
        <w:rPr>
          <w:rFonts w:ascii="Times New Roman" w:hAnsi="Times New Roman" w:cs="Times New Roman"/>
        </w:rPr>
      </w:pPr>
      <w:r>
        <w:rPr>
          <w:rFonts w:cs="Times New Roman" w:ascii="Times New Roman" w:hAnsi="Times New Roman"/>
        </w:rPr>
        <w:t>отдела</w:t>
      </w:r>
    </w:p>
    <w:p>
      <w:pPr>
        <w:pStyle w:val="13"/>
        <w:shd w:val="clear" w:color="auto" w:fill="auto"/>
        <w:spacing w:before="0" w:after="220"/>
        <w:ind w:hanging="0"/>
        <w:rPr/>
      </w:pPr>
      <w:r>
        <w:rPr/>
      </w:r>
    </w:p>
    <w:p>
      <w:pPr>
        <w:pStyle w:val="13"/>
        <w:shd w:val="clear" w:color="auto" w:fill="auto"/>
        <w:spacing w:before="0" w:after="220"/>
        <w:ind w:hanging="0"/>
        <w:rPr/>
      </w:pPr>
      <w:r>
        <w:rPr/>
        <w:t>___________ / ____________ /</w:t>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Normal"/>
        <w:shd w:val="clear" w:color="auto" w:fill="FFFFFF"/>
        <w:tabs>
          <w:tab w:val="clear" w:pos="708"/>
          <w:tab w:val="left" w:pos="3480" w:leader="none"/>
          <w:tab w:val="center" w:pos="4667" w:leader="none"/>
        </w:tabs>
        <w:spacing w:before="0" w:after="0"/>
        <w:ind w:right="21"/>
        <w:rPr>
          <w:rFonts w:ascii="Times New Roman" w:hAnsi="Times New Roman" w:cs="Times New Roman"/>
          <w:spacing w:val="-2"/>
        </w:rPr>
      </w:pPr>
      <w:r>
        <w:rPr>
          <w:rFonts w:cs="Times New Roman" w:ascii="Times New Roman" w:hAnsi="Times New Roman"/>
        </w:rPr>
        <w:tab/>
        <w:tab/>
        <w:tab/>
        <w:tab/>
        <w:t>Приложение № 3</w:t>
      </w:r>
    </w:p>
    <w:p>
      <w:pPr>
        <w:pStyle w:val="15"/>
        <w:ind w:firstLine="708" w:left="4956"/>
        <w:jc w:val="both"/>
        <w:rPr>
          <w:rFonts w:ascii="Times New Roman" w:hAnsi="Times New Roman"/>
          <w:sz w:val="24"/>
          <w:szCs w:val="24"/>
        </w:rPr>
      </w:pPr>
      <w:r>
        <w:rPr>
          <w:rFonts w:ascii="Times New Roman" w:hAnsi="Times New Roman"/>
          <w:sz w:val="24"/>
          <w:szCs w:val="24"/>
        </w:rPr>
        <w:t xml:space="preserve">к Государственному Контракту </w:t>
      </w:r>
    </w:p>
    <w:p>
      <w:pPr>
        <w:pStyle w:val="15"/>
        <w:ind w:firstLine="708" w:left="4956"/>
        <w:jc w:val="both"/>
        <w:rPr>
          <w:rFonts w:ascii="Times New Roman" w:hAnsi="Times New Roman"/>
          <w:sz w:val="24"/>
          <w:szCs w:val="24"/>
        </w:rPr>
      </w:pPr>
      <w:r>
        <w:rPr>
          <w:rFonts w:ascii="Times New Roman" w:hAnsi="Times New Roman"/>
          <w:sz w:val="24"/>
          <w:szCs w:val="24"/>
        </w:rPr>
        <w:t>от «___» _________ 2026 г.</w:t>
      </w:r>
    </w:p>
    <w:p>
      <w:pPr>
        <w:pStyle w:val="15"/>
        <w:ind w:left="566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w:t>
      </w:r>
    </w:p>
    <w:p>
      <w:pPr>
        <w:pStyle w:val="15"/>
        <w:ind w:left="7230"/>
        <w:jc w:val="both"/>
        <w:rPr>
          <w:rFonts w:ascii="Times New Roman" w:hAnsi="Times New Roman"/>
          <w:sz w:val="24"/>
          <w:szCs w:val="24"/>
        </w:rPr>
      </w:pPr>
      <w:r>
        <w:rPr>
          <w:rFonts w:ascii="Times New Roman" w:hAnsi="Times New Roman"/>
          <w:sz w:val="24"/>
          <w:szCs w:val="24"/>
        </w:rPr>
      </w:r>
    </w:p>
    <w:p>
      <w:pPr>
        <w:pStyle w:val="15"/>
        <w:ind w:left="7230"/>
        <w:jc w:val="both"/>
        <w:rPr>
          <w:rFonts w:ascii="Times New Roman" w:hAnsi="Times New Roman"/>
          <w:sz w:val="24"/>
          <w:szCs w:val="24"/>
        </w:rPr>
      </w:pPr>
      <w:r>
        <w:rPr>
          <w:rFonts w:ascii="Times New Roman" w:hAnsi="Times New Roman"/>
          <w:sz w:val="24"/>
          <w:szCs w:val="24"/>
        </w:rPr>
      </w:r>
    </w:p>
    <w:p>
      <w:pPr>
        <w:pStyle w:val="NoSpacing"/>
        <w:ind w:firstLine="709"/>
        <w:jc w:val="center"/>
        <w:rPr>
          <w:rFonts w:ascii="Times New Roman" w:hAnsi="Times New Roman"/>
          <w:b/>
        </w:rPr>
      </w:pPr>
      <w:r>
        <w:rPr>
          <w:rFonts w:ascii="Times New Roman" w:hAnsi="Times New Roman"/>
          <w:b/>
        </w:rPr>
        <w:t>Техническое задание</w:t>
      </w:r>
    </w:p>
    <w:p>
      <w:pPr>
        <w:pStyle w:val="NoSpacing"/>
        <w:ind w:firstLine="709"/>
        <w:jc w:val="center"/>
        <w:rPr>
          <w:rFonts w:ascii="Times New Roman" w:hAnsi="Times New Roman"/>
          <w:b/>
          <w:bCs/>
        </w:rPr>
      </w:pPr>
      <w:r>
        <w:rPr>
          <w:rFonts w:ascii="Times New Roman" w:hAnsi="Times New Roman"/>
          <w:b/>
          <w:bCs/>
        </w:rPr>
        <w:t>на поставку автомобильных шин для нужд ФКУ "ГБ МСЭ по Московской области" Минтруда России</w:t>
      </w:r>
    </w:p>
    <w:p>
      <w:pPr>
        <w:pStyle w:val="Normal"/>
        <w:ind w:firstLine="709"/>
        <w:jc w:val="center"/>
        <w:rPr>
          <w:rFonts w:ascii="Times New Roman" w:hAnsi="Times New Roman"/>
        </w:rPr>
      </w:pPr>
      <w:r>
        <w:rPr>
          <w:rFonts w:ascii="Times New Roman" w:hAnsi="Times New Roman"/>
        </w:rPr>
      </w:r>
    </w:p>
    <w:p>
      <w:pPr>
        <w:pStyle w:val="15"/>
        <w:ind w:firstLine="709"/>
        <w:jc w:val="both"/>
        <w:rPr>
          <w:rFonts w:ascii="Times New Roman" w:hAnsi="Times New Roman"/>
          <w:bCs/>
          <w:sz w:val="24"/>
          <w:szCs w:val="24"/>
        </w:rPr>
      </w:pPr>
      <w:r>
        <w:rPr>
          <w:rFonts w:ascii="Times New Roman" w:hAnsi="Times New Roman"/>
          <w:bCs/>
          <w:sz w:val="24"/>
          <w:szCs w:val="24"/>
        </w:rPr>
        <w:t>1. Наименование поставляемого Товара: автомобильная шина для нужд ФКУ «ГБ МСЭ по Московской области» Минтруда России (далее – Товар)</w:t>
      </w:r>
    </w:p>
    <w:p>
      <w:pPr>
        <w:pStyle w:val="15"/>
        <w:ind w:firstLine="709"/>
        <w:jc w:val="both"/>
        <w:rPr>
          <w:rFonts w:ascii="Times New Roman" w:hAnsi="Times New Roman"/>
          <w:bCs/>
          <w:sz w:val="24"/>
          <w:szCs w:val="24"/>
        </w:rPr>
      </w:pPr>
      <w:r>
        <w:rPr>
          <w:rFonts w:ascii="Times New Roman" w:hAnsi="Times New Roman"/>
          <w:bCs/>
          <w:sz w:val="24"/>
          <w:szCs w:val="24"/>
        </w:rPr>
        <w:t>2. Ассортимент и количество поставляемого Товара: Ассортимент Товара, состав и технические характеристики должны соответствовать Приложению № 1 к Государственному контракту.</w:t>
      </w:r>
    </w:p>
    <w:p>
      <w:pPr>
        <w:pStyle w:val="15"/>
        <w:ind w:firstLine="709"/>
        <w:jc w:val="both"/>
        <w:rPr>
          <w:rFonts w:ascii="Times New Roman" w:hAnsi="Times New Roman"/>
          <w:bCs/>
          <w:sz w:val="24"/>
          <w:szCs w:val="24"/>
        </w:rPr>
      </w:pPr>
      <w:r>
        <w:rPr>
          <w:rFonts w:ascii="Times New Roman" w:hAnsi="Times New Roman"/>
          <w:bCs/>
          <w:sz w:val="24"/>
          <w:szCs w:val="24"/>
        </w:rPr>
        <w:t>3. Место поставки Товара: г. Москва, ул. Коккинаки д.6.</w:t>
      </w:r>
    </w:p>
    <w:p>
      <w:pPr>
        <w:pStyle w:val="15"/>
        <w:ind w:firstLine="709"/>
        <w:jc w:val="both"/>
        <w:rPr>
          <w:rFonts w:ascii="Times New Roman" w:hAnsi="Times New Roman"/>
          <w:bCs/>
          <w:sz w:val="24"/>
          <w:szCs w:val="24"/>
        </w:rPr>
      </w:pPr>
      <w:r>
        <w:rPr>
          <w:rFonts w:ascii="Times New Roman" w:hAnsi="Times New Roman"/>
          <w:bCs/>
          <w:sz w:val="24"/>
          <w:szCs w:val="24"/>
        </w:rPr>
        <w:t>4. Условия поставки Товара:</w:t>
      </w:r>
    </w:p>
    <w:p>
      <w:pPr>
        <w:pStyle w:val="15"/>
        <w:ind w:firstLine="709"/>
        <w:jc w:val="both"/>
        <w:rPr>
          <w:rFonts w:ascii="Times New Roman" w:hAnsi="Times New Roman"/>
          <w:bCs/>
          <w:sz w:val="24"/>
          <w:szCs w:val="24"/>
        </w:rPr>
      </w:pPr>
      <w:r>
        <w:rPr>
          <w:rFonts w:ascii="Times New Roman" w:hAnsi="Times New Roman"/>
          <w:bCs/>
          <w:sz w:val="24"/>
          <w:szCs w:val="24"/>
        </w:rPr>
        <w:t>Поставка Товара и оказание сопутствующих услуг, расходы на реализацию гарантийных обязательств осуществляются за счет Поставщика.</w:t>
      </w:r>
    </w:p>
    <w:p>
      <w:pPr>
        <w:pStyle w:val="15"/>
        <w:ind w:firstLine="709"/>
        <w:jc w:val="both"/>
        <w:rPr>
          <w:rFonts w:ascii="Times New Roman" w:hAnsi="Times New Roman"/>
          <w:bCs/>
          <w:sz w:val="24"/>
          <w:szCs w:val="24"/>
        </w:rPr>
      </w:pPr>
      <w:r>
        <w:rPr>
          <w:rFonts w:ascii="Times New Roman" w:hAnsi="Times New Roman"/>
          <w:bCs/>
          <w:sz w:val="24"/>
          <w:szCs w:val="24"/>
        </w:rPr>
        <w:t>В ходе выполнения Государственного контракта Поставщик оказывает сопутствующие поставке услуги, т.е.:</w:t>
      </w:r>
    </w:p>
    <w:p>
      <w:pPr>
        <w:pStyle w:val="15"/>
        <w:ind w:firstLine="709"/>
        <w:jc w:val="both"/>
        <w:rPr>
          <w:bCs/>
        </w:rPr>
      </w:pPr>
      <w:r>
        <w:rPr>
          <w:rFonts w:ascii="Times New Roman" w:hAnsi="Times New Roman"/>
          <w:bCs/>
          <w:sz w:val="24"/>
          <w:szCs w:val="24"/>
        </w:rPr>
        <w:t>- доставку и разгрузку поставленного Товара на этаж в рабочее помещение Государственного заказчика;</w:t>
      </w:r>
    </w:p>
    <w:p>
      <w:pPr>
        <w:pStyle w:val="15"/>
        <w:ind w:firstLine="709"/>
        <w:jc w:val="both"/>
        <w:rPr>
          <w:rFonts w:ascii="Times New Roman" w:hAnsi="Times New Roman"/>
          <w:bCs/>
          <w:sz w:val="24"/>
          <w:szCs w:val="24"/>
        </w:rPr>
      </w:pPr>
      <w:r>
        <w:rPr>
          <w:rFonts w:ascii="Times New Roman" w:hAnsi="Times New Roman"/>
          <w:bCs/>
          <w:sz w:val="24"/>
          <w:szCs w:val="24"/>
        </w:rPr>
        <w:t>5. Порядок сдачи и приемки Товара:</w:t>
      </w:r>
    </w:p>
    <w:p>
      <w:pPr>
        <w:pStyle w:val="15"/>
        <w:ind w:firstLine="709"/>
        <w:jc w:val="both"/>
        <w:rPr>
          <w:rFonts w:ascii="Times New Roman" w:hAnsi="Times New Roman"/>
          <w:bCs/>
          <w:sz w:val="24"/>
          <w:szCs w:val="24"/>
        </w:rPr>
      </w:pPr>
      <w:r>
        <w:rPr>
          <w:rFonts w:ascii="Times New Roman" w:hAnsi="Times New Roman"/>
          <w:bCs/>
          <w:sz w:val="24"/>
          <w:szCs w:val="24"/>
        </w:rPr>
        <w:t>Поставщик уведомляет Государственного заказчика о точном времени и дате поставки Товара: по телефону 8 (495) 708-15-89, по электронной почте orehov_vv@msemo.ru, либо иным способом.</w:t>
      </w:r>
    </w:p>
    <w:p>
      <w:pPr>
        <w:pStyle w:val="15"/>
        <w:ind w:firstLine="709"/>
        <w:jc w:val="both"/>
        <w:rPr>
          <w:rFonts w:ascii="Times New Roman" w:hAnsi="Times New Roman"/>
          <w:bCs/>
          <w:sz w:val="24"/>
          <w:szCs w:val="24"/>
        </w:rPr>
      </w:pPr>
      <w:r>
        <w:rPr>
          <w:rFonts w:ascii="Times New Roman" w:hAnsi="Times New Roman"/>
          <w:bCs/>
          <w:sz w:val="24"/>
          <w:szCs w:val="24"/>
        </w:rPr>
        <w:t>Въезд машин на территорию Государственного заказчика (при необходимости) осуществляется по заранее оформленному пропуску,с понедельника по пятницу,с 9 до 13 часов и с 14 до 17 часов (за исключением выходных и общепринятых праздничных дней).</w:t>
      </w:r>
    </w:p>
    <w:p>
      <w:pPr>
        <w:pStyle w:val="15"/>
        <w:ind w:firstLine="709"/>
        <w:jc w:val="both"/>
        <w:rPr>
          <w:rFonts w:ascii="Times New Roman" w:hAnsi="Times New Roman"/>
          <w:bCs/>
          <w:sz w:val="24"/>
          <w:szCs w:val="24"/>
        </w:rPr>
      </w:pPr>
      <w:r>
        <w:rPr>
          <w:rFonts w:ascii="Times New Roman" w:hAnsi="Times New Roman"/>
          <w:bCs/>
          <w:sz w:val="24"/>
          <w:szCs w:val="24"/>
        </w:rPr>
        <w:t xml:space="preserve">При приемке Товара Государственный заказчик проводит проверку Товара на предмет его соответствия по ассортименту, количеству, комплектности и товарному виду. В случае если Товар не соответствует требованиям Государственного заказчика, то новый Товар должен быть предоставлен на следующий рабочий день с даты получения уведомления Государственного заказчика. </w:t>
      </w:r>
    </w:p>
    <w:p>
      <w:pPr>
        <w:pStyle w:val="15"/>
        <w:ind w:firstLine="709"/>
        <w:jc w:val="both"/>
        <w:rPr>
          <w:rFonts w:ascii="Times New Roman" w:hAnsi="Times New Roman"/>
          <w:bCs/>
          <w:sz w:val="24"/>
          <w:szCs w:val="24"/>
        </w:rPr>
      </w:pPr>
      <w:r>
        <w:rPr>
          <w:rFonts w:ascii="Times New Roman" w:hAnsi="Times New Roman"/>
          <w:bCs/>
          <w:sz w:val="24"/>
          <w:szCs w:val="24"/>
        </w:rPr>
        <w:t>Приемка Товара производится Сторонами по месту поставки Товара в соответствии с настоящим Техническим заданием.</w:t>
      </w:r>
    </w:p>
    <w:p>
      <w:pPr>
        <w:pStyle w:val="15"/>
        <w:ind w:firstLine="709"/>
        <w:jc w:val="both"/>
        <w:rPr>
          <w:highlight w:val="none"/>
          <w:shd w:fill="FFFFFF" w:val="clear"/>
        </w:rPr>
      </w:pPr>
      <w:r>
        <w:rPr>
          <w:rFonts w:ascii="Times New Roman" w:hAnsi="Times New Roman"/>
          <w:b w:val="false"/>
          <w:bCs/>
          <w:i w:val="false"/>
          <w:iCs w:val="false"/>
          <w:sz w:val="24"/>
          <w:szCs w:val="24"/>
          <w:shd w:fill="FFFFFF" w:val="clear"/>
        </w:rPr>
        <w:t>6</w:t>
      </w:r>
      <w:r>
        <w:rPr>
          <w:rFonts w:ascii="Times New Roman" w:hAnsi="Times New Roman"/>
          <w:b w:val="false"/>
          <w:bCs w:val="false"/>
          <w:i w:val="false"/>
          <w:iCs w:val="false"/>
          <w:sz w:val="24"/>
          <w:szCs w:val="24"/>
          <w:shd w:fill="FFFFFF" w:val="clear"/>
        </w:rPr>
        <w:t>. Датой поставки Товара считается:</w:t>
      </w:r>
    </w:p>
    <w:p>
      <w:pPr>
        <w:pStyle w:val="15"/>
        <w:ind w:firstLine="709"/>
        <w:jc w:val="both"/>
        <w:rPr>
          <w:highlight w:val="none"/>
          <w:shd w:fill="FFFFFF" w:val="clear"/>
        </w:rPr>
      </w:pPr>
      <w:r>
        <w:rPr>
          <w:rFonts w:ascii="Times New Roman" w:hAnsi="Times New Roman"/>
          <w:b w:val="false"/>
          <w:bCs w:val="false"/>
          <w:i w:val="false"/>
          <w:iCs w:val="false"/>
          <w:sz w:val="24"/>
          <w:szCs w:val="24"/>
          <w:shd w:fill="FFFFFF" w:val="clear"/>
        </w:rPr>
        <w:t>- в случае предоставления документов на бумажном носителе, дата подписания Сторонами товарной накладной;</w:t>
      </w:r>
    </w:p>
    <w:p>
      <w:pPr>
        <w:pStyle w:val="15"/>
        <w:ind w:firstLine="709"/>
        <w:jc w:val="both"/>
        <w:rPr>
          <w:rFonts w:ascii="Liberation Serif" w:hAnsi="Liberation Serif"/>
          <w:b w:val="false"/>
          <w:bCs w:val="false"/>
          <w:i w:val="false"/>
          <w:i w:val="false"/>
          <w:iCs w:val="false"/>
          <w:sz w:val="24"/>
          <w:szCs w:val="24"/>
          <w:highlight w:val="none"/>
          <w:shd w:fill="FFFFFF" w:val="clear"/>
        </w:rPr>
      </w:pPr>
      <w:r>
        <w:rPr>
          <w:rFonts w:ascii="Liberation Serif" w:hAnsi="Liberation Serif"/>
          <w:b w:val="false"/>
          <w:bCs w:val="false"/>
          <w:i w:val="false"/>
          <w:iCs w:val="false"/>
          <w:sz w:val="24"/>
          <w:szCs w:val="24"/>
          <w:shd w:fill="FFFFFF" w:val="clear"/>
        </w:rPr>
        <w:t>-  в случае обмена через операторов электронного документооборота электронными документами, дата подписания Сторонами</w:t>
      </w:r>
      <w:r>
        <w:rPr>
          <w:rFonts w:ascii="Times New Roman" w:hAnsi="Times New Roman"/>
          <w:b w:val="false"/>
          <w:bCs w:val="false"/>
          <w:i w:val="false"/>
          <w:iCs w:val="false"/>
          <w:sz w:val="24"/>
          <w:szCs w:val="24"/>
          <w:shd w:fill="FFFFFF" w:val="clear"/>
        </w:rPr>
        <w:t xml:space="preserve"> УПД по форме 5.03, утвержденную  </w:t>
      </w:r>
      <w:bookmarkStart w:id="33" w:name="ctl00_ctl03_ctl01_td_title_Копия_1"/>
      <w:bookmarkEnd w:id="33"/>
      <w:r>
        <w:rPr>
          <w:rFonts w:eastAsia="Times New Roman" w:cs="Times New Roman" w:ascii="Times New Roman" w:hAnsi="Times New Roman"/>
          <w:b w:val="false"/>
          <w:bCs w:val="false"/>
          <w:i w:val="false"/>
          <w:iCs w:val="false"/>
          <w:sz w:val="24"/>
          <w:szCs w:val="24"/>
          <w:shd w:fill="FFFFFF" w:val="clear"/>
        </w:rPr>
        <w:t>Приказом ФНС России от 19.12.2023 № ЕД-7-26/970@.</w:t>
      </w:r>
      <w:r>
        <w:rPr>
          <w:rFonts w:ascii="Liberation Serif" w:hAnsi="Liberation Serif"/>
          <w:b w:val="false"/>
          <w:bCs w:val="false"/>
          <w:i w:val="false"/>
          <w:iCs w:val="false"/>
          <w:sz w:val="24"/>
          <w:szCs w:val="24"/>
          <w:shd w:fill="FFFFFF" w:val="clear"/>
        </w:rPr>
        <w:t xml:space="preserve"> </w:t>
      </w:r>
    </w:p>
    <w:p>
      <w:pPr>
        <w:pStyle w:val="15"/>
        <w:ind w:firstLine="709"/>
        <w:jc w:val="both"/>
        <w:rPr>
          <w:rFonts w:ascii="Times New Roman" w:hAnsi="Times New Roman"/>
          <w:bCs/>
          <w:sz w:val="24"/>
          <w:szCs w:val="24"/>
        </w:rPr>
      </w:pPr>
      <w:r>
        <w:rPr>
          <w:rFonts w:ascii="Times New Roman" w:hAnsi="Times New Roman"/>
          <w:bCs/>
          <w:sz w:val="24"/>
          <w:szCs w:val="24"/>
        </w:rPr>
        <w:t>7. Требования к качеству поставляемого Товара:</w:t>
      </w:r>
    </w:p>
    <w:p>
      <w:pPr>
        <w:pStyle w:val="15"/>
        <w:ind w:firstLine="709"/>
        <w:jc w:val="both"/>
        <w:rPr>
          <w:rFonts w:ascii="Times New Roman" w:hAnsi="Times New Roman"/>
          <w:bCs/>
          <w:sz w:val="24"/>
          <w:szCs w:val="24"/>
        </w:rPr>
      </w:pPr>
      <w:r>
        <w:rPr>
          <w:rFonts w:ascii="Times New Roman" w:hAnsi="Times New Roman"/>
          <w:bCs/>
          <w:sz w:val="24"/>
          <w:szCs w:val="24"/>
        </w:rPr>
        <w:t>Товар должен соответствовать государственным стандартам качества, безопасности и техническим характеристикам, указанным в настоящем техническом задании, год изготовления Товара должен быть не ранее 2025 г.</w:t>
      </w:r>
    </w:p>
    <w:p>
      <w:pPr>
        <w:pStyle w:val="15"/>
        <w:ind w:firstLine="709"/>
        <w:jc w:val="both"/>
        <w:rPr>
          <w:rFonts w:ascii="Times New Roman" w:hAnsi="Times New Roman"/>
          <w:bCs/>
          <w:sz w:val="24"/>
          <w:szCs w:val="24"/>
        </w:rPr>
      </w:pPr>
      <w:r>
        <w:rPr>
          <w:rFonts w:ascii="Times New Roman" w:hAnsi="Times New Roman"/>
          <w:bCs/>
          <w:sz w:val="24"/>
          <w:szCs w:val="24"/>
        </w:rPr>
        <w:t>Поставщик предоставляет Государственному заказчику вместе с Товаром, сертификат соответствия, оформленный в соответствии с законодательством Российской Федерации и другую имеющуюся документацию на Товар.</w:t>
      </w:r>
    </w:p>
    <w:p>
      <w:pPr>
        <w:pStyle w:val="15"/>
        <w:ind w:firstLine="709"/>
        <w:jc w:val="both"/>
        <w:rPr>
          <w:rFonts w:ascii="Times New Roman" w:hAnsi="Times New Roman"/>
          <w:bCs/>
          <w:sz w:val="24"/>
          <w:szCs w:val="24"/>
        </w:rPr>
      </w:pPr>
      <w:r>
        <w:rPr>
          <w:rFonts w:ascii="Times New Roman" w:hAnsi="Times New Roman"/>
          <w:bCs/>
          <w:sz w:val="24"/>
          <w:szCs w:val="24"/>
        </w:rPr>
        <w:t>Вся указанная документация на Товар предоставляется на русском языке. Поставка Товара без документации и сертификатов считается ненадлежащей и такой Товар не подлежит оплате до момента передачи на него необходимой документации.</w:t>
      </w:r>
    </w:p>
    <w:p>
      <w:pPr>
        <w:pStyle w:val="15"/>
        <w:ind w:firstLine="709"/>
        <w:jc w:val="both"/>
        <w:rPr>
          <w:rFonts w:ascii="Times New Roman" w:hAnsi="Times New Roman"/>
          <w:bCs/>
          <w:sz w:val="24"/>
          <w:szCs w:val="24"/>
        </w:rPr>
      </w:pPr>
      <w:r>
        <w:rPr>
          <w:rFonts w:ascii="Times New Roman" w:hAnsi="Times New Roman"/>
          <w:bCs/>
          <w:sz w:val="24"/>
          <w:szCs w:val="24"/>
        </w:rPr>
        <w:t>Весь Товар должен быть поставлен с учетом требований, указанных в Приложении № 1 к Государственному контракту.</w:t>
      </w:r>
    </w:p>
    <w:p>
      <w:pPr>
        <w:pStyle w:val="15"/>
        <w:ind w:firstLine="709"/>
        <w:jc w:val="both"/>
        <w:rPr>
          <w:rFonts w:ascii="Times New Roman" w:hAnsi="Times New Roman"/>
          <w:bCs/>
          <w:sz w:val="24"/>
          <w:szCs w:val="24"/>
        </w:rPr>
      </w:pPr>
      <w:r>
        <w:rPr>
          <w:rFonts w:ascii="Times New Roman" w:hAnsi="Times New Roman"/>
          <w:bCs/>
          <w:sz w:val="24"/>
          <w:szCs w:val="24"/>
        </w:rPr>
        <w:t>8. При обнаружении в пределах гарантийного срока в поставленном Товаре дефектов Поставщик обязан заменить такую продукцию в течение 10 (десяти) дней с даты обнаружения дефектов. Расходы по возврату Товара, замене производятся за счет средств Поставщика.</w:t>
      </w:r>
    </w:p>
    <w:p>
      <w:pPr>
        <w:pStyle w:val="15"/>
        <w:ind w:firstLine="709"/>
        <w:jc w:val="both"/>
        <w:rPr>
          <w:rFonts w:ascii="Times New Roman" w:hAnsi="Times New Roman"/>
          <w:b/>
          <w:sz w:val="24"/>
          <w:szCs w:val="24"/>
        </w:rPr>
      </w:pPr>
      <w:r>
        <w:rPr>
          <w:rFonts w:ascii="Times New Roman" w:hAnsi="Times New Roman"/>
          <w:b/>
          <w:sz w:val="24"/>
          <w:szCs w:val="24"/>
        </w:rPr>
      </w:r>
    </w:p>
    <w:p>
      <w:pPr>
        <w:pStyle w:val="15"/>
        <w:ind w:firstLine="709"/>
        <w:jc w:val="both"/>
        <w:rPr>
          <w:rFonts w:ascii="Times New Roman" w:hAnsi="Times New Roman"/>
          <w:sz w:val="24"/>
          <w:szCs w:val="24"/>
        </w:rPr>
      </w:pPr>
      <w:r>
        <w:rPr>
          <w:rFonts w:ascii="Times New Roman" w:hAnsi="Times New Roman"/>
          <w:sz w:val="24"/>
          <w:szCs w:val="24"/>
        </w:rPr>
      </w:r>
    </w:p>
    <w:p>
      <w:pPr>
        <w:pStyle w:val="15"/>
        <w:ind w:firstLine="709"/>
        <w:jc w:val="both"/>
        <w:rPr>
          <w:rFonts w:ascii="Times New Roman" w:hAnsi="Times New Roman"/>
          <w:sz w:val="24"/>
          <w:szCs w:val="24"/>
        </w:rPr>
      </w:pPr>
      <w:r>
        <w:rPr>
          <w:rFonts w:ascii="Times New Roman" w:hAnsi="Times New Roman"/>
          <w:sz w:val="24"/>
          <w:szCs w:val="24"/>
        </w:rPr>
      </w:r>
    </w:p>
    <w:p>
      <w:pPr>
        <w:pStyle w:val="15"/>
        <w:ind w:firstLine="709"/>
        <w:jc w:val="both"/>
        <w:rPr>
          <w:rFonts w:ascii="Times New Roman" w:hAnsi="Times New Roman"/>
          <w:sz w:val="24"/>
          <w:szCs w:val="24"/>
        </w:rPr>
      </w:pPr>
      <w:r>
        <w:rPr>
          <w:rFonts w:ascii="Times New Roman" w:hAnsi="Times New Roman"/>
          <w:sz w:val="24"/>
          <w:szCs w:val="24"/>
        </w:rPr>
      </w:r>
    </w:p>
    <w:tbl>
      <w:tblPr>
        <w:tblpPr w:vertAnchor="text" w:horzAnchor="margin" w:leftFromText="180" w:rightFromText="180" w:tblpX="0" w:tblpY="140"/>
        <w:tblW w:w="9571" w:type="dxa"/>
        <w:jc w:val="left"/>
        <w:tblInd w:w="108" w:type="dxa"/>
        <w:tblLayout w:type="fixed"/>
        <w:tblCellMar>
          <w:top w:w="0" w:type="dxa"/>
          <w:left w:w="108" w:type="dxa"/>
          <w:bottom w:w="0" w:type="dxa"/>
          <w:right w:w="108" w:type="dxa"/>
        </w:tblCellMar>
        <w:tblLook w:val="04a0"/>
      </w:tblPr>
      <w:tblGrid>
        <w:gridCol w:w="4516"/>
        <w:gridCol w:w="5054"/>
      </w:tblGrid>
      <w:tr>
        <w:trPr>
          <w:trHeight w:val="1205" w:hRule="atLeast"/>
        </w:trPr>
        <w:tc>
          <w:tcPr>
            <w:tcW w:w="4516" w:type="dxa"/>
            <w:tcBorders/>
          </w:tcPr>
          <w:p>
            <w:pPr>
              <w:pStyle w:val="Normal"/>
              <w:jc w:val="both"/>
              <w:rPr>
                <w:rFonts w:ascii="Times New Roman" w:hAnsi="Times New Roman"/>
              </w:rPr>
            </w:pPr>
            <w:r>
              <w:rPr>
                <w:rFonts w:ascii="Times New Roman" w:hAnsi="Times New Roman"/>
              </w:rPr>
              <w:t>от Государственного заказчика</w:t>
            </w:r>
          </w:p>
          <w:p>
            <w:pPr>
              <w:pStyle w:val="Normal"/>
              <w:ind w:firstLine="709"/>
              <w:jc w:val="both"/>
              <w:rPr>
                <w:rFonts w:ascii="Times New Roman" w:hAnsi="Times New Roman"/>
              </w:rPr>
            </w:pPr>
            <w:r>
              <w:rPr>
                <w:rFonts w:ascii="Times New Roman" w:hAnsi="Times New Roman"/>
              </w:rPr>
            </w:r>
          </w:p>
          <w:p>
            <w:pPr>
              <w:pStyle w:val="Normal"/>
              <w:jc w:val="both"/>
              <w:rPr>
                <w:rFonts w:ascii="Times New Roman" w:hAnsi="Times New Roman" w:eastAsia="Calibri"/>
              </w:rPr>
            </w:pPr>
            <w:r>
              <w:rPr>
                <w:rFonts w:eastAsia="Calibri" w:ascii="Times New Roman" w:hAnsi="Times New Roman"/>
              </w:rPr>
              <w:t>__________________/______________/</w:t>
            </w:r>
          </w:p>
          <w:p>
            <w:pPr>
              <w:pStyle w:val="Normal"/>
              <w:shd w:val="clear" w:color="auto" w:fill="FFFFFF"/>
              <w:ind w:firstLine="709"/>
              <w:jc w:val="both"/>
              <w:rPr>
                <w:rFonts w:ascii="Times New Roman" w:hAnsi="Times New Roman"/>
              </w:rPr>
            </w:pPr>
            <w:r>
              <w:rPr>
                <w:rFonts w:ascii="Times New Roman" w:hAnsi="Times New Roman"/>
              </w:rPr>
              <w:t xml:space="preserve"> </w:t>
            </w:r>
            <w:r>
              <w:rPr>
                <w:rFonts w:ascii="Times New Roman" w:hAnsi="Times New Roman"/>
              </w:rPr>
              <w:t>М.П.</w:t>
            </w:r>
          </w:p>
        </w:tc>
        <w:tc>
          <w:tcPr>
            <w:tcW w:w="5054" w:type="dxa"/>
            <w:tcBorders/>
          </w:tcPr>
          <w:p>
            <w:pPr>
              <w:pStyle w:val="Normal"/>
              <w:ind w:firstLine="709"/>
              <w:jc w:val="both"/>
              <w:rPr>
                <w:rFonts w:ascii="Times New Roman" w:hAnsi="Times New Roman"/>
              </w:rPr>
            </w:pPr>
            <w:r>
              <w:rPr>
                <w:rFonts w:ascii="Times New Roman" w:hAnsi="Times New Roman"/>
              </w:rPr>
              <w:t>от Поставщика</w:t>
            </w:r>
          </w:p>
          <w:p>
            <w:pPr>
              <w:pStyle w:val="Normal"/>
              <w:ind w:firstLine="709"/>
              <w:jc w:val="both"/>
              <w:rPr>
                <w:rFonts w:ascii="Times New Roman" w:hAnsi="Times New Roman"/>
              </w:rPr>
            </w:pPr>
            <w:r>
              <w:rPr>
                <w:rFonts w:ascii="Times New Roman" w:hAnsi="Times New Roman"/>
              </w:rPr>
            </w:r>
          </w:p>
          <w:p>
            <w:pPr>
              <w:pStyle w:val="Normal"/>
              <w:ind w:firstLine="709"/>
              <w:jc w:val="both"/>
              <w:rPr>
                <w:rFonts w:ascii="Times New Roman" w:hAnsi="Times New Roman" w:eastAsia="Calibri"/>
              </w:rPr>
            </w:pPr>
            <w:r>
              <w:rPr>
                <w:rFonts w:eastAsia="Calibri" w:ascii="Times New Roman" w:hAnsi="Times New Roman"/>
              </w:rPr>
              <w:t>__________________/______________/</w:t>
            </w:r>
          </w:p>
          <w:p>
            <w:pPr>
              <w:pStyle w:val="Normal"/>
              <w:ind w:firstLine="709"/>
              <w:jc w:val="both"/>
              <w:rPr>
                <w:rFonts w:ascii="Times New Roman" w:hAnsi="Times New Roman"/>
              </w:rPr>
            </w:pPr>
            <w:r>
              <w:rPr>
                <w:rFonts w:ascii="Times New Roman" w:hAnsi="Times New Roman"/>
              </w:rPr>
              <w:t xml:space="preserve"> </w:t>
            </w:r>
            <w:r>
              <w:rPr>
                <w:rFonts w:ascii="Times New Roman" w:hAnsi="Times New Roman"/>
              </w:rPr>
              <w:t>М.П.</w:t>
            </w:r>
          </w:p>
        </w:tc>
      </w:tr>
    </w:tbl>
    <w:p>
      <w:pPr>
        <w:pStyle w:val="23"/>
        <w:ind w:firstLine="709"/>
        <w:jc w:val="both"/>
        <w:rPr>
          <w:rFonts w:ascii="Times New Roman" w:hAnsi="Times New Roman"/>
          <w:sz w:val="24"/>
          <w:szCs w:val="24"/>
        </w:rPr>
      </w:pPr>
      <w:r>
        <w:rPr>
          <w:rFonts w:ascii="Times New Roman" w:hAnsi="Times New Roman"/>
          <w:sz w:val="24"/>
          <w:szCs w:val="24"/>
        </w:rPr>
      </w:r>
    </w:p>
    <w:p>
      <w:pPr>
        <w:pStyle w:val="NoSpacing"/>
        <w:ind w:firstLine="709"/>
        <w:jc w:val="both"/>
        <w:rPr>
          <w:rFonts w:ascii="Times New Roman" w:hAnsi="Times New Roman" w:cs="Times New Roman"/>
        </w:rPr>
      </w:pPr>
      <w:r>
        <w:rPr>
          <w:rFonts w:cs="Times New Roman" w:ascii="Times New Roman" w:hAnsi="Times New Roman"/>
        </w:rPr>
      </w:r>
    </w:p>
    <w:sectPr>
      <w:footerReference w:type="even" r:id="rId8"/>
      <w:footerReference w:type="default" r:id="rId9"/>
      <w:footerReference w:type="first" r:id="rId10"/>
      <w:type w:val="nextPage"/>
      <w:pgSz w:w="11906" w:h="16838"/>
      <w:pgMar w:left="1701" w:right="850" w:gutter="0" w:header="0" w:top="1134" w:footer="3"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default"/>
  </w:font>
  <w:font w:name="Times New Roman">
    <w:charset w:val="01"/>
    <w:family w:val="roman"/>
    <w:pitch w:val="default"/>
  </w:font>
  <w:font w:name="Calibri Light">
    <w:charset w:val="01"/>
    <w:family w:val="roman"/>
    <w:pitch w:val="default"/>
  </w:font>
  <w:font w:name="Kudrashov">
    <w:charset w:val="01"/>
    <w:family w:val="swiss"/>
    <w:pitch w:val="default"/>
  </w:font>
  <w:font w:name="Segoe UI">
    <w:charset w:val="01"/>
    <w:family w:val="swiss"/>
    <w:pitch w:val="default"/>
  </w:font>
  <w:font w:name="PT Astra Serif">
    <w:charset w:val="01"/>
    <w:family w:val="roman"/>
    <w:pitch w:val="default"/>
  </w:font>
  <w:font w:name="Calibri">
    <w:charset w:val="01"/>
    <w:family w:val="swiss"/>
    <w:pitch w:val="default"/>
  </w:font>
  <w:font w:name="Arial">
    <w:charset w:val="01"/>
    <w:family w:val="swiss"/>
    <w:pitch w:val="default"/>
  </w:font>
  <w:font w:name="Liberation Serif">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14">
              <wp:simplePos x="0" y="0"/>
              <wp:positionH relativeFrom="page">
                <wp:posOffset>6723380</wp:posOffset>
              </wp:positionH>
              <wp:positionV relativeFrom="page">
                <wp:posOffset>10306050</wp:posOffset>
              </wp:positionV>
              <wp:extent cx="152400" cy="175260"/>
              <wp:effectExtent l="0" t="0" r="0" b="0"/>
              <wp:wrapNone/>
              <wp:docPr id="2" name="Врезка2"/>
              <a:graphic xmlns:a="http://schemas.openxmlformats.org/drawingml/2006/main">
                <a:graphicData uri="http://schemas.microsoft.com/office/word/2010/wordprocessingShape">
                  <wps:wsp>
                    <wps:cNvSpPr/>
                    <wps:spPr>
                      <a:xfrm>
                        <a:off x="0" y="0"/>
                        <a:ext cx="152280" cy="175320"/>
                      </a:xfrm>
                      <a:prstGeom prst="rect">
                        <a:avLst/>
                      </a:prstGeom>
                      <a:noFill/>
                      <a:ln w="0">
                        <a:noFill/>
                      </a:ln>
                    </wps:spPr>
                    <wps:style>
                      <a:lnRef idx="0"/>
                      <a:fillRef idx="0"/>
                      <a:effectRef idx="0"/>
                      <a:fontRef idx="minor"/>
                    </wps:style>
                    <wps:txb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txbxContent>
                    </wps:txbx>
                    <wps:bodyPr lIns="0" rIns="0" tIns="0" bIns="0" anchor="t">
                      <a:noAutofit/>
                    </wps:bodyPr>
                  </wps:wsp>
                </a:graphicData>
              </a:graphic>
            </wp:anchor>
          </w:drawing>
        </mc:Choice>
        <mc:Fallback>
          <w:pict>
            <v:rect id="shape_0" ID="Врезка2" path="m0,0l-2147483645,0l-2147483645,-2147483646l0,-2147483646xe" stroked="f" o:allowincell="f" style="position:absolute;margin-left:529.4pt;margin-top:811.5pt;width:11.95pt;height:13.75pt;mso-wrap-style:square;v-text-anchor:top;mso-position-horizontal-relative:page;mso-position-vertical-relative:page">
              <v:fill o:detectmouseclick="t" on="false"/>
              <v:stroke color="#3465a4" joinstyle="round" endcap="flat"/>
              <v:textbo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2">
              <wp:simplePos x="0" y="0"/>
              <wp:positionH relativeFrom="page">
                <wp:posOffset>6723380</wp:posOffset>
              </wp:positionH>
              <wp:positionV relativeFrom="page">
                <wp:posOffset>10306050</wp:posOffset>
              </wp:positionV>
              <wp:extent cx="152400" cy="175260"/>
              <wp:effectExtent l="0" t="0" r="0" b="0"/>
              <wp:wrapNone/>
              <wp:docPr id="3" name="Врезка3"/>
              <a:graphic xmlns:a="http://schemas.openxmlformats.org/drawingml/2006/main">
                <a:graphicData uri="http://schemas.microsoft.com/office/word/2010/wordprocessingShape">
                  <wps:wsp>
                    <wps:cNvSpPr/>
                    <wps:spPr>
                      <a:xfrm>
                        <a:off x="0" y="0"/>
                        <a:ext cx="152280" cy="175320"/>
                      </a:xfrm>
                      <a:prstGeom prst="rect">
                        <a:avLst/>
                      </a:prstGeom>
                      <a:noFill/>
                      <a:ln w="0">
                        <a:noFill/>
                      </a:ln>
                    </wps:spPr>
                    <wps:style>
                      <a:lnRef idx="0"/>
                      <a:fillRef idx="0"/>
                      <a:effectRef idx="0"/>
                      <a:fontRef idx="minor"/>
                    </wps:style>
                    <wps:txb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txbxContent>
                    </wps:txbx>
                    <wps:bodyPr lIns="0" rIns="0" tIns="0" bIns="0" anchor="t">
                      <a:noAutofit/>
                    </wps:bodyPr>
                  </wps:wsp>
                </a:graphicData>
              </a:graphic>
            </wp:anchor>
          </w:drawing>
        </mc:Choice>
        <mc:Fallback>
          <w:pict>
            <v:rect id="shape_0" ID="Врезка3" path="m0,0l-2147483645,0l-2147483645,-2147483646l0,-2147483646xe" stroked="f" o:allowincell="f" style="position:absolute;margin-left:529.4pt;margin-top:811.5pt;width:11.95pt;height:13.75pt;mso-wrap-style:square;v-text-anchor:top;mso-position-horizontal-relative:page;mso-position-vertical-relative:page">
              <v:fill o:detectmouseclick="t" on="false"/>
              <v:stroke color="#3465a4" joinstyle="round" endcap="flat"/>
              <v:textbo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20">
              <wp:simplePos x="0" y="0"/>
              <wp:positionH relativeFrom="page">
                <wp:posOffset>6723380</wp:posOffset>
              </wp:positionH>
              <wp:positionV relativeFrom="page">
                <wp:posOffset>10306050</wp:posOffset>
              </wp:positionV>
              <wp:extent cx="152400" cy="175260"/>
              <wp:effectExtent l="0" t="0" r="0" b="0"/>
              <wp:wrapNone/>
              <wp:docPr id="4" name="Врезка6"/>
              <a:graphic xmlns:a="http://schemas.openxmlformats.org/drawingml/2006/main">
                <a:graphicData uri="http://schemas.microsoft.com/office/word/2010/wordprocessingShape">
                  <wps:wsp>
                    <wps:cNvSpPr/>
                    <wps:spPr>
                      <a:xfrm>
                        <a:off x="0" y="0"/>
                        <a:ext cx="152280" cy="175320"/>
                      </a:xfrm>
                      <a:prstGeom prst="rect">
                        <a:avLst/>
                      </a:prstGeom>
                      <a:noFill/>
                      <a:ln w="0">
                        <a:noFill/>
                      </a:ln>
                    </wps:spPr>
                    <wps:style>
                      <a:lnRef idx="0"/>
                      <a:fillRef idx="0"/>
                      <a:effectRef idx="0"/>
                      <a:fontRef idx="minor"/>
                    </wps:style>
                    <wps:txb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txbxContent>
                    </wps:txbx>
                    <wps:bodyPr lIns="0" rIns="0" tIns="0" bIns="0" anchor="t">
                      <a:noAutofit/>
                    </wps:bodyPr>
                  </wps:wsp>
                </a:graphicData>
              </a:graphic>
            </wp:anchor>
          </w:drawing>
        </mc:Choice>
        <mc:Fallback>
          <w:pict>
            <v:rect id="shape_0" ID="Врезка6" path="m0,0l-2147483645,0l-2147483645,-2147483646l0,-2147483646xe" stroked="f" o:allowincell="f" style="position:absolute;margin-left:529.4pt;margin-top:811.5pt;width:11.95pt;height:13.75pt;mso-wrap-style:square;v-text-anchor:top;mso-position-horizontal-relative:page;mso-position-vertical-relative:page">
              <v:fill o:detectmouseclick="t" on="false"/>
              <v:stroke color="#3465a4" joinstyle="round" endcap="flat"/>
              <v:textbo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4"/>
        <w:spacing w:val="0"/>
        <w:i w:val="false"/>
        <w:u w:val="none"/>
        <w:b/>
        <w:shd w:fill="auto" w:val="clear"/>
        <w:szCs w:val="24"/>
        <w:iCs w:val="false"/>
        <w:bCs/>
        <w:w w:val="100"/>
        <w:rFonts w:ascii="Times New Roman" w:hAnsi="Times New Roman" w:eastAsia="Times New Roman" w:cs="Times New Roman"/>
        <w:color w:val="000000"/>
        <w:lang w:val="ru-RU" w:eastAsia="ru-RU" w:bidi="ru-RU"/>
      </w:rPr>
    </w:lvl>
    <w:lvl w:ilvl="1">
      <w:start w:val="1"/>
      <w:numFmt w:val="decimal"/>
      <w:lvlText w:val="%1.%2."/>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2">
      <w:start w:val="1"/>
      <w:numFmt w:val="decimal"/>
      <w:lvlText w:val="%1.%2.%3."/>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77b9"/>
    <w:pPr>
      <w:widowControl w:val="false"/>
      <w:suppressAutoHyphens w:val="true"/>
      <w:bidi w:val="0"/>
      <w:spacing w:before="0" w:after="0"/>
      <w:jc w:val="left"/>
    </w:pPr>
    <w:rPr>
      <w:rFonts w:ascii="Courier New" w:hAnsi="Courier New" w:eastAsia="Courier New" w:cs="Courier New"/>
      <w:color w:val="000000"/>
      <w:kern w:val="0"/>
      <w:sz w:val="24"/>
      <w:szCs w:val="24"/>
      <w:lang w:val="ru-RU" w:eastAsia="ru-RU" w:bidi="ru-RU"/>
    </w:rPr>
  </w:style>
  <w:style w:type="paragraph" w:styleId="Heading1">
    <w:name w:val="heading 1"/>
    <w:basedOn w:val="Normal"/>
    <w:link w:val="11"/>
    <w:uiPriority w:val="9"/>
    <w:qFormat/>
    <w:rsid w:val="007b7114"/>
    <w:pPr>
      <w:widowControl/>
      <w:spacing w:beforeAutospacing="1" w:afterAutospacing="1"/>
      <w:outlineLvl w:val="0"/>
    </w:pPr>
    <w:rPr>
      <w:rFonts w:ascii="Times New Roman" w:hAnsi="Times New Roman" w:eastAsia="Times New Roman" w:cs="Times New Roman"/>
      <w:b/>
      <w:bCs/>
      <w:color w:val="auto"/>
      <w:kern w:val="2"/>
      <w:sz w:val="48"/>
      <w:szCs w:val="48"/>
      <w:lang w:bidi="ar-SA"/>
    </w:rPr>
  </w:style>
  <w:style w:type="paragraph" w:styleId="Heading2">
    <w:name w:val="heading 2"/>
    <w:basedOn w:val="Normal"/>
    <w:next w:val="Normal"/>
    <w:link w:val="21"/>
    <w:uiPriority w:val="9"/>
    <w:semiHidden/>
    <w:unhideWhenUsed/>
    <w:qFormat/>
    <w:rsid w:val="00eb0be8"/>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character" w:styleId="DefaultParagraphFont" w:default="1">
    <w:name w:val="Default Paragraph Font"/>
    <w:uiPriority w:val="1"/>
    <w:semiHidden/>
    <w:unhideWhenUsed/>
    <w:qFormat/>
    <w:rPr/>
  </w:style>
  <w:style w:type="character" w:styleId="Style12" w:customStyle="1">
    <w:name w:val="Сноска_"/>
    <w:basedOn w:val="DefaultParagraphFont"/>
    <w:qFormat/>
    <w:rsid w:val="001d487e"/>
    <w:rPr>
      <w:rFonts w:ascii="Times New Roman" w:hAnsi="Times New Roman" w:eastAsia="Times New Roman" w:cs="Times New Roman"/>
      <w:b w:val="false"/>
      <w:bCs w:val="false"/>
      <w:i/>
      <w:iCs/>
      <w:caps w:val="false"/>
      <w:smallCaps w:val="false"/>
      <w:strike w:val="false"/>
      <w:dstrike w:val="false"/>
      <w:u w:val="none"/>
    </w:rPr>
  </w:style>
  <w:style w:type="character" w:styleId="Style13" w:customStyle="1">
    <w:name w:val="Основной текст_"/>
    <w:basedOn w:val="DefaultParagraphFont"/>
    <w:link w:val="13"/>
    <w:qFormat/>
    <w:rsid w:val="001d487e"/>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 w:customStyle="1">
    <w:name w:val="Заголовок №1_"/>
    <w:basedOn w:val="DefaultParagraphFont"/>
    <w:link w:val="14"/>
    <w:qFormat/>
    <w:rsid w:val="001d487e"/>
    <w:rPr>
      <w:rFonts w:ascii="Times New Roman" w:hAnsi="Times New Roman" w:eastAsia="Times New Roman" w:cs="Times New Roman"/>
      <w:b/>
      <w:bCs/>
      <w:i w:val="false"/>
      <w:iCs w:val="false"/>
      <w:caps w:val="false"/>
      <w:smallCaps w:val="false"/>
      <w:strike w:val="false"/>
      <w:dstrike w:val="false"/>
      <w:u w:val="none"/>
    </w:rPr>
  </w:style>
  <w:style w:type="character" w:styleId="2" w:customStyle="1">
    <w:name w:val="Колонтитул (2)_"/>
    <w:basedOn w:val="DefaultParagraphFont"/>
    <w:link w:val="22"/>
    <w:qFormat/>
    <w:rsid w:val="001d487e"/>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Style14" w:customStyle="1">
    <w:name w:val="Другое_"/>
    <w:basedOn w:val="DefaultParagraphFont"/>
    <w:link w:val="Style22"/>
    <w:qFormat/>
    <w:rsid w:val="001d487e"/>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Style15" w:customStyle="1">
    <w:name w:val="Основной текст с отступом Знак"/>
    <w:basedOn w:val="DefaultParagraphFont"/>
    <w:qFormat/>
    <w:rsid w:val="00e62fa9"/>
    <w:rPr>
      <w:rFonts w:ascii="Times New Roman" w:hAnsi="Times New Roman" w:eastAsia="Times New Roman" w:cs="Times New Roman"/>
      <w:sz w:val="20"/>
      <w:szCs w:val="20"/>
      <w:lang w:eastAsia="en-US" w:bidi="ar-SA"/>
    </w:rPr>
  </w:style>
  <w:style w:type="character" w:styleId="Style16" w:customStyle="1">
    <w:name w:val="Основной текст Знак"/>
    <w:uiPriority w:val="1"/>
    <w:qFormat/>
    <w:rsid w:val="00e62fa9"/>
    <w:rPr>
      <w:rFonts w:ascii="Kudrashov" w:hAnsi="Kudrashov"/>
      <w:color w:val="000000"/>
      <w:sz w:val="24"/>
      <w:lang w:val="ru-RU" w:eastAsia="en-US" w:bidi="ar-SA"/>
    </w:rPr>
  </w:style>
  <w:style w:type="character" w:styleId="11" w:customStyle="1">
    <w:name w:val="Заголовок 1 Знак"/>
    <w:basedOn w:val="DefaultParagraphFont"/>
    <w:uiPriority w:val="9"/>
    <w:qFormat/>
    <w:rsid w:val="007b7114"/>
    <w:rPr>
      <w:rFonts w:ascii="Times New Roman" w:hAnsi="Times New Roman" w:eastAsia="Times New Roman" w:cs="Times New Roman"/>
      <w:b/>
      <w:bCs/>
      <w:kern w:val="2"/>
      <w:sz w:val="48"/>
      <w:szCs w:val="48"/>
      <w:lang w:bidi="ar-SA"/>
    </w:rPr>
  </w:style>
  <w:style w:type="character" w:styleId="Style17" w:customStyle="1">
    <w:name w:val="Текст выноски Знак"/>
    <w:basedOn w:val="DefaultParagraphFont"/>
    <w:link w:val="BalloonText"/>
    <w:uiPriority w:val="99"/>
    <w:semiHidden/>
    <w:qFormat/>
    <w:rsid w:val="00253956"/>
    <w:rPr>
      <w:rFonts w:ascii="Segoe UI" w:hAnsi="Segoe UI" w:cs="Segoe UI"/>
      <w:color w:val="000000"/>
      <w:sz w:val="18"/>
      <w:szCs w:val="18"/>
    </w:rPr>
  </w:style>
  <w:style w:type="character" w:styleId="21" w:customStyle="1">
    <w:name w:val="Заголовок 2 Знак"/>
    <w:basedOn w:val="DefaultParagraphFont"/>
    <w:uiPriority w:val="9"/>
    <w:semiHidden/>
    <w:qFormat/>
    <w:rsid w:val="00eb0be8"/>
    <w:rPr>
      <w:rFonts w:ascii="Calibri Light" w:hAnsi="Calibri Light" w:eastAsia="" w:cs="" w:asciiTheme="majorHAnsi" w:cstheme="majorBidi" w:eastAsiaTheme="majorEastAsia" w:hAnsiTheme="majorHAnsi"/>
      <w:color w:themeColor="accent1" w:themeShade="bf" w:val="2E74B5"/>
      <w:sz w:val="26"/>
      <w:szCs w:val="26"/>
    </w:rPr>
  </w:style>
  <w:style w:type="character" w:styleId="Style18" w:customStyle="1">
    <w:name w:val="Без интервала Знак"/>
    <w:link w:val="NoSpacing"/>
    <w:uiPriority w:val="1"/>
    <w:qFormat/>
    <w:rsid w:val="009122f2"/>
    <w:rPr>
      <w:color w:val="000000"/>
    </w:rPr>
  </w:style>
  <w:style w:type="character" w:styleId="12" w:customStyle="1">
    <w:name w:val="Основной текст Знак1"/>
    <w:basedOn w:val="DefaultParagraphFont"/>
    <w:uiPriority w:val="99"/>
    <w:qFormat/>
    <w:rsid w:val="005a4760"/>
    <w:rPr>
      <w:color w:val="000000"/>
    </w:rPr>
  </w:style>
  <w:style w:type="character" w:styleId="Hyperlink">
    <w:name w:val="Hyperlink"/>
    <w:basedOn w:val="DefaultParagraphFont"/>
    <w:uiPriority w:val="99"/>
    <w:semiHidden/>
    <w:unhideWhenUsed/>
    <w:rsid w:val="00e57d46"/>
    <w:rPr>
      <w:color w:val="0000FF"/>
      <w:u w:val="single"/>
    </w:rPr>
  </w:style>
  <w:style w:type="character" w:styleId="FollowedHyperlink">
    <w:name w:val="FollowedHyperlink"/>
    <w:basedOn w:val="DefaultParagraphFont"/>
    <w:uiPriority w:val="99"/>
    <w:semiHidden/>
    <w:unhideWhenUsed/>
    <w:rsid w:val="00e57d46"/>
    <w:rPr>
      <w:color w:val="800080"/>
      <w:u w:val="single"/>
    </w:rPr>
  </w:style>
  <w:style w:type="character" w:styleId="t12nw7s2pdp" w:customStyle="1">
    <w:name w:val="t12nw7s2_pdp"/>
    <w:basedOn w:val="DefaultParagraphFont"/>
    <w:qFormat/>
    <w:rsid w:val="00817e2a"/>
    <w:rPr/>
  </w:style>
  <w:style w:type="character" w:styleId="Style19">
    <w:name w:val="Символ сноски"/>
    <w:qFormat/>
    <w:rPr/>
  </w:style>
  <w:style w:type="character" w:styleId="Strong">
    <w:name w:val="Strong"/>
    <w:qFormat/>
    <w:rPr>
      <w:b/>
      <w:bCs/>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12"/>
    <w:uiPriority w:val="99"/>
    <w:unhideWhenUsed/>
    <w:rsid w:val="005a4760"/>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FootnoteText" w:customStyle="1">
    <w:name w:val="footnote text"/>
    <w:basedOn w:val="Normal"/>
    <w:link w:val="Style12"/>
    <w:qFormat/>
    <w:rsid w:val="001d487e"/>
    <w:pPr/>
    <w:rPr/>
  </w:style>
  <w:style w:type="paragraph" w:styleId="13" w:customStyle="1">
    <w:name w:val="Основной текст1"/>
    <w:basedOn w:val="Normal"/>
    <w:link w:val="Style13"/>
    <w:qFormat/>
    <w:rsid w:val="001d487e"/>
    <w:pPr>
      <w:shd w:val="clear" w:color="auto" w:fill="FFFFFF"/>
      <w:ind w:firstLine="400"/>
    </w:pPr>
    <w:rPr>
      <w:rFonts w:ascii="Times New Roman" w:hAnsi="Times New Roman" w:eastAsia="Times New Roman" w:cs="Times New Roman"/>
    </w:rPr>
  </w:style>
  <w:style w:type="paragraph" w:styleId="14" w:customStyle="1">
    <w:name w:val="Заголовок №1"/>
    <w:basedOn w:val="Normal"/>
    <w:link w:val="1"/>
    <w:qFormat/>
    <w:rsid w:val="001d487e"/>
    <w:pPr>
      <w:shd w:val="clear" w:color="auto" w:fill="FFFFFF"/>
      <w:spacing w:before="0" w:after="260"/>
      <w:jc w:val="center"/>
      <w:outlineLvl w:val="0"/>
    </w:pPr>
    <w:rPr>
      <w:rFonts w:ascii="Times New Roman" w:hAnsi="Times New Roman" w:eastAsia="Times New Roman" w:cs="Times New Roman"/>
      <w:b/>
      <w:bCs/>
    </w:rPr>
  </w:style>
  <w:style w:type="paragraph" w:styleId="22" w:customStyle="1">
    <w:name w:val="Колонтитул (2)"/>
    <w:basedOn w:val="Normal"/>
    <w:link w:val="2"/>
    <w:qFormat/>
    <w:rsid w:val="001d487e"/>
    <w:pPr>
      <w:shd w:val="clear" w:color="auto" w:fill="FFFFFF"/>
    </w:pPr>
    <w:rPr>
      <w:rFonts w:ascii="Times New Roman" w:hAnsi="Times New Roman" w:eastAsia="Times New Roman" w:cs="Times New Roman"/>
      <w:sz w:val="20"/>
      <w:szCs w:val="20"/>
    </w:rPr>
  </w:style>
  <w:style w:type="paragraph" w:styleId="Style22" w:customStyle="1">
    <w:name w:val="Другое"/>
    <w:basedOn w:val="Normal"/>
    <w:link w:val="Style14"/>
    <w:qFormat/>
    <w:rsid w:val="001d487e"/>
    <w:pPr>
      <w:shd w:val="clear" w:color="auto" w:fill="FFFFFF"/>
      <w:ind w:firstLine="400"/>
    </w:pPr>
    <w:rPr>
      <w:rFonts w:ascii="Times New Roman" w:hAnsi="Times New Roman" w:eastAsia="Times New Roman" w:cs="Times New Roman"/>
    </w:rPr>
  </w:style>
  <w:style w:type="paragraph" w:styleId="BodyTextIndent">
    <w:name w:val="Body Text Indent"/>
    <w:basedOn w:val="Normal"/>
    <w:link w:val="Style15"/>
    <w:rsid w:val="00e62fa9"/>
    <w:pPr>
      <w:widowControl/>
      <w:ind w:firstLine="567"/>
      <w:jc w:val="center"/>
    </w:pPr>
    <w:rPr>
      <w:rFonts w:ascii="Times New Roman" w:hAnsi="Times New Roman" w:eastAsia="Times New Roman" w:cs="Times New Roman"/>
      <w:color w:val="auto"/>
      <w:sz w:val="20"/>
      <w:szCs w:val="20"/>
      <w:lang w:eastAsia="en-US" w:bidi="ar-SA"/>
    </w:rPr>
  </w:style>
  <w:style w:type="paragraph" w:styleId="15" w:customStyle="1">
    <w:name w:val="Без интервала1"/>
    <w:qFormat/>
    <w:rsid w:val="00ba751a"/>
    <w:pPr>
      <w:widowControl/>
      <w:suppressAutoHyphens w:val="true"/>
      <w:bidi w:val="0"/>
      <w:spacing w:before="0" w:after="0"/>
      <w:contextualSpacing/>
      <w:jc w:val="left"/>
    </w:pPr>
    <w:rPr>
      <w:rFonts w:ascii="Calibri" w:hAnsi="Calibri" w:eastAsia="Times New Roman" w:cs="Times New Roman"/>
      <w:color w:val="auto"/>
      <w:kern w:val="0"/>
      <w:sz w:val="22"/>
      <w:szCs w:val="22"/>
      <w:lang w:val="ru-RU" w:eastAsia="ru-RU" w:bidi="ar-SA"/>
    </w:rPr>
  </w:style>
  <w:style w:type="paragraph" w:styleId="NoSpacing">
    <w:name w:val="No Spacing"/>
    <w:link w:val="Style18"/>
    <w:qFormat/>
    <w:rsid w:val="007b7114"/>
    <w:pPr>
      <w:widowControl w:val="false"/>
      <w:suppressAutoHyphens w:val="true"/>
      <w:bidi w:val="0"/>
      <w:spacing w:before="0" w:after="0"/>
      <w:jc w:val="left"/>
    </w:pPr>
    <w:rPr>
      <w:rFonts w:ascii="Courier New" w:hAnsi="Courier New" w:eastAsia="Courier New" w:cs="Courier New"/>
      <w:color w:val="000000"/>
      <w:kern w:val="0"/>
      <w:sz w:val="24"/>
      <w:szCs w:val="24"/>
      <w:lang w:val="ru-RU" w:eastAsia="ru-RU" w:bidi="ru-RU"/>
    </w:rPr>
  </w:style>
  <w:style w:type="paragraph" w:styleId="BalloonText">
    <w:name w:val="Balloon Text"/>
    <w:basedOn w:val="Normal"/>
    <w:link w:val="Style17"/>
    <w:uiPriority w:val="99"/>
    <w:semiHidden/>
    <w:unhideWhenUsed/>
    <w:qFormat/>
    <w:rsid w:val="00253956"/>
    <w:pPr/>
    <w:rPr>
      <w:rFonts w:ascii="Segoe UI" w:hAnsi="Segoe UI" w:cs="Segoe UI"/>
      <w:sz w:val="18"/>
      <w:szCs w:val="18"/>
    </w:rPr>
  </w:style>
  <w:style w:type="paragraph" w:styleId="16" w:customStyle="1">
    <w:name w:val="Знак Знак Знак Знак Знак Знак Знак1 Знак Знак"/>
    <w:basedOn w:val="Normal"/>
    <w:next w:val="Heading2"/>
    <w:autoRedefine/>
    <w:qFormat/>
    <w:rsid w:val="00eb0be8"/>
    <w:pPr>
      <w:widowControl/>
      <w:spacing w:lineRule="exact" w:line="240" w:before="0" w:after="160"/>
    </w:pPr>
    <w:rPr>
      <w:rFonts w:ascii="Times New Roman" w:hAnsi="Times New Roman" w:eastAsia="Times New Roman" w:cs="Times New Roman"/>
      <w:color w:val="auto"/>
      <w:szCs w:val="20"/>
      <w:lang w:val="en-US" w:eastAsia="en-US" w:bidi="ar-SA"/>
    </w:rPr>
  </w:style>
  <w:style w:type="paragraph" w:styleId="23" w:customStyle="1">
    <w:name w:val="Без интервала2"/>
    <w:qFormat/>
    <w:rsid w:val="009122f2"/>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msonormal" w:customStyle="1">
    <w:name w:val="msonormal"/>
    <w:basedOn w:val="Normal"/>
    <w:qFormat/>
    <w:rsid w:val="00e57d46"/>
    <w:pPr>
      <w:widowControl/>
      <w:spacing w:beforeAutospacing="1" w:afterAutospacing="1"/>
    </w:pPr>
    <w:rPr>
      <w:rFonts w:ascii="Times New Roman" w:hAnsi="Times New Roman" w:eastAsia="Times New Roman" w:cs="Times New Roman"/>
      <w:color w:val="auto"/>
      <w:lang w:bidi="ar-SA"/>
    </w:rPr>
  </w:style>
  <w:style w:type="paragraph" w:styleId="xl65" w:customStyle="1">
    <w:name w:val="xl65"/>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lang w:bidi="ar-SA"/>
    </w:rPr>
  </w:style>
  <w:style w:type="paragraph" w:styleId="xl66" w:customStyle="1">
    <w:name w:val="xl66"/>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color w:val="auto"/>
      <w:lang w:bidi="ar-SA"/>
    </w:rPr>
  </w:style>
  <w:style w:type="paragraph" w:styleId="xl67" w:customStyle="1">
    <w:name w:val="xl67"/>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eastAsia="Times New Roman" w:cs="Times New Roman"/>
      <w:color w:val="auto"/>
      <w:lang w:bidi="ar-SA"/>
    </w:rPr>
  </w:style>
  <w:style w:type="paragraph" w:styleId="xl68" w:customStyle="1">
    <w:name w:val="xl68"/>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color w:val="auto"/>
      <w:lang w:bidi="ar-SA"/>
    </w:rPr>
  </w:style>
  <w:style w:type="paragraph" w:styleId="xl69" w:customStyle="1">
    <w:name w:val="xl69"/>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eastAsia="Times New Roman" w:cs="Times New Roman"/>
      <w:color w:val="auto"/>
      <w:lang w:bidi="ar-SA"/>
    </w:rPr>
  </w:style>
  <w:style w:type="paragraph" w:styleId="xl70" w:customStyle="1">
    <w:name w:val="xl70"/>
    <w:basedOn w:val="Normal"/>
    <w:qFormat/>
    <w:rsid w:val="00e57d46"/>
    <w:pPr>
      <w:widowControl/>
      <w:pBdr>
        <w:top w:val="single" w:sz="4" w:space="0" w:color="000000"/>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1" w:customStyle="1">
    <w:name w:val="xl71"/>
    <w:basedOn w:val="Normal"/>
    <w:qFormat/>
    <w:rsid w:val="00e57d46"/>
    <w:pPr>
      <w:widowControl/>
      <w:pBdr>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2" w:customStyle="1">
    <w:name w:val="xl72"/>
    <w:basedOn w:val="Normal"/>
    <w:qFormat/>
    <w:rsid w:val="00e57d46"/>
    <w:pPr>
      <w:widowControl/>
      <w:pBdr>
        <w:left w:val="single" w:sz="4" w:space="0" w:color="000000"/>
        <w:bottom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3" w:customStyle="1">
    <w:name w:val="xl73"/>
    <w:basedOn w:val="Normal"/>
    <w:qFormat/>
    <w:rsid w:val="00e57d46"/>
    <w:pPr>
      <w:widowControl/>
      <w:pBdr>
        <w:top w:val="single" w:sz="4" w:space="0" w:color="000000"/>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4" w:customStyle="1">
    <w:name w:val="xl74"/>
    <w:basedOn w:val="Normal"/>
    <w:qFormat/>
    <w:rsid w:val="00e57d46"/>
    <w:pPr>
      <w:widowControl/>
      <w:pBdr>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5" w:customStyle="1">
    <w:name w:val="xl75"/>
    <w:basedOn w:val="Normal"/>
    <w:qFormat/>
    <w:rsid w:val="00e57d46"/>
    <w:pPr>
      <w:widowControl/>
      <w:pBdr>
        <w:left w:val="single" w:sz="4" w:space="0" w:color="000000"/>
        <w:bottom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Style23">
    <w:name w:val="Содержимое врезки"/>
    <w:basedOn w:val="Normal"/>
    <w:qFormat/>
    <w:pPr/>
    <w:rPr/>
  </w:style>
  <w:style w:type="paragraph" w:styleId="Style24">
    <w:name w:val="Колонтитулы"/>
    <w:basedOn w:val="Normal"/>
    <w:qFormat/>
    <w:pPr/>
    <w:rPr/>
  </w:style>
  <w:style w:type="paragraph" w:styleId="user2">
    <w:name w:val="Колонтитулы (user)"/>
    <w:basedOn w:val="Normal"/>
    <w:qFormat/>
    <w:pPr/>
    <w:rPr/>
  </w:style>
  <w:style w:type="paragraph" w:styleId="Footer">
    <w:name w:val="footer"/>
    <w:basedOn w:val="Style24"/>
    <w:pPr/>
    <w:rPr/>
  </w:style>
  <w:style w:type="paragraph" w:styleId="user3">
    <w:name w:val="Содержимое врезки (user)"/>
    <w:basedOn w:val="Normal"/>
    <w:qFormat/>
    <w:pPr/>
    <w:rPr/>
  </w:style>
  <w:style w:type="paragraph" w:styleId="ConsPlusNormal">
    <w:name w:val="ConsPlusNormal"/>
    <w:qFormat/>
    <w:pPr>
      <w:widowControl w:val="false"/>
      <w:suppressAutoHyphens w:val="true"/>
      <w:bidi w:val="0"/>
      <w:spacing w:lineRule="auto" w:line="235" w:before="0" w:after="0"/>
      <w:ind w:firstLine="720"/>
      <w:jc w:val="left"/>
    </w:pPr>
    <w:rPr>
      <w:rFonts w:ascii="Arial" w:hAnsi="Arial" w:eastAsia="Times New Roman" w:cs="Arial"/>
      <w:color w:val="auto"/>
      <w:kern w:val="0"/>
      <w:sz w:val="20"/>
      <w:szCs w:val="20"/>
      <w:lang w:val="ru-RU" w:eastAsia="ru-RU" w:bidi="ru-RU"/>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Style27"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8">
    <w:name w:val="Table Grid"/>
    <w:basedOn w:val="a1"/>
    <w:rsid w:val="009f6d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58B3-0C96-4990-8997-E6388909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2995</TotalTime>
  <Application>LibreOffice/25.2.6.2$Linux_X86_64 LibreOffice_project/520$Build-2</Application>
  <AppVersion>15.0000</AppVersion>
  <Pages>14</Pages>
  <Words>3654</Words>
  <Characters>25513</Characters>
  <CharactersWithSpaces>28915</CharactersWithSpaces>
  <Paragraphs>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2025-09-01T08:40:00Z</dcterms:created>
  <dc:creator>Багирова Тамилла Карамовна</dc:creator>
  <dc:description/>
  <dc:language>ru-RU</dc:language>
  <cp:lastModifiedBy/>
  <cp:lastPrinted>2026-05-07T15:25:49Z</cp:lastPrinted>
  <dcterms:modified xsi:type="dcterms:W3CDTF">2026-05-29T11:50:56Z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