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Прокаина и других препаратов</w:t>
      </w:r>
      <w:r>
        <w:rPr>
          <w:rFonts w:ascii="Times New Roman" w:hAnsi="Times New Roman" w:cs="Times New Roman"/>
          <w:i/>
          <w:iCs/>
          <w:sz w:val="24"/>
          <w:szCs w:val="24"/>
        </w:rPr>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r>
      <w:r>
        <w:rPr>
          <w:rFonts w:ascii="Times New Roman" w:hAnsi="Times New Roman" w:cs="Times New Roman"/>
          <w:i/>
          <w:iCs/>
          <w:sz w:val="24"/>
          <w:szCs w:val="24"/>
        </w:rPr>
      </w:r>
      <w:r>
        <w:rPr>
          <w:rFonts w:ascii="Times New Roman" w:hAnsi="Times New Roman" w:cs="Times New Roman"/>
          <w:i/>
          <w:iCs/>
          <w:sz w:val="24"/>
          <w:szCs w:val="24"/>
        </w:rPr>
        <w:t xml:space="preserve">Прокаина и других препаратов</w:t>
      </w:r>
      <w:r/>
      <w:r>
        <w:rPr>
          <w:rFonts w:ascii="Times New Roman" w:hAnsi="Times New Roman" w:cs="Times New Roman"/>
          <w:i/>
          <w:iCs/>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21.20.10.133</w:t>
      </w:r>
      <w:r/>
      <w:r>
        <w:rPr>
          <w:rFonts w:ascii="Times New Roman" w:hAnsi="Times New Roman" w:cs="Times New Roman"/>
          <w:sz w:val="24"/>
          <w:szCs w:val="24"/>
        </w:rPr>
        <w:t xml:space="preserve">, </w:t>
      </w:r>
      <w:r>
        <w:rPr>
          <w:rFonts w:ascii="Times New Roman" w:hAnsi="Times New Roman"/>
          <w:sz w:val="24"/>
          <w:szCs w:val="24"/>
        </w:rPr>
        <w:t xml:space="preserve">21.20.10.158</w:t>
      </w:r>
      <w:r/>
      <w:r>
        <w:rPr>
          <w:rFonts w:ascii="Times New Roman" w:hAnsi="Times New Roman" w:cs="Times New Roman"/>
          <w:sz w:val="24"/>
          <w:szCs w:val="24"/>
        </w:rPr>
        <w:t xml:space="preserve">, </w:t>
      </w:r>
      <w:r>
        <w:rPr>
          <w:rFonts w:ascii="Times New Roman" w:hAnsi="Times New Roman"/>
          <w:sz w:val="24"/>
          <w:szCs w:val="24"/>
        </w:rPr>
        <w:t xml:space="preserve">21.20.10.158</w:t>
      </w:r>
      <w:r/>
      <w:r>
        <w:rPr>
          <w:rFonts w:ascii="Times New Roman" w:hAnsi="Times New Roman" w:cs="Times New Roman"/>
          <w:sz w:val="24"/>
          <w:szCs w:val="24"/>
        </w:rPr>
        <w:t xml:space="preserve">, </w:t>
      </w:r>
      <w:r>
        <w:rPr>
          <w:rFonts w:ascii="Times New Roman" w:hAnsi="Times New Roman"/>
          <w:sz w:val="24"/>
          <w:szCs w:val="24"/>
        </w:rPr>
        <w:t xml:space="preserve">21.20.10.211</w:t>
      </w:r>
      <w:r/>
      <w:r>
        <w:rPr>
          <w:rFonts w:ascii="Times New Roman" w:hAnsi="Times New Roman" w:cs="Times New Roman"/>
          <w:sz w:val="24"/>
          <w:szCs w:val="24"/>
        </w:rPr>
        <w:t xml:space="preserve">,</w:t>
      </w:r>
      <w:r>
        <w:rPr>
          <w:rFonts w:ascii="Times New Roman" w:hAnsi="Times New Roman"/>
          <w:sz w:val="24"/>
          <w:szCs w:val="24"/>
        </w:rPr>
        <w:t xml:space="preserve"> 21.20.10.231</w:t>
      </w:r>
      <w:r>
        <w:rPr>
          <w:rFonts w:ascii="Times New Roman" w:hAnsi="Times New Roman" w:cs="Times New Roman"/>
          <w:sz w:val="24"/>
          <w:szCs w:val="24"/>
        </w:rPr>
        <w:t xml:space="preserve">, </w:t>
      </w:r>
      <w:r>
        <w:rPr>
          <w:rFonts w:ascii="Times New Roman" w:hAnsi="Times New Roman"/>
          <w:sz w:val="24"/>
          <w:szCs w:val="24"/>
        </w:rPr>
        <w:t xml:space="preserve">21.20.23.199</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 </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31.07.2026</w:t>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bCs/>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3</w:t>
            </w:r>
            <w:r>
              <w:rPr>
                <w:sz w:val="20"/>
                <w:szCs w:val="20"/>
              </w:rPr>
              <w:t xml:space="preserve"> (</w:t>
            </w:r>
            <w:r>
              <w:rPr>
                <w:sz w:val="20"/>
                <w:szCs w:val="20"/>
              </w:rPr>
              <w:t xml:space="preserve">трёх</w:t>
            </w:r>
            <w:r>
              <w:rPr>
                <w:sz w:val="20"/>
                <w:szCs w:val="20"/>
              </w:rPr>
              <w:t xml:space="preserve">)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17</cp:revision>
  <dcterms:created xsi:type="dcterms:W3CDTF">2025-03-03T12:40:00Z</dcterms:created>
  <dcterms:modified xsi:type="dcterms:W3CDTF">2026-06-03T12:48:29Z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