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C2" w:rsidRDefault="00CA6F21">
      <w:pPr>
        <w:spacing w:after="0" w:line="240" w:lineRule="auto"/>
        <w:jc w:val="center"/>
        <w:rPr>
          <w:rFonts w:ascii="Times New Roman" w:hAnsi="Times New Roman" w:cs="Times New Roman"/>
          <w:sz w:val="14"/>
          <w:szCs w:val="14"/>
        </w:rPr>
      </w:pPr>
      <w:r>
        <w:rPr>
          <w:rFonts w:ascii="Times New Roman" w:hAnsi="Times New Roman" w:cs="Times New Roman"/>
          <w:b/>
          <w:sz w:val="14"/>
          <w:szCs w:val="14"/>
        </w:rPr>
        <w:t>КОНТРАКТ № 0520</w:t>
      </w:r>
      <w:r w:rsidR="0014069A">
        <w:rPr>
          <w:rFonts w:ascii="Times New Roman" w:hAnsi="Times New Roman" w:cs="Times New Roman"/>
          <w:b/>
          <w:sz w:val="14"/>
          <w:szCs w:val="14"/>
        </w:rPr>
        <w:t>/Б-10-2/26/ОСП</w:t>
      </w:r>
    </w:p>
    <w:p w:rsidR="000117C2" w:rsidRDefault="00CA6F21">
      <w:pPr>
        <w:spacing w:after="0" w:line="240" w:lineRule="auto"/>
        <w:jc w:val="center"/>
        <w:rPr>
          <w:rFonts w:ascii="Times New Roman" w:hAnsi="Times New Roman" w:cs="Times New Roman"/>
          <w:sz w:val="14"/>
          <w:szCs w:val="14"/>
        </w:rPr>
      </w:pPr>
      <w:r>
        <w:rPr>
          <w:rFonts w:ascii="Times New Roman" w:hAnsi="Times New Roman" w:cs="Times New Roman"/>
          <w:b/>
          <w:sz w:val="14"/>
          <w:szCs w:val="14"/>
        </w:rPr>
        <w:t>на проведение лабораторных исследований, измерений, испытаний</w:t>
      </w:r>
    </w:p>
    <w:p w:rsidR="0014069A" w:rsidRDefault="00CA6F21">
      <w:pPr>
        <w:spacing w:after="0" w:line="240" w:lineRule="auto"/>
        <w:jc w:val="center"/>
        <w:rPr>
          <w:rFonts w:ascii="Times New Roman" w:hAnsi="Times New Roman" w:cs="Times New Roman"/>
          <w:b/>
          <w:sz w:val="14"/>
          <w:szCs w:val="14"/>
        </w:rPr>
      </w:pPr>
      <w:r>
        <w:rPr>
          <w:rFonts w:ascii="Times New Roman" w:hAnsi="Times New Roman" w:cs="Times New Roman"/>
          <w:b/>
          <w:sz w:val="14"/>
          <w:szCs w:val="14"/>
        </w:rPr>
        <w:t xml:space="preserve">(с условием о 30% предоплате) </w:t>
      </w:r>
    </w:p>
    <w:p w:rsidR="000117C2" w:rsidRPr="0014069A" w:rsidRDefault="00CA6F21">
      <w:pPr>
        <w:spacing w:after="0" w:line="240" w:lineRule="auto"/>
        <w:jc w:val="center"/>
        <w:rPr>
          <w:rFonts w:ascii="Times New Roman" w:hAnsi="Times New Roman" w:cs="Times New Roman"/>
          <w:b/>
          <w:sz w:val="16"/>
          <w:szCs w:val="16"/>
        </w:rPr>
      </w:pPr>
      <w:r w:rsidRPr="0014069A">
        <w:rPr>
          <w:rFonts w:ascii="Times New Roman" w:hAnsi="Times New Roman" w:cs="Times New Roman"/>
          <w:b/>
          <w:sz w:val="16"/>
          <w:szCs w:val="16"/>
        </w:rPr>
        <w:t xml:space="preserve">ИКЗ </w:t>
      </w:r>
      <w:r w:rsidR="0014069A" w:rsidRPr="0014069A">
        <w:rPr>
          <w:rFonts w:ascii="Times New Roman" w:hAnsi="Times New Roman" w:cs="Times New Roman"/>
          <w:b/>
          <w:sz w:val="16"/>
          <w:szCs w:val="16"/>
        </w:rPr>
        <w:t>261701901197970004300200510000000244</w:t>
      </w:r>
    </w:p>
    <w:p w:rsidR="000117C2" w:rsidRDefault="00CA6F21">
      <w:pPr>
        <w:spacing w:after="0"/>
        <w:rPr>
          <w:rFonts w:ascii="Times New Roman" w:hAnsi="Times New Roman" w:cs="Times New Roman"/>
          <w:sz w:val="14"/>
          <w:szCs w:val="14"/>
        </w:rPr>
      </w:pPr>
      <w:r>
        <w:rPr>
          <w:rFonts w:ascii="Times New Roman" w:hAnsi="Times New Roman" w:cs="Times New Roman"/>
          <w:sz w:val="14"/>
          <w:szCs w:val="14"/>
        </w:rPr>
        <w:t>.Томск</w:t>
      </w:r>
    </w:p>
    <w:p w:rsidR="000117C2" w:rsidRDefault="00CA6F21">
      <w:pPr>
        <w:spacing w:after="0"/>
        <w:rPr>
          <w:rFonts w:ascii="Times New Roman" w:hAnsi="Times New Roman" w:cs="Times New Roman"/>
          <w:sz w:val="14"/>
          <w:szCs w:val="14"/>
        </w:rPr>
      </w:pPr>
      <w:r>
        <w:rPr>
          <w:rFonts w:ascii="Times New Roman" w:hAnsi="Times New Roman" w:cs="Times New Roman"/>
          <w:sz w:val="14"/>
          <w:szCs w:val="14"/>
        </w:rPr>
        <w:t xml:space="preserve">                                                                                                                                                                                                       </w:t>
      </w:r>
      <w:r w:rsidR="0014069A">
        <w:rPr>
          <w:rFonts w:ascii="Times New Roman" w:hAnsi="Times New Roman" w:cs="Times New Roman"/>
          <w:sz w:val="14"/>
          <w:szCs w:val="14"/>
        </w:rPr>
        <w:t xml:space="preserve">            ____.__</w:t>
      </w:r>
      <w:r>
        <w:rPr>
          <w:rFonts w:ascii="Times New Roman" w:hAnsi="Times New Roman" w:cs="Times New Roman"/>
          <w:sz w:val="14"/>
          <w:szCs w:val="14"/>
        </w:rPr>
        <w:t>.2026</w:t>
      </w:r>
    </w:p>
    <w:p w:rsidR="000117C2" w:rsidRDefault="0014069A" w:rsidP="0014069A">
      <w:pPr>
        <w:spacing w:after="0"/>
        <w:ind w:firstLine="284"/>
        <w:jc w:val="both"/>
        <w:rPr>
          <w:rFonts w:ascii="Times New Roman" w:hAnsi="Times New Roman" w:cs="Times New Roman"/>
          <w:sz w:val="14"/>
          <w:szCs w:val="14"/>
        </w:rPr>
      </w:pPr>
      <w:r>
        <w:rPr>
          <w:rFonts w:ascii="Times New Roman" w:hAnsi="Times New Roman" w:cs="Times New Roman"/>
          <w:sz w:val="14"/>
          <w:szCs w:val="14"/>
        </w:rPr>
        <w:t xml:space="preserve">       </w:t>
      </w:r>
      <w:proofErr w:type="gramStart"/>
      <w:r w:rsidR="00C13343">
        <w:rPr>
          <w:rFonts w:ascii="Times New Roman" w:hAnsi="Times New Roman" w:cs="Times New Roman"/>
          <w:sz w:val="14"/>
          <w:szCs w:val="14"/>
        </w:rPr>
        <w:t>____________________________________________________________________________________________________________</w:t>
      </w:r>
      <w:r w:rsidR="00CA6F21">
        <w:rPr>
          <w:rFonts w:ascii="Times New Roman" w:hAnsi="Times New Roman" w:cs="Times New Roman"/>
          <w:sz w:val="14"/>
          <w:szCs w:val="14"/>
        </w:rPr>
        <w:t>,  в лице</w:t>
      </w:r>
      <w:r w:rsidR="00C13343">
        <w:rPr>
          <w:rFonts w:ascii="Times New Roman" w:hAnsi="Times New Roman" w:cs="Times New Roman"/>
          <w:sz w:val="14"/>
          <w:szCs w:val="14"/>
        </w:rPr>
        <w:t>_____________________________________________________________________________</w:t>
      </w:r>
      <w:r w:rsidR="00CA6F21">
        <w:rPr>
          <w:rFonts w:ascii="Times New Roman" w:hAnsi="Times New Roman" w:cs="Times New Roman"/>
          <w:sz w:val="14"/>
          <w:szCs w:val="14"/>
        </w:rPr>
        <w:t xml:space="preserve">, действующего на основании </w:t>
      </w:r>
      <w:r w:rsidR="00C13343">
        <w:rPr>
          <w:rFonts w:ascii="Times New Roman" w:hAnsi="Times New Roman" w:cs="Times New Roman"/>
          <w:sz w:val="14"/>
          <w:szCs w:val="14"/>
        </w:rPr>
        <w:t>______________________</w:t>
      </w:r>
      <w:r w:rsidR="00CA6F21">
        <w:rPr>
          <w:rFonts w:ascii="Times New Roman" w:hAnsi="Times New Roman" w:cs="Times New Roman"/>
          <w:sz w:val="14"/>
          <w:szCs w:val="14"/>
        </w:rPr>
        <w:t xml:space="preserve">, </w:t>
      </w:r>
      <w:r w:rsidR="00C13343">
        <w:rPr>
          <w:rFonts w:ascii="Times New Roman" w:hAnsi="Times New Roman" w:cs="Times New Roman"/>
          <w:sz w:val="14"/>
          <w:szCs w:val="14"/>
        </w:rPr>
        <w:t>_______________________________________________________________________________________________</w:t>
      </w:r>
      <w:r w:rsidR="00CA6F21">
        <w:rPr>
          <w:rFonts w:ascii="Times New Roman" w:hAnsi="Times New Roman" w:cs="Times New Roman"/>
          <w:sz w:val="14"/>
          <w:szCs w:val="14"/>
        </w:rPr>
        <w:t xml:space="preserve">, действующей на основании </w:t>
      </w:r>
      <w:r w:rsidR="00C13343">
        <w:rPr>
          <w:rFonts w:ascii="Times New Roman" w:hAnsi="Times New Roman" w:cs="Times New Roman"/>
          <w:sz w:val="14"/>
          <w:szCs w:val="14"/>
        </w:rPr>
        <w:t>__________________________________________________________________________</w:t>
      </w:r>
      <w:r w:rsidR="00CA6F21">
        <w:rPr>
          <w:rFonts w:ascii="Times New Roman" w:hAnsi="Times New Roman" w:cs="Times New Roman"/>
          <w:sz w:val="14"/>
          <w:szCs w:val="14"/>
        </w:rPr>
        <w:t xml:space="preserve">, именуемое в дальнейшем "Исполнитель", с одной стороны, и, </w:t>
      </w:r>
      <w:proofErr w:type="gramEnd"/>
    </w:p>
    <w:p w:rsidR="0014069A" w:rsidRPr="0014069A" w:rsidRDefault="0014069A" w:rsidP="0014069A">
      <w:pPr>
        <w:spacing w:after="0" w:line="240" w:lineRule="auto"/>
        <w:ind w:right="-1" w:firstLine="567"/>
        <w:jc w:val="both"/>
        <w:rPr>
          <w:rFonts w:ascii="Times New Roman" w:hAnsi="Times New Roman"/>
          <w:color w:val="000000"/>
          <w:sz w:val="14"/>
          <w:szCs w:val="14"/>
        </w:rPr>
      </w:pPr>
      <w:proofErr w:type="gramStart"/>
      <w:r w:rsidRPr="0014069A">
        <w:rPr>
          <w:rFonts w:ascii="Times New Roman" w:hAnsi="Times New Roman"/>
          <w:b/>
          <w:bCs/>
          <w:sz w:val="14"/>
          <w:szCs w:val="14"/>
          <w:shd w:val="clear" w:color="auto" w:fill="FFFFFF"/>
        </w:rPr>
        <w:t>Федеральное государственное бюджетное научное учреждение «Томский национальный исследовательский медицинский центр Российской академии наук», именуемое в дальнейшем «Заказчик», в лице директора Научно-исследовательского института кардиологии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r w:rsidRPr="0014069A">
        <w:rPr>
          <w:rFonts w:ascii="Times New Roman" w:hAnsi="Times New Roman"/>
          <w:bCs/>
          <w:sz w:val="14"/>
          <w:szCs w:val="14"/>
          <w:shd w:val="clear" w:color="auto" w:fill="FFFFFF"/>
        </w:rPr>
        <w:t xml:space="preserve"> (НИИ кардиологии Томского НИМЦ) Попова Сергея Валентиновича, действующего на основании приказа №54-лц от 06.03.2025, доверенности №92 от 16.12.2025</w:t>
      </w:r>
      <w:r w:rsidRPr="0014069A">
        <w:rPr>
          <w:rFonts w:ascii="Times New Roman" w:hAnsi="Times New Roman"/>
          <w:color w:val="000000"/>
          <w:sz w:val="14"/>
          <w:szCs w:val="14"/>
        </w:rPr>
        <w:t>, с другой стороны, вместе именуемые</w:t>
      </w:r>
      <w:proofErr w:type="gramEnd"/>
      <w:r w:rsidRPr="0014069A">
        <w:rPr>
          <w:rFonts w:ascii="Times New Roman" w:hAnsi="Times New Roman"/>
          <w:color w:val="000000"/>
          <w:sz w:val="14"/>
          <w:szCs w:val="14"/>
        </w:rPr>
        <w:t xml:space="preserve"> Стороны и каждый в отдельности Сторона, в соответствии с п.4 ч.1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117C2" w:rsidRDefault="00CA6F21">
      <w:pPr>
        <w:spacing w:after="0"/>
        <w:jc w:val="center"/>
        <w:rPr>
          <w:rFonts w:ascii="Times New Roman" w:hAnsi="Times New Roman" w:cs="Times New Roman"/>
          <w:sz w:val="14"/>
          <w:szCs w:val="14"/>
        </w:rPr>
      </w:pPr>
      <w:r>
        <w:rPr>
          <w:rFonts w:ascii="Times New Roman" w:hAnsi="Times New Roman" w:cs="Times New Roman"/>
          <w:b/>
          <w:sz w:val="14"/>
          <w:szCs w:val="14"/>
        </w:rPr>
        <w:t>1. Предмет Контракта</w:t>
      </w:r>
    </w:p>
    <w:p w:rsidR="000117C2" w:rsidRDefault="00CA6F21">
      <w:pPr>
        <w:spacing w:after="0"/>
        <w:rPr>
          <w:rFonts w:ascii="Times New Roman" w:hAnsi="Times New Roman" w:cs="Times New Roman"/>
          <w:sz w:val="14"/>
          <w:szCs w:val="14"/>
        </w:rPr>
      </w:pPr>
      <w:r>
        <w:rPr>
          <w:rFonts w:ascii="Times New Roman" w:hAnsi="Times New Roman" w:cs="Times New Roman"/>
          <w:sz w:val="14"/>
          <w:szCs w:val="14"/>
        </w:rPr>
        <w:t>1.1. Исполнитель обязуется в течение всего срока действия настоящего Контракта, поэтапно (по мере поступления от Заказчика заявок) оказывать следующие услуги:</w:t>
      </w:r>
    </w:p>
    <w:tbl>
      <w:tblPr>
        <w:tblStyle w:val="TableStyle0"/>
        <w:tblW w:w="5069" w:type="pct"/>
        <w:tblInd w:w="-136" w:type="dxa"/>
        <w:tblLayout w:type="fixed"/>
        <w:tblLook w:val="04A0" w:firstRow="1" w:lastRow="0" w:firstColumn="1" w:lastColumn="0" w:noHBand="0" w:noVBand="1"/>
      </w:tblPr>
      <w:tblGrid>
        <w:gridCol w:w="135"/>
        <w:gridCol w:w="26"/>
        <w:gridCol w:w="279"/>
        <w:gridCol w:w="1544"/>
        <w:gridCol w:w="992"/>
        <w:gridCol w:w="768"/>
        <w:gridCol w:w="224"/>
        <w:gridCol w:w="519"/>
        <w:gridCol w:w="331"/>
        <w:gridCol w:w="336"/>
        <w:gridCol w:w="231"/>
        <w:gridCol w:w="687"/>
        <w:gridCol w:w="22"/>
        <w:gridCol w:w="526"/>
        <w:gridCol w:w="466"/>
        <w:gridCol w:w="18"/>
        <w:gridCol w:w="974"/>
        <w:gridCol w:w="1276"/>
        <w:gridCol w:w="57"/>
        <w:gridCol w:w="85"/>
      </w:tblGrid>
      <w:tr w:rsidR="000117C2">
        <w:trPr>
          <w:gridBefore w:val="1"/>
          <w:gridAfter w:val="2"/>
          <w:wBefore w:w="136" w:type="dxa"/>
          <w:wAfter w:w="142" w:type="dxa"/>
          <w:cantSplit/>
        </w:trPr>
        <w:tc>
          <w:tcPr>
            <w:tcW w:w="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 xml:space="preserve">№ </w:t>
            </w:r>
            <w:proofErr w:type="gramStart"/>
            <w:r>
              <w:rPr>
                <w:rFonts w:ascii="Times New Roman" w:hAnsi="Times New Roman" w:cs="Times New Roman"/>
                <w:b/>
                <w:sz w:val="14"/>
                <w:szCs w:val="14"/>
              </w:rPr>
              <w:t>п</w:t>
            </w:r>
            <w:proofErr w:type="gramEnd"/>
            <w:r>
              <w:rPr>
                <w:rFonts w:ascii="Times New Roman" w:hAnsi="Times New Roman" w:cs="Times New Roman"/>
                <w:b/>
                <w:sz w:val="14"/>
                <w:szCs w:val="14"/>
              </w:rPr>
              <w:t>/п</w:t>
            </w:r>
          </w:p>
        </w:tc>
        <w:tc>
          <w:tcPr>
            <w:tcW w:w="1544"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Наименование работ (услуг)</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Отдел</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Количество</w:t>
            </w:r>
          </w:p>
        </w:tc>
        <w:tc>
          <w:tcPr>
            <w:tcW w:w="8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Цена за единицу</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Коэффициент</w:t>
            </w:r>
          </w:p>
        </w:tc>
        <w:tc>
          <w:tcPr>
            <w:tcW w:w="70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Сумма без НДС</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Ставка НДС</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НДС</w:t>
            </w: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Общая сумма</w:t>
            </w:r>
          </w:p>
        </w:tc>
      </w:tr>
      <w:tr w:rsidR="000117C2">
        <w:trPr>
          <w:gridBefore w:val="1"/>
          <w:gridAfter w:val="2"/>
          <w:wBefore w:w="136" w:type="dxa"/>
          <w:wAfter w:w="142" w:type="dxa"/>
          <w:cantSplit/>
        </w:trPr>
        <w:tc>
          <w:tcPr>
            <w:tcW w:w="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sz w:val="14"/>
                <w:szCs w:val="14"/>
              </w:rPr>
              <w:t>1</w:t>
            </w:r>
          </w:p>
        </w:tc>
        <w:tc>
          <w:tcPr>
            <w:tcW w:w="1544"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rPr>
                <w:rFonts w:ascii="Times New Roman" w:hAnsi="Times New Roman" w:cs="Times New Roman"/>
                <w:sz w:val="14"/>
                <w:szCs w:val="14"/>
              </w:rPr>
            </w:pPr>
            <w:r>
              <w:rPr>
                <w:rFonts w:ascii="Times New Roman" w:hAnsi="Times New Roman" w:cs="Times New Roman"/>
                <w:sz w:val="14"/>
                <w:szCs w:val="14"/>
              </w:rPr>
              <w:t>Инструментальные измерения источников неионизирующего излучения: Искусственная освещенность (коэффициент пульсации, за единицу: от11 до 30 исследований)</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rPr>
                <w:rFonts w:ascii="Times New Roman" w:hAnsi="Times New Roman" w:cs="Times New Roman"/>
                <w:sz w:val="14"/>
                <w:szCs w:val="14"/>
              </w:rPr>
            </w:pPr>
            <w:r>
              <w:rPr>
                <w:rFonts w:ascii="Times New Roman" w:hAnsi="Times New Roman" w:cs="Times New Roman"/>
                <w:sz w:val="14"/>
                <w:szCs w:val="14"/>
              </w:rPr>
              <w:t>Лаборатория радиационного контроля и физических факторов</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15,00</w:t>
            </w:r>
          </w:p>
        </w:tc>
        <w:tc>
          <w:tcPr>
            <w:tcW w:w="8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430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w:t>
            </w:r>
          </w:p>
        </w:tc>
        <w:tc>
          <w:tcPr>
            <w:tcW w:w="70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6 450</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0%</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Без НДС</w:t>
            </w: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6 450,00</w:t>
            </w:r>
          </w:p>
        </w:tc>
      </w:tr>
      <w:tr w:rsidR="000117C2">
        <w:trPr>
          <w:gridBefore w:val="1"/>
          <w:gridAfter w:val="2"/>
          <w:wBefore w:w="136" w:type="dxa"/>
          <w:wAfter w:w="142" w:type="dxa"/>
          <w:cantSplit/>
        </w:trPr>
        <w:tc>
          <w:tcPr>
            <w:tcW w:w="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sz w:val="14"/>
                <w:szCs w:val="14"/>
              </w:rPr>
              <w:t>2</w:t>
            </w:r>
          </w:p>
        </w:tc>
        <w:tc>
          <w:tcPr>
            <w:tcW w:w="1544"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rPr>
                <w:rFonts w:ascii="Times New Roman" w:hAnsi="Times New Roman" w:cs="Times New Roman"/>
                <w:sz w:val="14"/>
                <w:szCs w:val="14"/>
              </w:rPr>
            </w:pPr>
            <w:r>
              <w:rPr>
                <w:rFonts w:ascii="Times New Roman" w:hAnsi="Times New Roman" w:cs="Times New Roman"/>
                <w:sz w:val="14"/>
                <w:szCs w:val="14"/>
              </w:rPr>
              <w:t>Инструментальные измерения источников неионизирующего излучения: Измерение уровня шума от 1 до 10 исследований</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rPr>
                <w:rFonts w:ascii="Times New Roman" w:hAnsi="Times New Roman" w:cs="Times New Roman"/>
                <w:sz w:val="14"/>
                <w:szCs w:val="14"/>
              </w:rPr>
            </w:pPr>
            <w:r>
              <w:rPr>
                <w:rFonts w:ascii="Times New Roman" w:hAnsi="Times New Roman" w:cs="Times New Roman"/>
                <w:sz w:val="14"/>
                <w:szCs w:val="14"/>
              </w:rPr>
              <w:t>Лаборатория радиационного контроля и физических факторов</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7,00</w:t>
            </w:r>
          </w:p>
        </w:tc>
        <w:tc>
          <w:tcPr>
            <w:tcW w:w="8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1 940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w:t>
            </w:r>
          </w:p>
        </w:tc>
        <w:tc>
          <w:tcPr>
            <w:tcW w:w="70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13 580</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0%</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Без НДС</w:t>
            </w: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13 580,00</w:t>
            </w:r>
          </w:p>
        </w:tc>
      </w:tr>
      <w:tr w:rsidR="000117C2">
        <w:trPr>
          <w:gridBefore w:val="1"/>
          <w:gridAfter w:val="2"/>
          <w:wBefore w:w="136" w:type="dxa"/>
          <w:wAfter w:w="142" w:type="dxa"/>
          <w:cantSplit/>
        </w:trPr>
        <w:tc>
          <w:tcPr>
            <w:tcW w:w="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sz w:val="14"/>
                <w:szCs w:val="14"/>
              </w:rPr>
              <w:t>3</w:t>
            </w:r>
          </w:p>
        </w:tc>
        <w:tc>
          <w:tcPr>
            <w:tcW w:w="1544"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rPr>
                <w:rFonts w:ascii="Times New Roman" w:hAnsi="Times New Roman" w:cs="Times New Roman"/>
                <w:sz w:val="14"/>
                <w:szCs w:val="14"/>
              </w:rPr>
            </w:pPr>
            <w:r>
              <w:rPr>
                <w:rFonts w:ascii="Times New Roman" w:hAnsi="Times New Roman" w:cs="Times New Roman"/>
                <w:sz w:val="14"/>
                <w:szCs w:val="14"/>
              </w:rPr>
              <w:t>Инструментальные измерения источников неионизирующего излучения: Расчет эффективности вентиляции, за единицу: от 31 до 50 исследований</w:t>
            </w:r>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rPr>
                <w:rFonts w:ascii="Times New Roman" w:hAnsi="Times New Roman" w:cs="Times New Roman"/>
                <w:sz w:val="14"/>
                <w:szCs w:val="14"/>
              </w:rPr>
            </w:pPr>
            <w:r>
              <w:rPr>
                <w:rFonts w:ascii="Times New Roman" w:hAnsi="Times New Roman" w:cs="Times New Roman"/>
                <w:sz w:val="14"/>
                <w:szCs w:val="14"/>
              </w:rPr>
              <w:t>Лаборатория радиационного контроля и физических факторов</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32,00</w:t>
            </w:r>
          </w:p>
        </w:tc>
        <w:tc>
          <w:tcPr>
            <w:tcW w:w="8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605</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w:t>
            </w:r>
          </w:p>
        </w:tc>
        <w:tc>
          <w:tcPr>
            <w:tcW w:w="70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19 360</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0%</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Без НДС</w:t>
            </w: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19 360,00</w:t>
            </w:r>
          </w:p>
        </w:tc>
      </w:tr>
      <w:tr w:rsidR="000117C2">
        <w:trPr>
          <w:gridBefore w:val="1"/>
          <w:gridAfter w:val="2"/>
          <w:wBefore w:w="136" w:type="dxa"/>
          <w:wAfter w:w="142" w:type="dxa"/>
          <w:cantSplit/>
        </w:trPr>
        <w:tc>
          <w:tcPr>
            <w:tcW w:w="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center"/>
              <w:rPr>
                <w:rFonts w:ascii="Times New Roman" w:hAnsi="Times New Roman" w:cs="Times New Roman"/>
                <w:sz w:val="14"/>
                <w:szCs w:val="14"/>
              </w:rPr>
            </w:pPr>
            <w:r>
              <w:rPr>
                <w:rFonts w:ascii="Times New Roman" w:hAnsi="Times New Roman" w:cs="Times New Roman"/>
                <w:sz w:val="14"/>
                <w:szCs w:val="14"/>
              </w:rPr>
              <w:t>4</w:t>
            </w:r>
          </w:p>
        </w:tc>
        <w:tc>
          <w:tcPr>
            <w:tcW w:w="1544"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rPr>
                <w:rFonts w:ascii="Times New Roman" w:hAnsi="Times New Roman" w:cs="Times New Roman"/>
                <w:sz w:val="14"/>
                <w:szCs w:val="14"/>
              </w:rPr>
            </w:pPr>
            <w:r>
              <w:rPr>
                <w:rFonts w:ascii="Times New Roman" w:hAnsi="Times New Roman" w:cs="Times New Roman"/>
                <w:sz w:val="14"/>
                <w:szCs w:val="14"/>
              </w:rPr>
              <w:t xml:space="preserve">Инструментальные измерения источников неионизирующего излучения: </w:t>
            </w:r>
            <w:proofErr w:type="gramStart"/>
            <w:r>
              <w:rPr>
                <w:rFonts w:ascii="Times New Roman" w:hAnsi="Times New Roman" w:cs="Times New Roman"/>
                <w:sz w:val="14"/>
                <w:szCs w:val="14"/>
              </w:rPr>
              <w:t>Температура и относительная  влажность) за единицу: от11 до 30 исследований</w:t>
            </w:r>
            <w:proofErr w:type="gramEnd"/>
          </w:p>
        </w:tc>
        <w:tc>
          <w:tcPr>
            <w:tcW w:w="992"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rPr>
                <w:rFonts w:ascii="Times New Roman" w:hAnsi="Times New Roman" w:cs="Times New Roman"/>
                <w:sz w:val="14"/>
                <w:szCs w:val="14"/>
              </w:rPr>
            </w:pPr>
            <w:r>
              <w:rPr>
                <w:rFonts w:ascii="Times New Roman" w:hAnsi="Times New Roman" w:cs="Times New Roman"/>
                <w:sz w:val="14"/>
                <w:szCs w:val="14"/>
              </w:rPr>
              <w:t>Лаборатория радиационного контроля и физических факторов</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15,00</w:t>
            </w:r>
          </w:p>
        </w:tc>
        <w:tc>
          <w:tcPr>
            <w:tcW w:w="8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430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1</w:t>
            </w:r>
          </w:p>
        </w:tc>
        <w:tc>
          <w:tcPr>
            <w:tcW w:w="70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6 450</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0%</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Без НДС</w:t>
            </w: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0117C2" w:rsidRDefault="00CA6F21">
            <w:pPr>
              <w:jc w:val="right"/>
              <w:rPr>
                <w:rFonts w:ascii="Times New Roman" w:hAnsi="Times New Roman" w:cs="Times New Roman"/>
                <w:sz w:val="14"/>
                <w:szCs w:val="14"/>
              </w:rPr>
            </w:pPr>
            <w:r>
              <w:rPr>
                <w:rFonts w:ascii="Times New Roman" w:hAnsi="Times New Roman" w:cs="Times New Roman"/>
                <w:sz w:val="14"/>
                <w:szCs w:val="14"/>
              </w:rPr>
              <w:t>6 450,00</w:t>
            </w:r>
          </w:p>
        </w:tc>
      </w:tr>
      <w:tr w:rsidR="000117C2">
        <w:trPr>
          <w:gridBefore w:val="1"/>
          <w:gridAfter w:val="2"/>
          <w:wBefore w:w="136" w:type="dxa"/>
          <w:wAfter w:w="142" w:type="dxa"/>
          <w:cantSplit/>
        </w:trPr>
        <w:tc>
          <w:tcPr>
            <w:tcW w:w="4683" w:type="dxa"/>
            <w:gridSpan w:val="8"/>
            <w:tcBorders>
              <w:top w:val="single" w:sz="5" w:space="0" w:color="auto"/>
              <w:left w:val="single" w:sz="5" w:space="0" w:color="auto"/>
              <w:bottom w:val="single" w:sz="5" w:space="0" w:color="auto"/>
              <w:right w:val="single" w:sz="5" w:space="0" w:color="auto"/>
            </w:tcBorders>
            <w:shd w:val="clear" w:color="auto" w:fill="auto"/>
            <w:vAlign w:val="bottom"/>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Итого, руб.</w:t>
            </w:r>
          </w:p>
        </w:tc>
        <w:tc>
          <w:tcPr>
            <w:tcW w:w="4535" w:type="dxa"/>
            <w:gridSpan w:val="9"/>
            <w:tcBorders>
              <w:top w:val="single" w:sz="5" w:space="0" w:color="auto"/>
              <w:left w:val="single" w:sz="5" w:space="0" w:color="auto"/>
              <w:bottom w:val="single" w:sz="5" w:space="0" w:color="auto"/>
              <w:right w:val="single" w:sz="5" w:space="0" w:color="auto"/>
            </w:tcBorders>
            <w:shd w:val="clear" w:color="auto" w:fill="auto"/>
            <w:vAlign w:val="bottom"/>
          </w:tcPr>
          <w:p w:rsidR="000117C2" w:rsidRDefault="00CA6F21">
            <w:pPr>
              <w:jc w:val="right"/>
              <w:rPr>
                <w:rFonts w:ascii="Times New Roman" w:hAnsi="Times New Roman" w:cs="Times New Roman"/>
                <w:sz w:val="14"/>
                <w:szCs w:val="14"/>
              </w:rPr>
            </w:pPr>
            <w:r>
              <w:rPr>
                <w:rFonts w:ascii="Times New Roman" w:hAnsi="Times New Roman" w:cs="Times New Roman"/>
                <w:b/>
                <w:sz w:val="14"/>
                <w:szCs w:val="14"/>
              </w:rPr>
              <w:t>45 840,00</w:t>
            </w:r>
          </w:p>
        </w:tc>
      </w:tr>
      <w:tr w:rsidR="000117C2">
        <w:trPr>
          <w:gridBefore w:val="1"/>
          <w:gridAfter w:val="2"/>
          <w:wBefore w:w="136" w:type="dxa"/>
          <w:wAfter w:w="142" w:type="dxa"/>
          <w:cantSplit/>
        </w:trPr>
        <w:tc>
          <w:tcPr>
            <w:tcW w:w="4683" w:type="dxa"/>
            <w:gridSpan w:val="8"/>
            <w:tcBorders>
              <w:top w:val="single" w:sz="5" w:space="0" w:color="auto"/>
              <w:left w:val="single" w:sz="5" w:space="0" w:color="auto"/>
              <w:bottom w:val="single" w:sz="5" w:space="0" w:color="auto"/>
              <w:right w:val="single" w:sz="5" w:space="0" w:color="auto"/>
            </w:tcBorders>
            <w:shd w:val="clear" w:color="auto" w:fill="auto"/>
            <w:vAlign w:val="bottom"/>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Сумма НДС, руб.</w:t>
            </w:r>
          </w:p>
        </w:tc>
        <w:tc>
          <w:tcPr>
            <w:tcW w:w="4535" w:type="dxa"/>
            <w:gridSpan w:val="9"/>
            <w:tcBorders>
              <w:top w:val="single" w:sz="5" w:space="0" w:color="auto"/>
              <w:left w:val="single" w:sz="5" w:space="0" w:color="auto"/>
              <w:bottom w:val="single" w:sz="5" w:space="0" w:color="auto"/>
              <w:right w:val="single" w:sz="5" w:space="0" w:color="auto"/>
            </w:tcBorders>
            <w:shd w:val="clear" w:color="auto" w:fill="auto"/>
            <w:vAlign w:val="bottom"/>
          </w:tcPr>
          <w:p w:rsidR="000117C2" w:rsidRDefault="000117C2">
            <w:pPr>
              <w:jc w:val="right"/>
              <w:rPr>
                <w:rFonts w:ascii="Times New Roman" w:hAnsi="Times New Roman" w:cs="Times New Roman"/>
                <w:sz w:val="14"/>
                <w:szCs w:val="14"/>
              </w:rPr>
            </w:pPr>
          </w:p>
        </w:tc>
      </w:tr>
      <w:tr w:rsidR="000117C2">
        <w:trPr>
          <w:gridBefore w:val="1"/>
          <w:gridAfter w:val="2"/>
          <w:wBefore w:w="136" w:type="dxa"/>
          <w:wAfter w:w="142" w:type="dxa"/>
          <w:cantSplit/>
        </w:trPr>
        <w:tc>
          <w:tcPr>
            <w:tcW w:w="4683" w:type="dxa"/>
            <w:gridSpan w:val="8"/>
            <w:tcBorders>
              <w:top w:val="single" w:sz="5" w:space="0" w:color="auto"/>
              <w:left w:val="single" w:sz="5" w:space="0" w:color="auto"/>
              <w:bottom w:val="single" w:sz="5" w:space="0" w:color="auto"/>
              <w:right w:val="single" w:sz="5" w:space="0" w:color="auto"/>
            </w:tcBorders>
            <w:shd w:val="clear" w:color="auto" w:fill="auto"/>
            <w:vAlign w:val="bottom"/>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Всего к оплате, руб.</w:t>
            </w:r>
          </w:p>
        </w:tc>
        <w:tc>
          <w:tcPr>
            <w:tcW w:w="4535" w:type="dxa"/>
            <w:gridSpan w:val="9"/>
            <w:tcBorders>
              <w:top w:val="single" w:sz="5" w:space="0" w:color="auto"/>
              <w:left w:val="single" w:sz="5" w:space="0" w:color="auto"/>
              <w:bottom w:val="single" w:sz="5" w:space="0" w:color="auto"/>
              <w:right w:val="single" w:sz="5" w:space="0" w:color="auto"/>
            </w:tcBorders>
            <w:shd w:val="clear" w:color="auto" w:fill="auto"/>
            <w:vAlign w:val="bottom"/>
          </w:tcPr>
          <w:p w:rsidR="000117C2" w:rsidRDefault="00CA6F21">
            <w:pPr>
              <w:jc w:val="right"/>
              <w:rPr>
                <w:rFonts w:ascii="Times New Roman" w:hAnsi="Times New Roman" w:cs="Times New Roman"/>
                <w:sz w:val="14"/>
                <w:szCs w:val="14"/>
              </w:rPr>
            </w:pPr>
            <w:r>
              <w:rPr>
                <w:rFonts w:ascii="Times New Roman" w:hAnsi="Times New Roman" w:cs="Times New Roman"/>
                <w:b/>
                <w:sz w:val="14"/>
                <w:szCs w:val="14"/>
              </w:rPr>
              <w:t>45 840,00</w:t>
            </w:r>
          </w:p>
        </w:tc>
      </w:tr>
      <w:tr w:rsidR="000117C2">
        <w:trPr>
          <w:gridBefore w:val="1"/>
          <w:gridAfter w:val="2"/>
          <w:wBefore w:w="136" w:type="dxa"/>
          <w:wAfter w:w="142" w:type="dxa"/>
          <w:cantSplit/>
          <w:trHeight w:val="370"/>
        </w:trPr>
        <w:tc>
          <w:tcPr>
            <w:tcW w:w="9219" w:type="dxa"/>
            <w:gridSpan w:val="17"/>
            <w:tcBorders>
              <w:top w:val="single" w:sz="5" w:space="0" w:color="auto"/>
              <w:left w:val="single" w:sz="5" w:space="0" w:color="auto"/>
              <w:bottom w:val="single" w:sz="5" w:space="0" w:color="auto"/>
              <w:right w:val="single" w:sz="5" w:space="0" w:color="auto"/>
            </w:tcBorders>
            <w:shd w:val="clear" w:color="auto" w:fill="auto"/>
            <w:vAlign w:val="bottom"/>
          </w:tcPr>
          <w:p w:rsidR="000117C2" w:rsidRPr="00C13343" w:rsidRDefault="00CA6F21">
            <w:pPr>
              <w:rPr>
                <w:rFonts w:ascii="Times New Roman" w:hAnsi="Times New Roman" w:cs="Times New Roman"/>
                <w:sz w:val="14"/>
                <w:szCs w:val="14"/>
              </w:rPr>
            </w:pPr>
            <w:r w:rsidRPr="00C13343">
              <w:rPr>
                <w:rFonts w:ascii="Times New Roman" w:hAnsi="Times New Roman" w:cs="Times New Roman"/>
                <w:b/>
                <w:sz w:val="14"/>
                <w:szCs w:val="14"/>
              </w:rPr>
              <w:t xml:space="preserve">Всего к оплате на сумму: Сорок пять тысяч восемьсот сорок рублей ноль копеек, в </w:t>
            </w:r>
            <w:proofErr w:type="spellStart"/>
            <w:r w:rsidRPr="00C13343">
              <w:rPr>
                <w:rFonts w:ascii="Times New Roman" w:hAnsi="Times New Roman" w:cs="Times New Roman"/>
                <w:b/>
                <w:sz w:val="14"/>
                <w:szCs w:val="14"/>
              </w:rPr>
              <w:t>т.ч</w:t>
            </w:r>
            <w:proofErr w:type="spellEnd"/>
            <w:r w:rsidRPr="00C13343">
              <w:rPr>
                <w:rFonts w:ascii="Times New Roman" w:hAnsi="Times New Roman" w:cs="Times New Roman"/>
                <w:b/>
                <w:sz w:val="14"/>
                <w:szCs w:val="14"/>
              </w:rPr>
              <w:t>.: НДС</w:t>
            </w:r>
            <w:r w:rsidR="00C13343" w:rsidRPr="00C13343">
              <w:rPr>
                <w:rFonts w:ascii="Times New Roman" w:hAnsi="Times New Roman" w:cs="Times New Roman"/>
                <w:b/>
                <w:sz w:val="14"/>
                <w:szCs w:val="14"/>
              </w:rPr>
              <w:t xml:space="preserve"> (при наличии) </w:t>
            </w:r>
            <w:r w:rsidRPr="00C13343">
              <w:rPr>
                <w:rFonts w:ascii="Times New Roman" w:hAnsi="Times New Roman" w:cs="Times New Roman"/>
                <w:b/>
                <w:sz w:val="14"/>
                <w:szCs w:val="14"/>
              </w:rPr>
              <w:t xml:space="preserve"> – Ноль рублей ноль копеек</w:t>
            </w:r>
          </w:p>
        </w:tc>
      </w:tr>
      <w:tr w:rsidR="000117C2">
        <w:trPr>
          <w:cantSplit/>
        </w:trPr>
        <w:tc>
          <w:tcPr>
            <w:tcW w:w="9496" w:type="dxa"/>
            <w:gridSpan w:val="20"/>
            <w:shd w:val="clear" w:color="auto" w:fill="auto"/>
            <w:vAlign w:val="bottom"/>
          </w:tcPr>
          <w:p w:rsidR="000117C2" w:rsidRPr="00C13343" w:rsidRDefault="00CA6F21">
            <w:pPr>
              <w:rPr>
                <w:rFonts w:ascii="Times New Roman" w:hAnsi="Times New Roman" w:cs="Times New Roman"/>
                <w:sz w:val="14"/>
                <w:szCs w:val="14"/>
              </w:rPr>
            </w:pPr>
            <w:r w:rsidRPr="00C13343">
              <w:rPr>
                <w:rFonts w:ascii="Times New Roman" w:hAnsi="Times New Roman" w:cs="Times New Roman"/>
                <w:sz w:val="14"/>
                <w:szCs w:val="14"/>
              </w:rPr>
              <w:t>с выдачей  по их результатам  протоколов лабораторных исследований, измерений, испытаний,  именуемые в дальнейшем «Услуги».</w:t>
            </w:r>
          </w:p>
        </w:tc>
      </w:tr>
      <w:tr w:rsidR="000117C2">
        <w:trPr>
          <w:cantSplit/>
          <w:trHeight w:val="303"/>
        </w:trPr>
        <w:tc>
          <w:tcPr>
            <w:tcW w:w="9496" w:type="dxa"/>
            <w:gridSpan w:val="20"/>
            <w:shd w:val="clear" w:color="auto" w:fill="auto"/>
            <w:vAlign w:val="bottom"/>
          </w:tcPr>
          <w:p w:rsidR="000117C2" w:rsidRDefault="00CA6F21">
            <w:pPr>
              <w:jc w:val="both"/>
              <w:rPr>
                <w:rFonts w:ascii="Times New Roman" w:hAnsi="Times New Roman" w:cs="Times New Roman"/>
                <w:sz w:val="14"/>
                <w:szCs w:val="14"/>
              </w:rPr>
            </w:pPr>
            <w:r>
              <w:rPr>
                <w:rFonts w:ascii="Times New Roman" w:hAnsi="Times New Roman" w:cs="Times New Roman"/>
                <w:sz w:val="14"/>
                <w:szCs w:val="14"/>
              </w:rPr>
              <w:t>1.2. Заказчик обязуется оплачивать Услуги, согласно ценам, установленным у Исполнителя на момент их оказания.</w:t>
            </w:r>
          </w:p>
        </w:tc>
      </w:tr>
      <w:tr w:rsidR="000117C2">
        <w:trPr>
          <w:cantSplit/>
          <w:trHeight w:val="2548"/>
        </w:trPr>
        <w:tc>
          <w:tcPr>
            <w:tcW w:w="9496" w:type="dxa"/>
            <w:gridSpan w:val="20"/>
            <w:shd w:val="clear" w:color="auto" w:fill="auto"/>
            <w:vAlign w:val="bottom"/>
          </w:tcPr>
          <w:p w:rsidR="000117C2" w:rsidRDefault="00CA6F21" w:rsidP="00C13343">
            <w:pPr>
              <w:rPr>
                <w:rFonts w:ascii="Times New Roman" w:hAnsi="Times New Roman" w:cs="Times New Roman"/>
                <w:sz w:val="14"/>
                <w:szCs w:val="14"/>
              </w:rPr>
            </w:pPr>
            <w:r>
              <w:rPr>
                <w:rFonts w:ascii="Times New Roman" w:hAnsi="Times New Roman" w:cs="Times New Roman"/>
                <w:sz w:val="14"/>
                <w:szCs w:val="14"/>
              </w:rPr>
              <w:t>1.3.Заказчик уведомлён о:</w:t>
            </w:r>
          </w:p>
          <w:p w:rsidR="000117C2" w:rsidRDefault="00CA6F21" w:rsidP="00C13343">
            <w:pPr>
              <w:rPr>
                <w:rFonts w:ascii="Times New Roman" w:hAnsi="Times New Roman" w:cs="Times New Roman"/>
                <w:sz w:val="14"/>
                <w:szCs w:val="14"/>
              </w:rPr>
            </w:pPr>
            <w:r>
              <w:rPr>
                <w:rFonts w:ascii="Times New Roman" w:hAnsi="Times New Roman" w:cs="Times New Roman"/>
                <w:sz w:val="14"/>
                <w:szCs w:val="14"/>
              </w:rPr>
              <w:t xml:space="preserve">-  </w:t>
            </w:r>
            <w:proofErr w:type="gramStart"/>
            <w:r>
              <w:rPr>
                <w:rFonts w:ascii="Times New Roman" w:hAnsi="Times New Roman" w:cs="Times New Roman"/>
                <w:sz w:val="14"/>
                <w:szCs w:val="14"/>
              </w:rPr>
              <w:t>приёме</w:t>
            </w:r>
            <w:proofErr w:type="gramEnd"/>
            <w:r>
              <w:rPr>
                <w:rFonts w:ascii="Times New Roman" w:hAnsi="Times New Roman" w:cs="Times New Roman"/>
                <w:sz w:val="14"/>
                <w:szCs w:val="14"/>
              </w:rPr>
              <w:t xml:space="preserve"> проб (образцов): </w:t>
            </w:r>
            <w:r w:rsidR="00C13343">
              <w:rPr>
                <w:rFonts w:ascii="Times New Roman" w:hAnsi="Times New Roman" w:cs="Times New Roman"/>
                <w:sz w:val="14"/>
                <w:szCs w:val="1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17C2" w:rsidRDefault="00CA6F21" w:rsidP="00C13343">
            <w:pPr>
              <w:rPr>
                <w:rFonts w:ascii="Times New Roman" w:hAnsi="Times New Roman" w:cs="Times New Roman"/>
                <w:sz w:val="14"/>
                <w:szCs w:val="14"/>
              </w:rPr>
            </w:pPr>
            <w:r>
              <w:rPr>
                <w:rFonts w:ascii="Times New Roman" w:hAnsi="Times New Roman" w:cs="Times New Roman"/>
                <w:sz w:val="14"/>
                <w:szCs w:val="14"/>
              </w:rPr>
              <w:t>- возможности выдачи ему экспертного заключения о несоответствии объекта экспертизы, лабораторных исследований (испытаний), измерений государственным санитарно-эпидемиологическим правилам и нормативам;</w:t>
            </w:r>
          </w:p>
          <w:p w:rsidR="000117C2" w:rsidRDefault="00CA6F21" w:rsidP="00C13343">
            <w:pPr>
              <w:rPr>
                <w:rFonts w:ascii="Times New Roman" w:hAnsi="Times New Roman" w:cs="Times New Roman"/>
                <w:sz w:val="14"/>
                <w:szCs w:val="14"/>
              </w:rPr>
            </w:pPr>
            <w:r>
              <w:rPr>
                <w:rFonts w:ascii="Times New Roman" w:hAnsi="Times New Roman" w:cs="Times New Roman"/>
                <w:sz w:val="14"/>
                <w:szCs w:val="14"/>
              </w:rPr>
              <w:t>- том, что результаты исследований (испытаний) распространяются только на доставленные пробы (образцы).</w:t>
            </w:r>
          </w:p>
          <w:p w:rsidR="000117C2" w:rsidRDefault="00CA6F21" w:rsidP="00C13343">
            <w:pPr>
              <w:rPr>
                <w:rFonts w:ascii="Times New Roman" w:hAnsi="Times New Roman" w:cs="Times New Roman"/>
                <w:sz w:val="14"/>
                <w:szCs w:val="14"/>
              </w:rPr>
            </w:pPr>
            <w:proofErr w:type="gramStart"/>
            <w:r>
              <w:rPr>
                <w:rFonts w:ascii="Times New Roman" w:hAnsi="Times New Roman" w:cs="Times New Roman"/>
                <w:sz w:val="14"/>
                <w:szCs w:val="14"/>
              </w:rPr>
              <w:t>- правилах отбора проб (образцов), включающих сведения о необходимом количестве (объеме) проб (образцов) для проведения заявленных исследований (испытаний) в случае, если отбор, транспортировка (доставка) проб (образцов) осуществляются Заказчиком;</w:t>
            </w:r>
            <w:proofErr w:type="gramEnd"/>
          </w:p>
          <w:p w:rsidR="000117C2" w:rsidRDefault="00CA6F21" w:rsidP="00C13343">
            <w:pPr>
              <w:rPr>
                <w:rFonts w:ascii="Times New Roman" w:hAnsi="Times New Roman" w:cs="Times New Roman"/>
                <w:sz w:val="14"/>
                <w:szCs w:val="14"/>
              </w:rPr>
            </w:pPr>
            <w:r>
              <w:rPr>
                <w:rFonts w:ascii="Times New Roman" w:hAnsi="Times New Roman" w:cs="Times New Roman"/>
                <w:sz w:val="14"/>
                <w:szCs w:val="14"/>
              </w:rPr>
              <w:t>- том, что при доставке пробы (образца) в испытательную лабораторию с отклонением от установленных условий они могут быть исследованы с условием отражения этих отклонений в Акте приема-передачи проб (образцов) и указанием, на какие результаты могут повлиять данные отклонения в дополнительных сведениях  протокола исследований (испытаний).</w:t>
            </w:r>
          </w:p>
          <w:p w:rsidR="000117C2" w:rsidRDefault="00CA6F21" w:rsidP="00C13343">
            <w:pPr>
              <w:rPr>
                <w:rFonts w:ascii="Times New Roman" w:hAnsi="Times New Roman" w:cs="Times New Roman"/>
                <w:sz w:val="14"/>
                <w:szCs w:val="14"/>
              </w:rPr>
            </w:pPr>
            <w:r>
              <w:rPr>
                <w:rFonts w:ascii="Times New Roman" w:hAnsi="Times New Roman" w:cs="Times New Roman"/>
                <w:sz w:val="14"/>
                <w:szCs w:val="14"/>
              </w:rPr>
              <w:t>1.4. Документом, подтверждающим факт оказания Услуг по Контракту, является акт об оказании услуг, с указанием объема и стоимости Услуг, подписанный и заверенный печатями сторон или их уполномоченными представителями.</w:t>
            </w:r>
          </w:p>
        </w:tc>
      </w:tr>
      <w:tr w:rsidR="000117C2">
        <w:trPr>
          <w:cantSplit/>
          <w:trHeight w:val="66"/>
        </w:trPr>
        <w:tc>
          <w:tcPr>
            <w:tcW w:w="9496" w:type="dxa"/>
            <w:gridSpan w:val="20"/>
            <w:shd w:val="clear" w:color="auto" w:fill="auto"/>
            <w:vAlign w:val="bottom"/>
          </w:tcPr>
          <w:p w:rsidR="0014069A" w:rsidRPr="0014069A" w:rsidRDefault="0014069A" w:rsidP="0014069A">
            <w:pPr>
              <w:pStyle w:val="aff1"/>
              <w:ind w:left="0"/>
              <w:jc w:val="both"/>
              <w:rPr>
                <w:rFonts w:ascii="Times New Roman" w:eastAsia="Arial Unicode MS" w:hAnsi="Times New Roman" w:cs="Times New Roman"/>
                <w:sz w:val="14"/>
                <w:szCs w:val="14"/>
              </w:rPr>
            </w:pPr>
            <w:r>
              <w:rPr>
                <w:rFonts w:ascii="Times New Roman" w:eastAsia="Arial Unicode MS" w:hAnsi="Times New Roman" w:cs="Times New Roman"/>
                <w:bCs/>
                <w:sz w:val="14"/>
                <w:szCs w:val="14"/>
              </w:rPr>
              <w:t xml:space="preserve">1.5. </w:t>
            </w:r>
            <w:r w:rsidRPr="0014069A">
              <w:rPr>
                <w:rFonts w:ascii="Times New Roman" w:eastAsia="Arial Unicode MS" w:hAnsi="Times New Roman" w:cs="Times New Roman"/>
                <w:bCs/>
                <w:sz w:val="14"/>
                <w:szCs w:val="14"/>
              </w:rPr>
              <w:t>Исполнитель обязан подписать Акт приемки товаров, работ, услуг (ф. 0510452) (далее – Акт приемки, Акт), направленный Заказчиком.</w:t>
            </w:r>
          </w:p>
          <w:p w:rsidR="0014069A" w:rsidRPr="0014069A" w:rsidRDefault="0014069A" w:rsidP="0014069A">
            <w:pPr>
              <w:pStyle w:val="aff1"/>
              <w:ind w:left="0"/>
              <w:jc w:val="both"/>
              <w:rPr>
                <w:rFonts w:ascii="Times New Roman" w:eastAsia="Arial Unicode MS" w:hAnsi="Times New Roman" w:cs="Times New Roman"/>
                <w:sz w:val="14"/>
                <w:szCs w:val="14"/>
              </w:rPr>
            </w:pPr>
            <w:r w:rsidRPr="0014069A">
              <w:rPr>
                <w:rFonts w:ascii="Times New Roman" w:eastAsia="Arial Unicode MS" w:hAnsi="Times New Roman" w:cs="Times New Roman"/>
                <w:bCs/>
                <w:sz w:val="14"/>
                <w:szCs w:val="14"/>
              </w:rPr>
              <w:t>Акт приемки формируется Заказчиком на основании документов, которыми Исполнитель подтвердил поставку товара, оказание услуг или выполнение работ и направляется другой стороне, которая в течение 3 (трех) рабочих дней обязана подписать указанный Акт.</w:t>
            </w:r>
          </w:p>
          <w:p w:rsidR="0014069A" w:rsidRPr="0014069A" w:rsidRDefault="0014069A" w:rsidP="0014069A">
            <w:pPr>
              <w:pStyle w:val="aff1"/>
              <w:ind w:left="0"/>
              <w:jc w:val="both"/>
              <w:rPr>
                <w:rFonts w:ascii="Times New Roman" w:eastAsia="Arial Unicode MS" w:hAnsi="Times New Roman" w:cs="Times New Roman"/>
                <w:sz w:val="14"/>
                <w:szCs w:val="14"/>
              </w:rPr>
            </w:pPr>
            <w:r w:rsidRPr="0014069A">
              <w:rPr>
                <w:rFonts w:ascii="Times New Roman" w:eastAsia="Arial Unicode MS" w:hAnsi="Times New Roman" w:cs="Times New Roman"/>
                <w:bCs/>
                <w:sz w:val="14"/>
                <w:szCs w:val="14"/>
              </w:rPr>
              <w:t>Исполнитель вправе подписать Акт квалифицированной электронной подписью в рамках установленного электронного взаимодействия между сторонами, в случае отсутствия такой возможности, подписать Акт приемки собственноручно на бумажном носителе и направить скан копии Акта Заказчику.</w:t>
            </w:r>
          </w:p>
          <w:p w:rsidR="0014069A" w:rsidRPr="0014069A" w:rsidRDefault="0014069A" w:rsidP="0014069A">
            <w:pPr>
              <w:pStyle w:val="aff1"/>
              <w:ind w:left="0"/>
              <w:jc w:val="both"/>
              <w:rPr>
                <w:rFonts w:ascii="Times New Roman" w:eastAsia="Arial Unicode MS" w:hAnsi="Times New Roman" w:cs="Times New Roman"/>
                <w:bCs/>
                <w:sz w:val="14"/>
                <w:szCs w:val="14"/>
              </w:rPr>
            </w:pPr>
            <w:r w:rsidRPr="0014069A">
              <w:rPr>
                <w:rFonts w:ascii="Times New Roman" w:eastAsia="Arial Unicode MS" w:hAnsi="Times New Roman" w:cs="Times New Roman"/>
                <w:bCs/>
                <w:sz w:val="14"/>
                <w:szCs w:val="14"/>
              </w:rPr>
              <w:t xml:space="preserve">В </w:t>
            </w:r>
            <w:proofErr w:type="gramStart"/>
            <w:r w:rsidRPr="0014069A">
              <w:rPr>
                <w:rFonts w:ascii="Times New Roman" w:eastAsia="Arial Unicode MS" w:hAnsi="Times New Roman" w:cs="Times New Roman"/>
                <w:bCs/>
                <w:sz w:val="14"/>
                <w:szCs w:val="14"/>
              </w:rPr>
              <w:t>случае</w:t>
            </w:r>
            <w:proofErr w:type="gramEnd"/>
            <w:r w:rsidRPr="0014069A">
              <w:rPr>
                <w:rFonts w:ascii="Times New Roman" w:eastAsia="Arial Unicode MS" w:hAnsi="Times New Roman" w:cs="Times New Roman"/>
                <w:bCs/>
                <w:sz w:val="14"/>
                <w:szCs w:val="14"/>
              </w:rPr>
              <w:t xml:space="preserve"> отсутствия претензий, расхождений по результатам приемки Заказчик вправе подписать Акт приемки без участия Исполнитель. По результатам приемки, проведенной без участия Исполнителя, Заказчик подписывает и утверждает Акт и в целях уведомления о результатах приемки направляет Исполнителю электронный Акт приемки (скан копии Акта) посредством направления по адресу электронной почты, передачи через систему электронного документооборота либо почтового отправления.</w:t>
            </w:r>
          </w:p>
          <w:p w:rsidR="000117C2" w:rsidRDefault="000117C2">
            <w:pPr>
              <w:rPr>
                <w:sz w:val="14"/>
                <w:szCs w:val="14"/>
              </w:rPr>
            </w:pPr>
          </w:p>
        </w:tc>
      </w:tr>
      <w:tr w:rsidR="000117C2">
        <w:trPr>
          <w:cantSplit/>
          <w:trHeight w:val="3220"/>
        </w:trPr>
        <w:tc>
          <w:tcPr>
            <w:tcW w:w="9496" w:type="dxa"/>
            <w:gridSpan w:val="20"/>
            <w:shd w:val="clear" w:color="auto" w:fill="auto"/>
            <w:vAlign w:val="bottom"/>
          </w:tcPr>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lastRenderedPageBreak/>
              <w:t>2. Срок оказания Услуг, обязанности сторон</w:t>
            </w:r>
          </w:p>
          <w:p w:rsidR="000117C2" w:rsidRDefault="00CA6F21">
            <w:pPr>
              <w:rPr>
                <w:rFonts w:ascii="Times New Roman" w:hAnsi="Times New Roman" w:cs="Times New Roman"/>
                <w:sz w:val="14"/>
                <w:szCs w:val="14"/>
              </w:rPr>
            </w:pPr>
            <w:r>
              <w:rPr>
                <w:rFonts w:ascii="Times New Roman" w:hAnsi="Times New Roman" w:cs="Times New Roman"/>
                <w:sz w:val="14"/>
                <w:szCs w:val="14"/>
              </w:rPr>
              <w:t>2.1. Исполнитель обязуется:</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2.1.1 оказывать Услуги с надлежащим качеством, в полном объеме, своими силами и средствами, в течение 25 рабочих дней со дня доставки проб на исследования и поступления денежных средств на лицевой счет Исполнителя согласно п.3.2. Контракта;</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2.1.2 в течение 5 рабочих дней со дня оказания этапа Услуг направлять Заказчику акт об оказании услуг для подписания, счет-фактуру.</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2.1.3 выдавать уполномоченному лицу Заказчика результат оказания этапа Услуг при предоставлении заверенной Заказчиком копии доверенности (приказа) на право получения результатов оказания Услуг от Исполнителя.</w:t>
            </w:r>
          </w:p>
          <w:p w:rsidR="000117C2" w:rsidRDefault="00CA6F21">
            <w:pPr>
              <w:rPr>
                <w:rFonts w:ascii="Times New Roman" w:hAnsi="Times New Roman" w:cs="Times New Roman"/>
                <w:sz w:val="14"/>
                <w:szCs w:val="14"/>
              </w:rPr>
            </w:pPr>
            <w:r>
              <w:rPr>
                <w:rFonts w:ascii="Times New Roman" w:hAnsi="Times New Roman" w:cs="Times New Roman"/>
                <w:sz w:val="14"/>
                <w:szCs w:val="14"/>
              </w:rPr>
              <w:t>2.2. Исполнитель имеет право отказать Заказчику в приеме проб (материала) для исследований в случае неоплаты Заказчиком  предыдущего объема оказанных Услуг, в срок, установленный в п.3.2 Контракта.</w:t>
            </w:r>
          </w:p>
          <w:p w:rsidR="000117C2" w:rsidRDefault="00CA6F21">
            <w:pPr>
              <w:rPr>
                <w:rFonts w:ascii="Times New Roman" w:hAnsi="Times New Roman" w:cs="Times New Roman"/>
                <w:sz w:val="14"/>
                <w:szCs w:val="14"/>
              </w:rPr>
            </w:pPr>
            <w:r>
              <w:rPr>
                <w:rFonts w:ascii="Times New Roman" w:hAnsi="Times New Roman" w:cs="Times New Roman"/>
                <w:sz w:val="14"/>
                <w:szCs w:val="14"/>
              </w:rPr>
              <w:t>объема оказанных Услуг, в срок, установленный в п.3.2 Контракта.</w:t>
            </w:r>
          </w:p>
          <w:p w:rsidR="000117C2" w:rsidRDefault="00CA6F21">
            <w:pPr>
              <w:rPr>
                <w:rFonts w:ascii="Times New Roman" w:hAnsi="Times New Roman" w:cs="Times New Roman"/>
                <w:sz w:val="14"/>
                <w:szCs w:val="14"/>
              </w:rPr>
            </w:pPr>
            <w:r>
              <w:rPr>
                <w:rFonts w:ascii="Times New Roman" w:hAnsi="Times New Roman" w:cs="Times New Roman"/>
                <w:sz w:val="14"/>
                <w:szCs w:val="14"/>
              </w:rPr>
              <w:t>2.3. Заказчик обязуется:</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 xml:space="preserve">2.3.1 возвращать Исполнителю акт об оказании услуг (выполнении работ), подписанный и заверенный печатью Заказчика при отсутствии претензий к качеству этапа Услуг в течение 5 (пяти) рабочих дней со дня его получения. В </w:t>
            </w:r>
            <w:proofErr w:type="gramStart"/>
            <w:r>
              <w:rPr>
                <w:rFonts w:ascii="Times New Roman" w:hAnsi="Times New Roman" w:cs="Times New Roman"/>
                <w:sz w:val="14"/>
                <w:szCs w:val="14"/>
              </w:rPr>
              <w:t>случае</w:t>
            </w:r>
            <w:proofErr w:type="gramEnd"/>
            <w:r>
              <w:rPr>
                <w:rFonts w:ascii="Times New Roman" w:hAnsi="Times New Roman" w:cs="Times New Roman"/>
                <w:sz w:val="14"/>
                <w:szCs w:val="14"/>
              </w:rPr>
              <w:t xml:space="preserve"> подписания  акта об оказании услуг (выполнении работ)  уполномоченным представителем к акту об оказании услуг (выполнении работ)   приложить заверенную Заказчиком копию доверенности (приказа)  на право подписания уполномоченным представителем акта об оказании услуг (выполнении работ).</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 xml:space="preserve">В </w:t>
            </w:r>
            <w:proofErr w:type="gramStart"/>
            <w:r>
              <w:rPr>
                <w:rFonts w:ascii="Times New Roman" w:hAnsi="Times New Roman" w:cs="Times New Roman"/>
                <w:sz w:val="14"/>
                <w:szCs w:val="14"/>
              </w:rPr>
              <w:t>случае</w:t>
            </w:r>
            <w:proofErr w:type="gramEnd"/>
            <w:r>
              <w:rPr>
                <w:rFonts w:ascii="Times New Roman" w:hAnsi="Times New Roman" w:cs="Times New Roman"/>
                <w:sz w:val="14"/>
                <w:szCs w:val="14"/>
              </w:rPr>
              <w:t xml:space="preserve"> невозвращения подписанного акта об оказании услуг (выполнении работ) и не направления Исполнителю возражений относительно его подписания в установленный срок, Услуги считаются оказанными надлежащим образом и принятыми Заказчиком.</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2.3.2 оплачивать Услуги Исполнителя в срок  и в порядке, определенном в разделе 3  настоящего Контракта.</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2.4. Заказчик имеет право отказаться от выполнения Контракта в любое время до подписания акта об оказании услуг (выполнении работ), уплатив Исполнителю стоимость оказанных Услуг, до получения уведомления об отказе от выполнения Контракта.</w:t>
            </w:r>
          </w:p>
        </w:tc>
      </w:tr>
      <w:tr w:rsidR="000117C2">
        <w:trPr>
          <w:gridAfter w:val="1"/>
          <w:wAfter w:w="85" w:type="dxa"/>
          <w:cantSplit/>
          <w:trHeight w:val="377"/>
        </w:trPr>
        <w:tc>
          <w:tcPr>
            <w:tcW w:w="162" w:type="dxa"/>
            <w:gridSpan w:val="2"/>
            <w:shd w:val="clear" w:color="auto" w:fill="auto"/>
            <w:vAlign w:val="bottom"/>
          </w:tcPr>
          <w:p w:rsidR="000117C2" w:rsidRDefault="000117C2">
            <w:pPr>
              <w:rPr>
                <w:sz w:val="14"/>
                <w:szCs w:val="14"/>
              </w:rPr>
            </w:pPr>
          </w:p>
        </w:tc>
        <w:tc>
          <w:tcPr>
            <w:tcW w:w="2815" w:type="dxa"/>
            <w:gridSpan w:val="3"/>
            <w:shd w:val="clear" w:color="auto" w:fill="auto"/>
            <w:vAlign w:val="bottom"/>
          </w:tcPr>
          <w:p w:rsidR="000117C2" w:rsidRDefault="000117C2">
            <w:pPr>
              <w:rPr>
                <w:sz w:val="14"/>
                <w:szCs w:val="14"/>
              </w:rPr>
            </w:pPr>
          </w:p>
        </w:tc>
        <w:tc>
          <w:tcPr>
            <w:tcW w:w="768" w:type="dxa"/>
            <w:shd w:val="clear" w:color="auto" w:fill="auto"/>
            <w:vAlign w:val="bottom"/>
          </w:tcPr>
          <w:p w:rsidR="000117C2" w:rsidRDefault="000117C2">
            <w:pPr>
              <w:rPr>
                <w:sz w:val="14"/>
                <w:szCs w:val="14"/>
              </w:rPr>
            </w:pPr>
          </w:p>
        </w:tc>
        <w:tc>
          <w:tcPr>
            <w:tcW w:w="743" w:type="dxa"/>
            <w:gridSpan w:val="2"/>
            <w:shd w:val="clear" w:color="auto" w:fill="auto"/>
            <w:vAlign w:val="bottom"/>
          </w:tcPr>
          <w:p w:rsidR="000117C2" w:rsidRDefault="000117C2">
            <w:pPr>
              <w:rPr>
                <w:sz w:val="14"/>
                <w:szCs w:val="14"/>
              </w:rPr>
            </w:pPr>
          </w:p>
        </w:tc>
        <w:tc>
          <w:tcPr>
            <w:tcW w:w="667" w:type="dxa"/>
            <w:gridSpan w:val="2"/>
            <w:shd w:val="clear" w:color="auto" w:fill="auto"/>
            <w:vAlign w:val="bottom"/>
          </w:tcPr>
          <w:p w:rsidR="000117C2" w:rsidRDefault="000117C2">
            <w:pPr>
              <w:rPr>
                <w:sz w:val="14"/>
                <w:szCs w:val="14"/>
              </w:rPr>
            </w:pPr>
          </w:p>
        </w:tc>
        <w:tc>
          <w:tcPr>
            <w:tcW w:w="918" w:type="dxa"/>
            <w:gridSpan w:val="2"/>
            <w:shd w:val="clear" w:color="auto" w:fill="auto"/>
            <w:vAlign w:val="bottom"/>
          </w:tcPr>
          <w:p w:rsidR="000117C2" w:rsidRDefault="000117C2">
            <w:pPr>
              <w:rPr>
                <w:sz w:val="14"/>
                <w:szCs w:val="14"/>
              </w:rPr>
            </w:pPr>
          </w:p>
        </w:tc>
        <w:tc>
          <w:tcPr>
            <w:tcW w:w="548" w:type="dxa"/>
            <w:gridSpan w:val="2"/>
            <w:shd w:val="clear" w:color="auto" w:fill="auto"/>
            <w:vAlign w:val="bottom"/>
          </w:tcPr>
          <w:p w:rsidR="000117C2" w:rsidRDefault="000117C2">
            <w:pPr>
              <w:rPr>
                <w:sz w:val="14"/>
                <w:szCs w:val="14"/>
              </w:rPr>
            </w:pPr>
          </w:p>
        </w:tc>
        <w:tc>
          <w:tcPr>
            <w:tcW w:w="484" w:type="dxa"/>
            <w:gridSpan w:val="2"/>
            <w:shd w:val="clear" w:color="auto" w:fill="auto"/>
            <w:vAlign w:val="bottom"/>
          </w:tcPr>
          <w:p w:rsidR="000117C2" w:rsidRDefault="000117C2">
            <w:pPr>
              <w:rPr>
                <w:sz w:val="14"/>
                <w:szCs w:val="14"/>
              </w:rPr>
            </w:pPr>
          </w:p>
        </w:tc>
        <w:tc>
          <w:tcPr>
            <w:tcW w:w="2250" w:type="dxa"/>
            <w:gridSpan w:val="2"/>
            <w:shd w:val="clear" w:color="auto" w:fill="auto"/>
            <w:vAlign w:val="bottom"/>
          </w:tcPr>
          <w:p w:rsidR="000117C2" w:rsidRDefault="000117C2">
            <w:pPr>
              <w:rPr>
                <w:rFonts w:ascii="Times New Roman" w:hAnsi="Times New Roman" w:cs="Times New Roman"/>
                <w:sz w:val="14"/>
                <w:szCs w:val="14"/>
              </w:rPr>
            </w:pPr>
          </w:p>
        </w:tc>
        <w:tc>
          <w:tcPr>
            <w:tcW w:w="57" w:type="dxa"/>
            <w:shd w:val="clear" w:color="auto" w:fill="auto"/>
            <w:vAlign w:val="bottom"/>
          </w:tcPr>
          <w:p w:rsidR="000117C2" w:rsidRDefault="000117C2">
            <w:pPr>
              <w:rPr>
                <w:sz w:val="14"/>
                <w:szCs w:val="14"/>
              </w:rPr>
            </w:pPr>
          </w:p>
        </w:tc>
      </w:tr>
      <w:tr w:rsidR="000117C2">
        <w:trPr>
          <w:cantSplit/>
          <w:trHeight w:val="11027"/>
        </w:trPr>
        <w:tc>
          <w:tcPr>
            <w:tcW w:w="9496" w:type="dxa"/>
            <w:gridSpan w:val="20"/>
            <w:shd w:val="clear" w:color="auto" w:fill="auto"/>
            <w:vAlign w:val="bottom"/>
          </w:tcPr>
          <w:p w:rsidR="000117C2" w:rsidRDefault="00CA6F21">
            <w:pPr>
              <w:jc w:val="center"/>
              <w:rPr>
                <w:rFonts w:ascii="Times New Roman" w:hAnsi="Times New Roman" w:cs="Times New Roman"/>
                <w:sz w:val="14"/>
                <w:szCs w:val="14"/>
              </w:rPr>
            </w:pPr>
            <w:r>
              <w:rPr>
                <w:rFonts w:ascii="Times New Roman" w:hAnsi="Times New Roman" w:cs="Times New Roman"/>
                <w:b/>
                <w:i/>
                <w:sz w:val="14"/>
                <w:szCs w:val="14"/>
              </w:rPr>
              <w:t>3</w:t>
            </w:r>
            <w:r>
              <w:rPr>
                <w:rFonts w:ascii="Times New Roman" w:hAnsi="Times New Roman" w:cs="Times New Roman"/>
                <w:b/>
                <w:sz w:val="14"/>
                <w:szCs w:val="14"/>
              </w:rPr>
              <w:t>. Цена Контракта и порядок расчетов</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3.1.Цена Контракта определяется стоимостью Услуг, подлежащих оказанию по настоящему Контракту, и составляет: Сорок пять тысяч восемьсот сорок рублей ноль копеек. НДС на лабораторные исследования не предусмотрен. Ст. 149 НК РФ.</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Указанная цена контракта является твердой и определяется на весь срок исполнения контракта. Цена контракта может быть снижена по соглашению сторон без изменения предусмотренных  настоящим контрактом объема и качества оказываемых услуг и других условий исполнения контракта. Плательщиком по контракту является НИИ кардиологии Томского НИМЦ.</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3.2. Заказчик производит предварительную оплату в размере 30% от цены этапа настоящего Контракта перечислением денежных средств на лицевой счет Исполнителя на основании счета Исполнителя</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В дальнейшем, Заказчик производит оплату в размере 70% от цены этапа настоящего Контракта на основании счета – фактуры в течение 7 (семи) рабочих дней со дня подписания сторонами акта об оказании услуг (выполнении работ).</w:t>
            </w:r>
          </w:p>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4.  Ответственность сторон</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4.1. За неисполнение или ненадлежащее выполнение своих обязательств по настоящему Контракту стороны несут ответственность в соответствии с действующим законодательством РФ.</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 xml:space="preserve">4.2.  В </w:t>
            </w:r>
            <w:proofErr w:type="gramStart"/>
            <w:r>
              <w:rPr>
                <w:rFonts w:ascii="Times New Roman" w:hAnsi="Times New Roman" w:cs="Times New Roman"/>
                <w:sz w:val="14"/>
                <w:szCs w:val="14"/>
              </w:rPr>
              <w:t>случае</w:t>
            </w:r>
            <w:proofErr w:type="gramEnd"/>
            <w:r>
              <w:rPr>
                <w:rFonts w:ascii="Times New Roman" w:hAnsi="Times New Roman" w:cs="Times New Roman"/>
                <w:sz w:val="14"/>
                <w:szCs w:val="14"/>
              </w:rPr>
              <w:t xml:space="preserve"> просрочки исполнения стороной обязательства, предусмотренного контрактом,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ставки Центрального банка Российской Федерации от суммы неисполненных обязательств</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 xml:space="preserve">4.3. В </w:t>
            </w:r>
            <w:proofErr w:type="gramStart"/>
            <w:r>
              <w:rPr>
                <w:rFonts w:ascii="Times New Roman" w:hAnsi="Times New Roman" w:cs="Times New Roman"/>
                <w:sz w:val="14"/>
                <w:szCs w:val="14"/>
              </w:rPr>
              <w:t>случае</w:t>
            </w:r>
            <w:proofErr w:type="gramEnd"/>
            <w:r>
              <w:rPr>
                <w:rFonts w:ascii="Times New Roman" w:hAnsi="Times New Roman" w:cs="Times New Roman"/>
                <w:sz w:val="14"/>
                <w:szCs w:val="14"/>
              </w:rPr>
              <w:t xml:space="preserve"> возникновения споров между Сторонами по вопросам исполнения условий настоящего Контракта, Стороны примут все меры для их решения в претензионном порядке. При этом</w:t>
            </w:r>
            <w:proofErr w:type="gramStart"/>
            <w:r>
              <w:rPr>
                <w:rFonts w:ascii="Times New Roman" w:hAnsi="Times New Roman" w:cs="Times New Roman"/>
                <w:sz w:val="14"/>
                <w:szCs w:val="14"/>
              </w:rPr>
              <w:t>,</w:t>
            </w:r>
            <w:proofErr w:type="gramEnd"/>
            <w:r>
              <w:rPr>
                <w:rFonts w:ascii="Times New Roman" w:hAnsi="Times New Roman" w:cs="Times New Roman"/>
                <w:sz w:val="14"/>
                <w:szCs w:val="14"/>
              </w:rPr>
              <w:t xml:space="preserve"> письменный ответ на претензию должен быть дан стороной в течение 7 (семи) рабочих дней со дня ее получения (доставления).</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4.4. Пункты настоящего раздела Контракта, предусматривающие уплату сторонами пени,  вступают в силу при наличии письменной претензии одной из сторон.</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 xml:space="preserve">4.5. В </w:t>
            </w:r>
            <w:proofErr w:type="gramStart"/>
            <w:r>
              <w:rPr>
                <w:rFonts w:ascii="Times New Roman" w:hAnsi="Times New Roman" w:cs="Times New Roman"/>
                <w:sz w:val="14"/>
                <w:szCs w:val="14"/>
              </w:rPr>
              <w:t>случае</w:t>
            </w:r>
            <w:proofErr w:type="gramEnd"/>
            <w:r>
              <w:rPr>
                <w:rFonts w:ascii="Times New Roman" w:hAnsi="Times New Roman" w:cs="Times New Roman"/>
                <w:sz w:val="14"/>
                <w:szCs w:val="14"/>
              </w:rPr>
              <w:t xml:space="preserve">  не достижения согласия между Сторонами спор передается на рассмотрение в Арбитражный суд Томской области.</w:t>
            </w:r>
          </w:p>
          <w:p w:rsidR="000117C2" w:rsidRDefault="00CA6F21">
            <w:pPr>
              <w:jc w:val="center"/>
              <w:rPr>
                <w:rFonts w:ascii="Times New Roman" w:hAnsi="Times New Roman" w:cs="Times New Roman"/>
                <w:sz w:val="14"/>
                <w:szCs w:val="14"/>
              </w:rPr>
            </w:pPr>
            <w:r>
              <w:rPr>
                <w:rFonts w:ascii="Times New Roman" w:hAnsi="Times New Roman" w:cs="Times New Roman"/>
                <w:b/>
                <w:sz w:val="14"/>
                <w:szCs w:val="14"/>
              </w:rPr>
              <w:t>5. Прочие условия</w:t>
            </w:r>
          </w:p>
          <w:p w:rsidR="000117C2" w:rsidRDefault="00CA6F21">
            <w:pPr>
              <w:jc w:val="both"/>
              <w:rPr>
                <w:rFonts w:ascii="Times New Roman" w:hAnsi="Times New Roman" w:cs="Times New Roman"/>
                <w:sz w:val="14"/>
                <w:szCs w:val="14"/>
              </w:rPr>
            </w:pPr>
            <w:proofErr w:type="gramStart"/>
            <w:r>
              <w:rPr>
                <w:rFonts w:ascii="Times New Roman" w:hAnsi="Times New Roman" w:cs="Times New Roman"/>
                <w:sz w:val="14"/>
                <w:szCs w:val="14"/>
              </w:rPr>
              <w:t>5.1 В случае несоответствия продукции (товаров), поступивших на исследование (испытание) требованиям технических регламентов, государственных санитарно-эпидемиологических правил и нормативов, влекущего угрозу жизни или здоровью граждан, Исполнитель информирует об этом уполномоченные органы, о чём сообщает Заказчику в письменной форме  (основание – п. 4 ст. 5 Федерального закона от 29 июля 2004 г. N 98-ФЗ ""О коммерческой тайне"", п.1 ст.2, п.2</w:t>
            </w:r>
            <w:proofErr w:type="gramEnd"/>
            <w:r>
              <w:rPr>
                <w:rFonts w:ascii="Times New Roman" w:hAnsi="Times New Roman" w:cs="Times New Roman"/>
                <w:sz w:val="14"/>
                <w:szCs w:val="14"/>
              </w:rPr>
              <w:t xml:space="preserve"> ст.46 Федерального закона от 30 марта 1999 г. N 52-ФЗ ""О санитарно-эпидемиологическом благополучии населения"".</w:t>
            </w:r>
          </w:p>
          <w:p w:rsidR="000117C2" w:rsidRDefault="00CA6F21">
            <w:pPr>
              <w:jc w:val="both"/>
              <w:rPr>
                <w:rFonts w:ascii="Times New Roman" w:hAnsi="Times New Roman" w:cs="Times New Roman"/>
                <w:sz w:val="14"/>
                <w:szCs w:val="14"/>
              </w:rPr>
            </w:pPr>
            <w:proofErr w:type="gramStart"/>
            <w:r>
              <w:rPr>
                <w:rFonts w:ascii="Times New Roman" w:hAnsi="Times New Roman" w:cs="Times New Roman"/>
                <w:sz w:val="14"/>
                <w:szCs w:val="14"/>
              </w:rPr>
              <w:t>Согласно п.20.22 Устава ФБУЗ «Центр гигиены и эпидемиологии в Томской области» информирует уполномоченные органы о продукции (товарах), поступивших на исследование (испытание) в учреждение по анонимному обращению или от третьих лиц, в случае их несоответствия, влекущего угрозу жизни или здоровью граждан).</w:t>
            </w:r>
            <w:proofErr w:type="gramEnd"/>
          </w:p>
          <w:p w:rsidR="000117C2" w:rsidRDefault="00CA6F21">
            <w:pPr>
              <w:jc w:val="both"/>
              <w:rPr>
                <w:rFonts w:ascii="Times New Roman" w:hAnsi="Times New Roman" w:cs="Times New Roman"/>
                <w:sz w:val="14"/>
                <w:szCs w:val="14"/>
              </w:rPr>
            </w:pPr>
            <w:proofErr w:type="gramStart"/>
            <w:r>
              <w:rPr>
                <w:rFonts w:ascii="Times New Roman" w:hAnsi="Times New Roman" w:cs="Times New Roman"/>
                <w:sz w:val="14"/>
                <w:szCs w:val="14"/>
              </w:rPr>
              <w:t>Согласно требованиям приказа Минэкономразвития России от 24 октября 2020 года №704 «Об утверждении Положения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Федеральную службу по аккредитации, порядке и сроках представления аккредитованными лицами таких сведений в Федеральную службу по аккредитации» (далее – приказ), Исполнитель</w:t>
            </w:r>
            <w:proofErr w:type="gramEnd"/>
            <w:r>
              <w:rPr>
                <w:rFonts w:ascii="Times New Roman" w:hAnsi="Times New Roman" w:cs="Times New Roman"/>
                <w:sz w:val="14"/>
                <w:szCs w:val="14"/>
              </w:rPr>
              <w:t xml:space="preserve"> передает установленные приказом сведения во ФГИС </w:t>
            </w:r>
            <w:proofErr w:type="spellStart"/>
            <w:r>
              <w:rPr>
                <w:rFonts w:ascii="Times New Roman" w:hAnsi="Times New Roman" w:cs="Times New Roman"/>
                <w:sz w:val="14"/>
                <w:szCs w:val="14"/>
              </w:rPr>
              <w:t>Росаккредитации</w:t>
            </w:r>
            <w:proofErr w:type="spellEnd"/>
            <w:r>
              <w:rPr>
                <w:rFonts w:ascii="Times New Roman" w:hAnsi="Times New Roman" w:cs="Times New Roman"/>
                <w:sz w:val="14"/>
                <w:szCs w:val="14"/>
              </w:rPr>
              <w:t>."</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5.2. Счет-фактура, акт об оказании услуг, претензии, письма по вопросам исполнения условий настоящего Контракта, уведомления, извещения, требования, другие юридически значимые документы и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такого документа стороне или ее представителю.</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Юридически значимые документы и сообщения подлежат передаче путем почтовой, электронной или факсимильной  связи по адресам, указанным в настоящем Контракте.</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Документ (сообщение) считается доставленным и в тех случаях, если он поступил стороне, которой он направлен, но по обстоятельствам, зависящим от нее, не был ему вручен или сторона не ознакомилась с ним.</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Заказчик несет риск последствий неполучения юридически значимых документов и сообщений, доставленных по адресу, указанному в настоящем Контракте, а также риск отсутствия по указанному адресу своего органа или представителя. Юридически значимые документы и сообщения, доставленные по адресу, указанному в настоящем Контракте, считаются полученными Заказчиком, даже если он не находится по указанному адресу.</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5.3. Документы, указанные в п.5.2 настоящего Контракта, полученные по факсу или по электронной почте, действуют до момента получения сторонами соответствующих оригиналов.</w:t>
            </w:r>
          </w:p>
          <w:p w:rsidR="000117C2" w:rsidRDefault="00CA6F21">
            <w:pPr>
              <w:rPr>
                <w:rFonts w:ascii="Times New Roman" w:hAnsi="Times New Roman" w:cs="Times New Roman"/>
                <w:sz w:val="14"/>
                <w:szCs w:val="14"/>
              </w:rPr>
            </w:pPr>
            <w:r>
              <w:rPr>
                <w:rFonts w:ascii="Times New Roman" w:hAnsi="Times New Roman" w:cs="Times New Roman"/>
                <w:sz w:val="14"/>
                <w:szCs w:val="14"/>
              </w:rPr>
              <w:t>5.4. Все изменения и дополнения к настоящему Контракту действительны лишь в том случае, если они оформлены в письменной форме и подписаны сторонами.</w:t>
            </w:r>
          </w:p>
          <w:p w:rsidR="000117C2" w:rsidRDefault="00CA6F21">
            <w:pPr>
              <w:rPr>
                <w:rFonts w:ascii="Times New Roman" w:hAnsi="Times New Roman" w:cs="Times New Roman"/>
                <w:sz w:val="14"/>
                <w:szCs w:val="14"/>
              </w:rPr>
            </w:pPr>
            <w:r>
              <w:rPr>
                <w:rFonts w:ascii="Times New Roman" w:hAnsi="Times New Roman" w:cs="Times New Roman"/>
                <w:sz w:val="14"/>
                <w:szCs w:val="14"/>
              </w:rPr>
              <w:t>5.5. Настоящий Контра</w:t>
            </w:r>
            <w:proofErr w:type="gramStart"/>
            <w:r>
              <w:rPr>
                <w:rFonts w:ascii="Times New Roman" w:hAnsi="Times New Roman" w:cs="Times New Roman"/>
                <w:sz w:val="14"/>
                <w:szCs w:val="14"/>
              </w:rPr>
              <w:t>кт вст</w:t>
            </w:r>
            <w:proofErr w:type="gramEnd"/>
            <w:r>
              <w:rPr>
                <w:rFonts w:ascii="Times New Roman" w:hAnsi="Times New Roman" w:cs="Times New Roman"/>
                <w:sz w:val="14"/>
                <w:szCs w:val="14"/>
              </w:rPr>
              <w:t>упает в силу с момента поступления на счёт Исполнителя предварительной оплаты в соответствии с п. 3.2 Контракта и действует до 30.12.2026 года,  в части  неисполненных обязательств - до полного исполнения сторонами своих обязательств.</w:t>
            </w:r>
          </w:p>
          <w:p w:rsidR="000117C2" w:rsidRDefault="00CA6F21">
            <w:pPr>
              <w:rPr>
                <w:rFonts w:ascii="Times New Roman" w:hAnsi="Times New Roman" w:cs="Times New Roman"/>
                <w:sz w:val="14"/>
                <w:szCs w:val="14"/>
              </w:rPr>
            </w:pPr>
            <w:r>
              <w:rPr>
                <w:rFonts w:ascii="Times New Roman" w:hAnsi="Times New Roman" w:cs="Times New Roman"/>
                <w:sz w:val="14"/>
                <w:szCs w:val="14"/>
              </w:rPr>
              <w:t>5.6. Во всем ином, не урегулированном в настоящем Контракте, стороны руководствуются действующим законодательством.</w:t>
            </w:r>
          </w:p>
          <w:p w:rsidR="000117C2" w:rsidRDefault="00CA6F21">
            <w:pPr>
              <w:rPr>
                <w:rFonts w:ascii="Times New Roman" w:hAnsi="Times New Roman" w:cs="Times New Roman"/>
                <w:sz w:val="14"/>
                <w:szCs w:val="14"/>
              </w:rPr>
            </w:pPr>
            <w:r>
              <w:rPr>
                <w:rFonts w:ascii="Times New Roman" w:hAnsi="Times New Roman" w:cs="Times New Roman"/>
                <w:sz w:val="14"/>
                <w:szCs w:val="14"/>
              </w:rPr>
              <w:t>5.7. Настоящий Контракт составлен в двух экземплярах, имеющих равную юридическую силу, по одному для каждой из сторон.</w:t>
            </w:r>
          </w:p>
          <w:p w:rsidR="000117C2" w:rsidRDefault="00CA6F21">
            <w:pPr>
              <w:jc w:val="both"/>
              <w:rPr>
                <w:rFonts w:ascii="Times New Roman" w:hAnsi="Times New Roman" w:cs="Times New Roman"/>
                <w:sz w:val="14"/>
                <w:szCs w:val="14"/>
              </w:rPr>
            </w:pPr>
            <w:r>
              <w:rPr>
                <w:rFonts w:ascii="Times New Roman" w:hAnsi="Times New Roman" w:cs="Times New Roman"/>
                <w:sz w:val="14"/>
                <w:szCs w:val="14"/>
              </w:rPr>
              <w:t>5.8. Исполнитель гарантирует, что он не находится в реестре недобросовестных поставщиков, а также, что соответствует требованиям, которые перечислены  в части 1 статьи 31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tc>
      </w:tr>
      <w:tr w:rsidR="000117C2">
        <w:trPr>
          <w:cantSplit/>
          <w:trHeight w:val="280"/>
        </w:trPr>
        <w:tc>
          <w:tcPr>
            <w:tcW w:w="9496" w:type="dxa"/>
            <w:gridSpan w:val="20"/>
            <w:shd w:val="clear" w:color="auto" w:fill="auto"/>
            <w:vAlign w:val="bottom"/>
          </w:tcPr>
          <w:p w:rsidR="000117C2" w:rsidRDefault="000117C2">
            <w:pPr>
              <w:jc w:val="both"/>
              <w:rPr>
                <w:sz w:val="14"/>
                <w:szCs w:val="14"/>
              </w:rPr>
            </w:pPr>
          </w:p>
        </w:tc>
      </w:tr>
      <w:tr w:rsidR="000117C2">
        <w:trPr>
          <w:cantSplit/>
          <w:trHeight w:val="213"/>
        </w:trPr>
        <w:tc>
          <w:tcPr>
            <w:tcW w:w="9496" w:type="dxa"/>
            <w:gridSpan w:val="20"/>
            <w:shd w:val="clear" w:color="auto" w:fill="auto"/>
            <w:vAlign w:val="center"/>
          </w:tcPr>
          <w:p w:rsidR="000117C2" w:rsidRDefault="000117C2">
            <w:pPr>
              <w:jc w:val="both"/>
              <w:rPr>
                <w:sz w:val="14"/>
                <w:szCs w:val="14"/>
              </w:rPr>
            </w:pPr>
          </w:p>
        </w:tc>
      </w:tr>
      <w:tr w:rsidR="000117C2">
        <w:trPr>
          <w:cantSplit/>
        </w:trPr>
        <w:tc>
          <w:tcPr>
            <w:tcW w:w="9496" w:type="dxa"/>
            <w:gridSpan w:val="20"/>
            <w:shd w:val="clear" w:color="auto" w:fill="auto"/>
            <w:vAlign w:val="bottom"/>
          </w:tcPr>
          <w:p w:rsidR="000117C2" w:rsidRPr="0014069A" w:rsidRDefault="00CA6F21">
            <w:pPr>
              <w:jc w:val="center"/>
              <w:rPr>
                <w:rFonts w:ascii="Times New Roman" w:hAnsi="Times New Roman" w:cs="Times New Roman"/>
                <w:sz w:val="14"/>
                <w:szCs w:val="14"/>
              </w:rPr>
            </w:pPr>
            <w:r w:rsidRPr="0014069A">
              <w:rPr>
                <w:rFonts w:ascii="Times New Roman" w:hAnsi="Times New Roman" w:cs="Times New Roman"/>
                <w:b/>
                <w:sz w:val="14"/>
                <w:szCs w:val="14"/>
              </w:rPr>
              <w:lastRenderedPageBreak/>
              <w:t>Адреса, банковские реквизиты и подписи сторон</w:t>
            </w:r>
          </w:p>
        </w:tc>
      </w:tr>
      <w:tr w:rsidR="000117C2">
        <w:trPr>
          <w:gridAfter w:val="1"/>
          <w:wAfter w:w="85" w:type="dxa"/>
          <w:cantSplit/>
          <w:trHeight w:val="11"/>
        </w:trPr>
        <w:tc>
          <w:tcPr>
            <w:tcW w:w="162" w:type="dxa"/>
            <w:gridSpan w:val="2"/>
            <w:shd w:val="clear" w:color="auto" w:fill="auto"/>
            <w:vAlign w:val="bottom"/>
          </w:tcPr>
          <w:p w:rsidR="000117C2" w:rsidRDefault="000117C2">
            <w:pPr>
              <w:jc w:val="center"/>
              <w:rPr>
                <w:sz w:val="14"/>
                <w:szCs w:val="14"/>
              </w:rPr>
            </w:pPr>
          </w:p>
        </w:tc>
        <w:tc>
          <w:tcPr>
            <w:tcW w:w="2815" w:type="dxa"/>
            <w:gridSpan w:val="3"/>
            <w:shd w:val="clear" w:color="auto" w:fill="auto"/>
            <w:vAlign w:val="bottom"/>
          </w:tcPr>
          <w:p w:rsidR="000117C2" w:rsidRDefault="000117C2">
            <w:pPr>
              <w:rPr>
                <w:sz w:val="14"/>
                <w:szCs w:val="14"/>
              </w:rPr>
            </w:pPr>
          </w:p>
        </w:tc>
        <w:tc>
          <w:tcPr>
            <w:tcW w:w="768" w:type="dxa"/>
            <w:shd w:val="clear" w:color="auto" w:fill="auto"/>
            <w:vAlign w:val="bottom"/>
          </w:tcPr>
          <w:p w:rsidR="000117C2" w:rsidRDefault="000117C2">
            <w:pPr>
              <w:rPr>
                <w:sz w:val="14"/>
                <w:szCs w:val="14"/>
              </w:rPr>
            </w:pPr>
          </w:p>
        </w:tc>
        <w:tc>
          <w:tcPr>
            <w:tcW w:w="743" w:type="dxa"/>
            <w:gridSpan w:val="2"/>
            <w:shd w:val="clear" w:color="auto" w:fill="auto"/>
            <w:vAlign w:val="bottom"/>
          </w:tcPr>
          <w:p w:rsidR="000117C2" w:rsidRDefault="000117C2">
            <w:pPr>
              <w:rPr>
                <w:sz w:val="14"/>
                <w:szCs w:val="14"/>
              </w:rPr>
            </w:pPr>
          </w:p>
        </w:tc>
        <w:tc>
          <w:tcPr>
            <w:tcW w:w="667" w:type="dxa"/>
            <w:gridSpan w:val="2"/>
            <w:shd w:val="clear" w:color="auto" w:fill="auto"/>
            <w:vAlign w:val="bottom"/>
          </w:tcPr>
          <w:p w:rsidR="000117C2" w:rsidRDefault="000117C2">
            <w:pPr>
              <w:rPr>
                <w:sz w:val="14"/>
                <w:szCs w:val="14"/>
              </w:rPr>
            </w:pPr>
          </w:p>
        </w:tc>
        <w:tc>
          <w:tcPr>
            <w:tcW w:w="918" w:type="dxa"/>
            <w:gridSpan w:val="2"/>
            <w:shd w:val="clear" w:color="auto" w:fill="auto"/>
            <w:vAlign w:val="bottom"/>
          </w:tcPr>
          <w:p w:rsidR="000117C2" w:rsidRDefault="000117C2">
            <w:pPr>
              <w:rPr>
                <w:sz w:val="14"/>
                <w:szCs w:val="14"/>
              </w:rPr>
            </w:pPr>
          </w:p>
        </w:tc>
        <w:tc>
          <w:tcPr>
            <w:tcW w:w="548" w:type="dxa"/>
            <w:gridSpan w:val="2"/>
            <w:shd w:val="clear" w:color="auto" w:fill="auto"/>
            <w:vAlign w:val="bottom"/>
          </w:tcPr>
          <w:p w:rsidR="000117C2" w:rsidRDefault="000117C2">
            <w:pPr>
              <w:rPr>
                <w:sz w:val="14"/>
                <w:szCs w:val="14"/>
              </w:rPr>
            </w:pPr>
          </w:p>
        </w:tc>
        <w:tc>
          <w:tcPr>
            <w:tcW w:w="484" w:type="dxa"/>
            <w:gridSpan w:val="2"/>
            <w:shd w:val="clear" w:color="auto" w:fill="auto"/>
            <w:vAlign w:val="bottom"/>
          </w:tcPr>
          <w:p w:rsidR="000117C2" w:rsidRDefault="000117C2">
            <w:pPr>
              <w:rPr>
                <w:sz w:val="14"/>
                <w:szCs w:val="14"/>
              </w:rPr>
            </w:pPr>
          </w:p>
        </w:tc>
        <w:tc>
          <w:tcPr>
            <w:tcW w:w="2250" w:type="dxa"/>
            <w:gridSpan w:val="2"/>
            <w:shd w:val="clear" w:color="auto" w:fill="auto"/>
            <w:vAlign w:val="bottom"/>
          </w:tcPr>
          <w:p w:rsidR="000117C2" w:rsidRDefault="000117C2">
            <w:pPr>
              <w:rPr>
                <w:sz w:val="14"/>
                <w:szCs w:val="14"/>
              </w:rPr>
            </w:pPr>
          </w:p>
        </w:tc>
        <w:tc>
          <w:tcPr>
            <w:tcW w:w="57" w:type="dxa"/>
            <w:shd w:val="clear" w:color="auto" w:fill="auto"/>
            <w:vAlign w:val="bottom"/>
          </w:tcPr>
          <w:p w:rsidR="000117C2" w:rsidRDefault="000117C2">
            <w:pPr>
              <w:rPr>
                <w:sz w:val="14"/>
                <w:szCs w:val="14"/>
              </w:rPr>
            </w:pPr>
          </w:p>
        </w:tc>
      </w:tr>
      <w:tr w:rsidR="000117C2">
        <w:trPr>
          <w:cantSplit/>
          <w:trHeight w:val="11"/>
        </w:trPr>
        <w:tc>
          <w:tcPr>
            <w:tcW w:w="9496" w:type="dxa"/>
            <w:gridSpan w:val="20"/>
            <w:shd w:val="clear" w:color="auto" w:fill="auto"/>
            <w:vAlign w:val="bottom"/>
          </w:tcPr>
          <w:p w:rsidR="000117C2" w:rsidRDefault="000117C2">
            <w:pPr>
              <w:jc w:val="center"/>
              <w:rPr>
                <w:sz w:val="14"/>
                <w:szCs w:val="14"/>
              </w:rPr>
            </w:pPr>
          </w:p>
        </w:tc>
      </w:tr>
      <w:tr w:rsidR="000117C2" w:rsidTr="0014069A">
        <w:trPr>
          <w:cantSplit/>
          <w:trHeight w:val="225"/>
        </w:trPr>
        <w:tc>
          <w:tcPr>
            <w:tcW w:w="9496" w:type="dxa"/>
            <w:gridSpan w:val="20"/>
            <w:shd w:val="clear" w:color="auto" w:fill="auto"/>
            <w:vAlign w:val="bottom"/>
          </w:tcPr>
          <w:p w:rsidR="000117C2" w:rsidRDefault="000117C2">
            <w:pPr>
              <w:jc w:val="center"/>
              <w:rPr>
                <w:sz w:val="14"/>
                <w:szCs w:val="14"/>
              </w:rPr>
            </w:pPr>
          </w:p>
        </w:tc>
      </w:tr>
      <w:tr w:rsidR="000117C2">
        <w:trPr>
          <w:cantSplit/>
        </w:trPr>
        <w:tc>
          <w:tcPr>
            <w:tcW w:w="162" w:type="dxa"/>
            <w:gridSpan w:val="2"/>
            <w:shd w:val="clear" w:color="auto" w:fill="auto"/>
            <w:vAlign w:val="bottom"/>
          </w:tcPr>
          <w:p w:rsidR="000117C2" w:rsidRDefault="000117C2">
            <w:pPr>
              <w:rPr>
                <w:sz w:val="14"/>
                <w:szCs w:val="14"/>
              </w:rPr>
            </w:pPr>
          </w:p>
        </w:tc>
        <w:tc>
          <w:tcPr>
            <w:tcW w:w="4326" w:type="dxa"/>
            <w:gridSpan w:val="6"/>
            <w:shd w:val="clear" w:color="auto" w:fill="auto"/>
            <w:vAlign w:val="bottom"/>
          </w:tcPr>
          <w:p w:rsidR="000117C2" w:rsidRPr="0014069A" w:rsidRDefault="00CA6F21" w:rsidP="0014069A">
            <w:pPr>
              <w:rPr>
                <w:rFonts w:ascii="Times New Roman" w:hAnsi="Times New Roman" w:cs="Times New Roman"/>
                <w:sz w:val="14"/>
                <w:szCs w:val="14"/>
              </w:rPr>
            </w:pPr>
            <w:r w:rsidRPr="0014069A">
              <w:rPr>
                <w:rFonts w:ascii="Times New Roman" w:hAnsi="Times New Roman" w:cs="Times New Roman"/>
                <w:b/>
                <w:sz w:val="14"/>
                <w:szCs w:val="14"/>
              </w:rPr>
              <w:t>Исполнитель</w:t>
            </w:r>
          </w:p>
        </w:tc>
        <w:tc>
          <w:tcPr>
            <w:tcW w:w="667" w:type="dxa"/>
            <w:gridSpan w:val="2"/>
            <w:shd w:val="clear" w:color="auto" w:fill="auto"/>
            <w:vAlign w:val="bottom"/>
          </w:tcPr>
          <w:p w:rsidR="000117C2" w:rsidRDefault="000117C2">
            <w:pPr>
              <w:rPr>
                <w:sz w:val="14"/>
                <w:szCs w:val="14"/>
              </w:rPr>
            </w:pPr>
          </w:p>
        </w:tc>
        <w:tc>
          <w:tcPr>
            <w:tcW w:w="4342" w:type="dxa"/>
            <w:gridSpan w:val="10"/>
            <w:shd w:val="clear" w:color="auto" w:fill="auto"/>
            <w:vAlign w:val="bottom"/>
          </w:tcPr>
          <w:p w:rsidR="000117C2" w:rsidRPr="0014069A" w:rsidRDefault="00CA6F21">
            <w:pPr>
              <w:rPr>
                <w:rFonts w:ascii="Times New Roman" w:hAnsi="Times New Roman" w:cs="Times New Roman"/>
                <w:sz w:val="14"/>
                <w:szCs w:val="14"/>
              </w:rPr>
            </w:pPr>
            <w:r w:rsidRPr="0014069A">
              <w:rPr>
                <w:rFonts w:ascii="Times New Roman" w:hAnsi="Times New Roman" w:cs="Times New Roman"/>
                <w:b/>
                <w:sz w:val="14"/>
                <w:szCs w:val="14"/>
              </w:rPr>
              <w:t>Заказчик</w:t>
            </w:r>
          </w:p>
        </w:tc>
      </w:tr>
      <w:tr w:rsidR="000117C2">
        <w:trPr>
          <w:cantSplit/>
        </w:trPr>
        <w:tc>
          <w:tcPr>
            <w:tcW w:w="162" w:type="dxa"/>
            <w:gridSpan w:val="2"/>
            <w:shd w:val="clear" w:color="auto" w:fill="auto"/>
            <w:vAlign w:val="bottom"/>
          </w:tcPr>
          <w:p w:rsidR="000117C2" w:rsidRDefault="000117C2">
            <w:pPr>
              <w:rPr>
                <w:sz w:val="14"/>
                <w:szCs w:val="14"/>
              </w:rPr>
            </w:pPr>
          </w:p>
        </w:tc>
        <w:tc>
          <w:tcPr>
            <w:tcW w:w="4326" w:type="dxa"/>
            <w:gridSpan w:val="6"/>
            <w:vMerge w:val="restart"/>
            <w:shd w:val="clear" w:color="auto" w:fill="auto"/>
          </w:tcPr>
          <w:p w:rsidR="000117C2" w:rsidRDefault="000117C2" w:rsidP="0014069A">
            <w:pPr>
              <w:rPr>
                <w:rFonts w:ascii="Times New Roman" w:hAnsi="Times New Roman" w:cs="Times New Roman"/>
                <w:sz w:val="14"/>
                <w:szCs w:val="14"/>
              </w:rPr>
            </w:pPr>
          </w:p>
          <w:p w:rsidR="00C13343" w:rsidRPr="0014069A" w:rsidRDefault="00C13343" w:rsidP="0014069A">
            <w:pPr>
              <w:rPr>
                <w:rFonts w:ascii="Times New Roman" w:hAnsi="Times New Roman" w:cs="Times New Roman"/>
                <w:sz w:val="14"/>
                <w:szCs w:val="14"/>
              </w:rPr>
            </w:pPr>
          </w:p>
        </w:tc>
        <w:tc>
          <w:tcPr>
            <w:tcW w:w="667" w:type="dxa"/>
            <w:gridSpan w:val="2"/>
            <w:shd w:val="clear" w:color="auto" w:fill="auto"/>
            <w:vAlign w:val="bottom"/>
          </w:tcPr>
          <w:p w:rsidR="000117C2" w:rsidRDefault="000117C2">
            <w:pPr>
              <w:rPr>
                <w:sz w:val="14"/>
                <w:szCs w:val="14"/>
              </w:rPr>
            </w:pPr>
          </w:p>
        </w:tc>
        <w:tc>
          <w:tcPr>
            <w:tcW w:w="4342" w:type="dxa"/>
            <w:gridSpan w:val="10"/>
            <w:vMerge w:val="restart"/>
            <w:shd w:val="clear" w:color="auto" w:fill="auto"/>
          </w:tcPr>
          <w:p w:rsidR="0014069A" w:rsidRPr="0014069A" w:rsidRDefault="0014069A" w:rsidP="0014069A">
            <w:pPr>
              <w:ind w:right="205"/>
              <w:rPr>
                <w:rFonts w:ascii="Times New Roman" w:hAnsi="Times New Roman" w:cs="Times New Roman"/>
                <w:b/>
                <w:spacing w:val="-8"/>
                <w:sz w:val="14"/>
                <w:szCs w:val="14"/>
              </w:rPr>
            </w:pPr>
            <w:r w:rsidRPr="0014069A">
              <w:rPr>
                <w:rFonts w:ascii="Times New Roman" w:hAnsi="Times New Roman" w:cs="Times New Roman"/>
                <w:b/>
                <w:spacing w:val="-8"/>
                <w:sz w:val="14"/>
                <w:szCs w:val="14"/>
              </w:rPr>
              <w:t>Томский НИМЦ</w:t>
            </w:r>
          </w:p>
          <w:p w:rsidR="0014069A" w:rsidRPr="0014069A" w:rsidRDefault="0014069A" w:rsidP="0014069A">
            <w:pPr>
              <w:ind w:right="205"/>
              <w:rPr>
                <w:rFonts w:ascii="Times New Roman" w:hAnsi="Times New Roman" w:cs="Times New Roman"/>
                <w:sz w:val="14"/>
                <w:szCs w:val="14"/>
              </w:rPr>
            </w:pPr>
            <w:r w:rsidRPr="0014069A">
              <w:rPr>
                <w:rFonts w:ascii="Times New Roman" w:hAnsi="Times New Roman" w:cs="Times New Roman"/>
                <w:sz w:val="14"/>
                <w:szCs w:val="14"/>
              </w:rPr>
              <w:t xml:space="preserve">Юридический адрес: 634050, г. Томск, ул. Набережная реки </w:t>
            </w:r>
            <w:proofErr w:type="spellStart"/>
            <w:r w:rsidRPr="0014069A">
              <w:rPr>
                <w:rFonts w:ascii="Times New Roman" w:hAnsi="Times New Roman" w:cs="Times New Roman"/>
                <w:sz w:val="14"/>
                <w:szCs w:val="14"/>
              </w:rPr>
              <w:t>Ушайки</w:t>
            </w:r>
            <w:proofErr w:type="spellEnd"/>
            <w:r w:rsidRPr="0014069A">
              <w:rPr>
                <w:rFonts w:ascii="Times New Roman" w:hAnsi="Times New Roman" w:cs="Times New Roman"/>
                <w:sz w:val="14"/>
                <w:szCs w:val="14"/>
              </w:rPr>
              <w:t>, 10</w:t>
            </w:r>
          </w:p>
          <w:p w:rsidR="0014069A" w:rsidRPr="0014069A" w:rsidRDefault="0014069A" w:rsidP="0014069A">
            <w:pPr>
              <w:ind w:right="205"/>
              <w:rPr>
                <w:rFonts w:ascii="Times New Roman" w:hAnsi="Times New Roman" w:cs="Times New Roman"/>
                <w:sz w:val="14"/>
                <w:szCs w:val="14"/>
              </w:rPr>
            </w:pPr>
            <w:r w:rsidRPr="0014069A">
              <w:rPr>
                <w:rFonts w:ascii="Times New Roman" w:hAnsi="Times New Roman" w:cs="Times New Roman"/>
                <w:sz w:val="14"/>
                <w:szCs w:val="14"/>
              </w:rPr>
              <w:t>Телефон/факс: (3822) 51-10-39/(3822) 51-40-97</w:t>
            </w:r>
          </w:p>
          <w:p w:rsidR="0014069A" w:rsidRPr="0014069A" w:rsidRDefault="0014069A" w:rsidP="0014069A">
            <w:pPr>
              <w:ind w:right="205"/>
              <w:rPr>
                <w:rFonts w:ascii="Times New Roman" w:hAnsi="Times New Roman" w:cs="Times New Roman"/>
                <w:sz w:val="14"/>
                <w:szCs w:val="14"/>
              </w:rPr>
            </w:pPr>
            <w:r w:rsidRPr="0014069A">
              <w:rPr>
                <w:rFonts w:ascii="Times New Roman" w:hAnsi="Times New Roman" w:cs="Times New Roman"/>
                <w:sz w:val="14"/>
                <w:szCs w:val="14"/>
              </w:rPr>
              <w:t>ИНН 7019011979 КПП 701701001</w:t>
            </w:r>
          </w:p>
          <w:p w:rsidR="0014069A" w:rsidRPr="0014069A" w:rsidRDefault="0014069A" w:rsidP="0014069A">
            <w:pPr>
              <w:ind w:right="205"/>
              <w:rPr>
                <w:rFonts w:ascii="Times New Roman" w:hAnsi="Times New Roman" w:cs="Times New Roman"/>
                <w:sz w:val="14"/>
                <w:szCs w:val="14"/>
              </w:rPr>
            </w:pPr>
            <w:r w:rsidRPr="0014069A">
              <w:rPr>
                <w:rFonts w:ascii="Times New Roman" w:hAnsi="Times New Roman" w:cs="Times New Roman"/>
                <w:sz w:val="14"/>
                <w:szCs w:val="14"/>
              </w:rPr>
              <w:t>ОГРН 1027000861568</w:t>
            </w:r>
          </w:p>
          <w:p w:rsidR="0014069A" w:rsidRPr="0014069A" w:rsidRDefault="0014069A" w:rsidP="0014069A">
            <w:pPr>
              <w:tabs>
                <w:tab w:val="left" w:pos="1311"/>
              </w:tabs>
              <w:ind w:right="205"/>
              <w:rPr>
                <w:rFonts w:ascii="Times New Roman" w:hAnsi="Times New Roman" w:cs="Times New Roman"/>
                <w:b/>
                <w:bCs/>
                <w:sz w:val="14"/>
                <w:szCs w:val="14"/>
              </w:rPr>
            </w:pPr>
            <w:bookmarkStart w:id="0" w:name="_Hlk64723090"/>
            <w:r w:rsidRPr="0014069A">
              <w:rPr>
                <w:rFonts w:ascii="Times New Roman" w:hAnsi="Times New Roman" w:cs="Times New Roman"/>
                <w:b/>
                <w:bCs/>
                <w:sz w:val="14"/>
                <w:szCs w:val="14"/>
              </w:rPr>
              <w:t>Плательщик/Грузополучатель:</w:t>
            </w:r>
            <w:bookmarkEnd w:id="0"/>
          </w:p>
          <w:p w:rsidR="0014069A" w:rsidRPr="0014069A" w:rsidRDefault="0014069A" w:rsidP="0014069A">
            <w:pPr>
              <w:tabs>
                <w:tab w:val="left" w:pos="1311"/>
              </w:tabs>
              <w:ind w:right="205"/>
              <w:rPr>
                <w:rFonts w:ascii="Times New Roman" w:hAnsi="Times New Roman" w:cs="Times New Roman"/>
                <w:b/>
                <w:bCs/>
                <w:sz w:val="14"/>
                <w:szCs w:val="14"/>
              </w:rPr>
            </w:pPr>
            <w:proofErr w:type="gramStart"/>
            <w:r w:rsidRPr="0014069A">
              <w:rPr>
                <w:rFonts w:ascii="Times New Roman" w:hAnsi="Times New Roman" w:cs="Times New Roman"/>
                <w:b/>
                <w:bCs/>
                <w:sz w:val="14"/>
                <w:szCs w:val="14"/>
              </w:rPr>
              <w:t>Научно-исследовательский институт кардиологии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(НИИИ кардиологии Томского НИМЦ)</w:t>
            </w:r>
            <w:proofErr w:type="gramEnd"/>
          </w:p>
          <w:p w:rsidR="0014069A" w:rsidRPr="0014069A" w:rsidRDefault="0014069A" w:rsidP="0014069A">
            <w:pPr>
              <w:tabs>
                <w:tab w:val="left" w:pos="1311"/>
              </w:tabs>
              <w:ind w:right="205"/>
              <w:rPr>
                <w:rFonts w:ascii="Times New Roman" w:hAnsi="Times New Roman" w:cs="Times New Roman"/>
                <w:sz w:val="14"/>
                <w:szCs w:val="14"/>
              </w:rPr>
            </w:pPr>
            <w:r w:rsidRPr="0014069A">
              <w:rPr>
                <w:rFonts w:ascii="Times New Roman" w:hAnsi="Times New Roman" w:cs="Times New Roman"/>
                <w:sz w:val="14"/>
                <w:szCs w:val="14"/>
              </w:rPr>
              <w:t>Почтовый адрес: 634012, город Томск, улица Киевская, 111а</w:t>
            </w:r>
          </w:p>
          <w:p w:rsidR="0014069A" w:rsidRPr="0014069A" w:rsidRDefault="0014069A" w:rsidP="0014069A">
            <w:pPr>
              <w:tabs>
                <w:tab w:val="left" w:pos="1311"/>
              </w:tabs>
              <w:ind w:right="205"/>
              <w:rPr>
                <w:rFonts w:ascii="Times New Roman" w:hAnsi="Times New Roman" w:cs="Times New Roman"/>
                <w:sz w:val="14"/>
                <w:szCs w:val="14"/>
              </w:rPr>
            </w:pPr>
            <w:r w:rsidRPr="0014069A">
              <w:rPr>
                <w:rFonts w:ascii="Times New Roman" w:hAnsi="Times New Roman" w:cs="Times New Roman"/>
                <w:sz w:val="14"/>
                <w:szCs w:val="14"/>
              </w:rPr>
              <w:t>Телефон: (3822) 555-344 (бухгалтерия), (3822) 555-631 (отдел закупок)</w:t>
            </w:r>
          </w:p>
          <w:p w:rsidR="0014069A" w:rsidRPr="0014069A" w:rsidRDefault="0014069A" w:rsidP="0014069A">
            <w:pPr>
              <w:tabs>
                <w:tab w:val="left" w:pos="1311"/>
              </w:tabs>
              <w:ind w:right="205"/>
              <w:rPr>
                <w:rFonts w:ascii="Times New Roman" w:hAnsi="Times New Roman" w:cs="Times New Roman"/>
                <w:sz w:val="14"/>
                <w:szCs w:val="14"/>
              </w:rPr>
            </w:pPr>
            <w:r w:rsidRPr="0014069A">
              <w:rPr>
                <w:rFonts w:ascii="Times New Roman" w:hAnsi="Times New Roman" w:cs="Times New Roman"/>
                <w:sz w:val="14"/>
                <w:szCs w:val="14"/>
              </w:rPr>
              <w:t>ИНН 7019011979 КПП 700043002</w:t>
            </w:r>
          </w:p>
          <w:p w:rsidR="0014069A" w:rsidRPr="0014069A" w:rsidRDefault="0014069A" w:rsidP="0014069A">
            <w:pPr>
              <w:tabs>
                <w:tab w:val="left" w:pos="1311"/>
              </w:tabs>
              <w:ind w:right="205"/>
              <w:rPr>
                <w:rFonts w:ascii="Times New Roman" w:hAnsi="Times New Roman" w:cs="Times New Roman"/>
                <w:sz w:val="14"/>
                <w:szCs w:val="14"/>
              </w:rPr>
            </w:pPr>
            <w:r w:rsidRPr="0014069A">
              <w:rPr>
                <w:rFonts w:ascii="Times New Roman" w:hAnsi="Times New Roman" w:cs="Times New Roman"/>
                <w:sz w:val="14"/>
                <w:szCs w:val="14"/>
              </w:rPr>
              <w:t>ОКПО 00537680</w:t>
            </w:r>
          </w:p>
          <w:p w:rsidR="0014069A" w:rsidRPr="0014069A" w:rsidRDefault="0014069A" w:rsidP="0014069A">
            <w:pPr>
              <w:tabs>
                <w:tab w:val="left" w:pos="1311"/>
              </w:tabs>
              <w:ind w:right="205"/>
              <w:rPr>
                <w:rFonts w:ascii="Times New Roman" w:hAnsi="Times New Roman" w:cs="Times New Roman"/>
                <w:sz w:val="14"/>
                <w:szCs w:val="14"/>
              </w:rPr>
            </w:pPr>
            <w:r w:rsidRPr="0014069A">
              <w:rPr>
                <w:rFonts w:ascii="Times New Roman" w:hAnsi="Times New Roman" w:cs="Times New Roman"/>
                <w:sz w:val="14"/>
                <w:szCs w:val="14"/>
              </w:rPr>
              <w:t>Банковские реквизиты ПЛАТЕЛЬЩИКА:</w:t>
            </w:r>
          </w:p>
          <w:p w:rsidR="0014069A" w:rsidRPr="0014069A" w:rsidRDefault="0014069A" w:rsidP="0014069A">
            <w:pPr>
              <w:tabs>
                <w:tab w:val="left" w:pos="1311"/>
              </w:tabs>
              <w:rPr>
                <w:rFonts w:ascii="Times New Roman" w:hAnsi="Times New Roman" w:cs="Times New Roman"/>
                <w:sz w:val="14"/>
                <w:szCs w:val="14"/>
              </w:rPr>
            </w:pPr>
            <w:r w:rsidRPr="0014069A">
              <w:rPr>
                <w:rFonts w:ascii="Times New Roman" w:hAnsi="Times New Roman" w:cs="Times New Roman"/>
                <w:sz w:val="14"/>
                <w:szCs w:val="14"/>
              </w:rPr>
              <w:t>УФК по Томской области (НИИ кардиологии Томского НИМЦ, л/с 20656НИЮУ90, 21656НИЮУ90, 22656НИЮУ90)</w:t>
            </w:r>
          </w:p>
          <w:p w:rsidR="0014069A" w:rsidRPr="0014069A" w:rsidRDefault="0014069A" w:rsidP="0014069A">
            <w:pPr>
              <w:tabs>
                <w:tab w:val="left" w:pos="1311"/>
              </w:tabs>
              <w:rPr>
                <w:rFonts w:ascii="Times New Roman" w:hAnsi="Times New Roman" w:cs="Times New Roman"/>
                <w:sz w:val="14"/>
                <w:szCs w:val="14"/>
              </w:rPr>
            </w:pPr>
            <w:r w:rsidRPr="0014069A">
              <w:rPr>
                <w:rFonts w:ascii="Times New Roman" w:hAnsi="Times New Roman" w:cs="Times New Roman"/>
                <w:sz w:val="14"/>
                <w:szCs w:val="14"/>
              </w:rPr>
              <w:t>казначейский счет № 03214643000000016500</w:t>
            </w:r>
          </w:p>
          <w:p w:rsidR="0014069A" w:rsidRPr="0014069A" w:rsidRDefault="0014069A" w:rsidP="0014069A">
            <w:pPr>
              <w:tabs>
                <w:tab w:val="left" w:pos="1311"/>
              </w:tabs>
              <w:rPr>
                <w:rFonts w:ascii="Times New Roman" w:hAnsi="Times New Roman" w:cs="Times New Roman"/>
                <w:sz w:val="14"/>
                <w:szCs w:val="14"/>
              </w:rPr>
            </w:pPr>
            <w:r w:rsidRPr="0014069A">
              <w:rPr>
                <w:rFonts w:ascii="Times New Roman" w:hAnsi="Times New Roman" w:cs="Times New Roman"/>
                <w:sz w:val="14"/>
                <w:szCs w:val="14"/>
              </w:rPr>
              <w:t xml:space="preserve">в ОКЦ № 10 </w:t>
            </w:r>
            <w:proofErr w:type="spellStart"/>
            <w:r w:rsidRPr="0014069A">
              <w:rPr>
                <w:rFonts w:ascii="Times New Roman" w:hAnsi="Times New Roman" w:cs="Times New Roman"/>
                <w:sz w:val="14"/>
                <w:szCs w:val="14"/>
              </w:rPr>
              <w:t>СибГУ</w:t>
            </w:r>
            <w:proofErr w:type="spellEnd"/>
            <w:r w:rsidRPr="0014069A">
              <w:rPr>
                <w:rFonts w:ascii="Times New Roman" w:hAnsi="Times New Roman" w:cs="Times New Roman"/>
                <w:sz w:val="14"/>
                <w:szCs w:val="14"/>
              </w:rPr>
              <w:t xml:space="preserve"> Банка России//УФК по Томской области г. Томск БИК 016902004</w:t>
            </w:r>
          </w:p>
          <w:p w:rsidR="0014069A" w:rsidRPr="0014069A" w:rsidRDefault="0014069A" w:rsidP="0014069A">
            <w:pPr>
              <w:tabs>
                <w:tab w:val="left" w:pos="1311"/>
              </w:tabs>
              <w:rPr>
                <w:rFonts w:ascii="Times New Roman" w:hAnsi="Times New Roman" w:cs="Times New Roman"/>
                <w:sz w:val="14"/>
                <w:szCs w:val="14"/>
              </w:rPr>
            </w:pPr>
            <w:r w:rsidRPr="0014069A">
              <w:rPr>
                <w:rFonts w:ascii="Times New Roman" w:hAnsi="Times New Roman" w:cs="Times New Roman"/>
                <w:sz w:val="14"/>
                <w:szCs w:val="14"/>
              </w:rPr>
              <w:t>единый казначейский счет (ЕКС) № 40102810245370000058</w:t>
            </w:r>
          </w:p>
          <w:p w:rsidR="000117C2" w:rsidRPr="0014069A" w:rsidRDefault="000117C2">
            <w:pPr>
              <w:rPr>
                <w:rFonts w:ascii="Times New Roman" w:hAnsi="Times New Roman" w:cs="Times New Roman"/>
                <w:sz w:val="14"/>
                <w:szCs w:val="14"/>
              </w:rPr>
            </w:pPr>
          </w:p>
        </w:tc>
      </w:tr>
      <w:tr w:rsidR="000117C2">
        <w:trPr>
          <w:cantSplit/>
        </w:trPr>
        <w:tc>
          <w:tcPr>
            <w:tcW w:w="162" w:type="dxa"/>
            <w:gridSpan w:val="2"/>
            <w:shd w:val="clear" w:color="auto" w:fill="auto"/>
            <w:vAlign w:val="bottom"/>
          </w:tcPr>
          <w:p w:rsidR="000117C2" w:rsidRDefault="000117C2">
            <w:pPr>
              <w:rPr>
                <w:sz w:val="14"/>
                <w:szCs w:val="14"/>
              </w:rPr>
            </w:pPr>
          </w:p>
        </w:tc>
        <w:tc>
          <w:tcPr>
            <w:tcW w:w="4326" w:type="dxa"/>
            <w:gridSpan w:val="6"/>
            <w:vMerge/>
            <w:shd w:val="clear" w:color="auto" w:fill="auto"/>
            <w:vAlign w:val="bottom"/>
          </w:tcPr>
          <w:p w:rsidR="000117C2" w:rsidRDefault="000117C2">
            <w:pPr>
              <w:jc w:val="both"/>
              <w:rPr>
                <w:sz w:val="14"/>
                <w:szCs w:val="14"/>
              </w:rPr>
            </w:pPr>
          </w:p>
        </w:tc>
        <w:tc>
          <w:tcPr>
            <w:tcW w:w="667" w:type="dxa"/>
            <w:gridSpan w:val="2"/>
            <w:shd w:val="clear" w:color="auto" w:fill="auto"/>
            <w:vAlign w:val="bottom"/>
          </w:tcPr>
          <w:p w:rsidR="000117C2" w:rsidRDefault="000117C2">
            <w:pPr>
              <w:rPr>
                <w:sz w:val="14"/>
                <w:szCs w:val="14"/>
              </w:rPr>
            </w:pPr>
          </w:p>
        </w:tc>
        <w:tc>
          <w:tcPr>
            <w:tcW w:w="4342" w:type="dxa"/>
            <w:gridSpan w:val="10"/>
            <w:vMerge/>
            <w:shd w:val="clear" w:color="auto" w:fill="auto"/>
            <w:vAlign w:val="bottom"/>
          </w:tcPr>
          <w:p w:rsidR="000117C2" w:rsidRDefault="000117C2">
            <w:pPr>
              <w:rPr>
                <w:sz w:val="14"/>
                <w:szCs w:val="14"/>
              </w:rPr>
            </w:pPr>
          </w:p>
        </w:tc>
      </w:tr>
      <w:tr w:rsidR="000117C2">
        <w:trPr>
          <w:cantSplit/>
        </w:trPr>
        <w:tc>
          <w:tcPr>
            <w:tcW w:w="162" w:type="dxa"/>
            <w:gridSpan w:val="2"/>
            <w:shd w:val="clear" w:color="auto" w:fill="auto"/>
            <w:vAlign w:val="bottom"/>
          </w:tcPr>
          <w:p w:rsidR="000117C2" w:rsidRDefault="000117C2">
            <w:pPr>
              <w:rPr>
                <w:sz w:val="14"/>
                <w:szCs w:val="14"/>
              </w:rPr>
            </w:pPr>
          </w:p>
        </w:tc>
        <w:tc>
          <w:tcPr>
            <w:tcW w:w="4326" w:type="dxa"/>
            <w:gridSpan w:val="6"/>
            <w:vMerge/>
            <w:shd w:val="clear" w:color="auto" w:fill="auto"/>
            <w:vAlign w:val="bottom"/>
          </w:tcPr>
          <w:p w:rsidR="000117C2" w:rsidRDefault="000117C2">
            <w:pPr>
              <w:jc w:val="both"/>
              <w:rPr>
                <w:sz w:val="14"/>
                <w:szCs w:val="14"/>
              </w:rPr>
            </w:pPr>
          </w:p>
        </w:tc>
        <w:tc>
          <w:tcPr>
            <w:tcW w:w="667" w:type="dxa"/>
            <w:gridSpan w:val="2"/>
            <w:shd w:val="clear" w:color="auto" w:fill="auto"/>
            <w:vAlign w:val="bottom"/>
          </w:tcPr>
          <w:p w:rsidR="000117C2" w:rsidRDefault="000117C2">
            <w:pPr>
              <w:rPr>
                <w:sz w:val="14"/>
                <w:szCs w:val="14"/>
              </w:rPr>
            </w:pPr>
          </w:p>
        </w:tc>
        <w:tc>
          <w:tcPr>
            <w:tcW w:w="4342" w:type="dxa"/>
            <w:gridSpan w:val="10"/>
            <w:vMerge/>
            <w:shd w:val="clear" w:color="auto" w:fill="auto"/>
            <w:vAlign w:val="bottom"/>
          </w:tcPr>
          <w:p w:rsidR="000117C2" w:rsidRDefault="000117C2">
            <w:pPr>
              <w:rPr>
                <w:sz w:val="14"/>
                <w:szCs w:val="14"/>
              </w:rPr>
            </w:pPr>
          </w:p>
        </w:tc>
      </w:tr>
      <w:tr w:rsidR="000117C2">
        <w:trPr>
          <w:cantSplit/>
        </w:trPr>
        <w:tc>
          <w:tcPr>
            <w:tcW w:w="162" w:type="dxa"/>
            <w:gridSpan w:val="2"/>
            <w:shd w:val="clear" w:color="auto" w:fill="auto"/>
            <w:vAlign w:val="bottom"/>
          </w:tcPr>
          <w:p w:rsidR="000117C2" w:rsidRDefault="000117C2">
            <w:pPr>
              <w:rPr>
                <w:sz w:val="14"/>
                <w:szCs w:val="14"/>
              </w:rPr>
            </w:pPr>
          </w:p>
        </w:tc>
        <w:tc>
          <w:tcPr>
            <w:tcW w:w="4326" w:type="dxa"/>
            <w:gridSpan w:val="6"/>
            <w:vMerge/>
            <w:shd w:val="clear" w:color="auto" w:fill="auto"/>
            <w:vAlign w:val="bottom"/>
          </w:tcPr>
          <w:p w:rsidR="000117C2" w:rsidRDefault="000117C2">
            <w:pPr>
              <w:jc w:val="both"/>
              <w:rPr>
                <w:sz w:val="14"/>
                <w:szCs w:val="14"/>
              </w:rPr>
            </w:pPr>
          </w:p>
        </w:tc>
        <w:tc>
          <w:tcPr>
            <w:tcW w:w="667" w:type="dxa"/>
            <w:gridSpan w:val="2"/>
            <w:shd w:val="clear" w:color="auto" w:fill="auto"/>
            <w:vAlign w:val="bottom"/>
          </w:tcPr>
          <w:p w:rsidR="000117C2" w:rsidRDefault="000117C2">
            <w:pPr>
              <w:rPr>
                <w:sz w:val="14"/>
                <w:szCs w:val="14"/>
              </w:rPr>
            </w:pPr>
          </w:p>
        </w:tc>
        <w:tc>
          <w:tcPr>
            <w:tcW w:w="4342" w:type="dxa"/>
            <w:gridSpan w:val="10"/>
            <w:vMerge/>
            <w:shd w:val="clear" w:color="auto" w:fill="auto"/>
            <w:vAlign w:val="bottom"/>
          </w:tcPr>
          <w:p w:rsidR="000117C2" w:rsidRDefault="000117C2">
            <w:pPr>
              <w:rPr>
                <w:sz w:val="14"/>
                <w:szCs w:val="14"/>
              </w:rPr>
            </w:pPr>
          </w:p>
        </w:tc>
      </w:tr>
      <w:tr w:rsidR="000117C2">
        <w:trPr>
          <w:cantSplit/>
        </w:trPr>
        <w:tc>
          <w:tcPr>
            <w:tcW w:w="162" w:type="dxa"/>
            <w:gridSpan w:val="2"/>
            <w:shd w:val="clear" w:color="auto" w:fill="auto"/>
            <w:vAlign w:val="bottom"/>
          </w:tcPr>
          <w:p w:rsidR="000117C2" w:rsidRDefault="000117C2">
            <w:pPr>
              <w:rPr>
                <w:sz w:val="14"/>
                <w:szCs w:val="14"/>
              </w:rPr>
            </w:pPr>
          </w:p>
        </w:tc>
        <w:tc>
          <w:tcPr>
            <w:tcW w:w="4326" w:type="dxa"/>
            <w:gridSpan w:val="6"/>
            <w:vMerge/>
            <w:shd w:val="clear" w:color="auto" w:fill="auto"/>
          </w:tcPr>
          <w:p w:rsidR="000117C2" w:rsidRDefault="000117C2">
            <w:pPr>
              <w:jc w:val="both"/>
              <w:rPr>
                <w:sz w:val="14"/>
                <w:szCs w:val="14"/>
              </w:rPr>
            </w:pPr>
          </w:p>
        </w:tc>
        <w:tc>
          <w:tcPr>
            <w:tcW w:w="667" w:type="dxa"/>
            <w:gridSpan w:val="2"/>
            <w:shd w:val="clear" w:color="auto" w:fill="auto"/>
            <w:vAlign w:val="bottom"/>
          </w:tcPr>
          <w:p w:rsidR="000117C2" w:rsidRDefault="000117C2">
            <w:pPr>
              <w:rPr>
                <w:sz w:val="14"/>
                <w:szCs w:val="14"/>
              </w:rPr>
            </w:pPr>
          </w:p>
        </w:tc>
        <w:tc>
          <w:tcPr>
            <w:tcW w:w="4342" w:type="dxa"/>
            <w:gridSpan w:val="10"/>
            <w:vMerge/>
            <w:shd w:val="clear" w:color="auto" w:fill="auto"/>
            <w:vAlign w:val="bottom"/>
          </w:tcPr>
          <w:p w:rsidR="000117C2" w:rsidRDefault="000117C2">
            <w:pPr>
              <w:rPr>
                <w:sz w:val="14"/>
                <w:szCs w:val="14"/>
              </w:rPr>
            </w:pPr>
          </w:p>
        </w:tc>
      </w:tr>
      <w:tr w:rsidR="000117C2">
        <w:trPr>
          <w:cantSplit/>
        </w:trPr>
        <w:tc>
          <w:tcPr>
            <w:tcW w:w="162" w:type="dxa"/>
            <w:gridSpan w:val="2"/>
            <w:shd w:val="clear" w:color="auto" w:fill="auto"/>
            <w:vAlign w:val="bottom"/>
          </w:tcPr>
          <w:p w:rsidR="000117C2" w:rsidRDefault="000117C2">
            <w:pPr>
              <w:rPr>
                <w:sz w:val="14"/>
                <w:szCs w:val="14"/>
              </w:rPr>
            </w:pPr>
          </w:p>
        </w:tc>
        <w:tc>
          <w:tcPr>
            <w:tcW w:w="4326" w:type="dxa"/>
            <w:gridSpan w:val="6"/>
            <w:vMerge/>
            <w:shd w:val="clear" w:color="auto" w:fill="auto"/>
            <w:vAlign w:val="bottom"/>
          </w:tcPr>
          <w:p w:rsidR="000117C2" w:rsidRDefault="000117C2">
            <w:pPr>
              <w:jc w:val="both"/>
              <w:rPr>
                <w:sz w:val="14"/>
                <w:szCs w:val="14"/>
              </w:rPr>
            </w:pPr>
          </w:p>
        </w:tc>
        <w:tc>
          <w:tcPr>
            <w:tcW w:w="667" w:type="dxa"/>
            <w:gridSpan w:val="2"/>
            <w:shd w:val="clear" w:color="auto" w:fill="auto"/>
            <w:vAlign w:val="bottom"/>
          </w:tcPr>
          <w:p w:rsidR="000117C2" w:rsidRDefault="000117C2">
            <w:pPr>
              <w:rPr>
                <w:sz w:val="14"/>
                <w:szCs w:val="14"/>
              </w:rPr>
            </w:pPr>
          </w:p>
        </w:tc>
        <w:tc>
          <w:tcPr>
            <w:tcW w:w="4342" w:type="dxa"/>
            <w:gridSpan w:val="10"/>
            <w:vMerge/>
            <w:shd w:val="clear" w:color="auto" w:fill="auto"/>
            <w:vAlign w:val="bottom"/>
          </w:tcPr>
          <w:p w:rsidR="000117C2" w:rsidRDefault="000117C2">
            <w:pPr>
              <w:rPr>
                <w:sz w:val="14"/>
                <w:szCs w:val="14"/>
              </w:rPr>
            </w:pPr>
          </w:p>
        </w:tc>
      </w:tr>
      <w:tr w:rsidR="000117C2">
        <w:trPr>
          <w:cantSplit/>
        </w:trPr>
        <w:tc>
          <w:tcPr>
            <w:tcW w:w="162" w:type="dxa"/>
            <w:gridSpan w:val="2"/>
            <w:shd w:val="clear" w:color="auto" w:fill="auto"/>
            <w:vAlign w:val="bottom"/>
          </w:tcPr>
          <w:p w:rsidR="000117C2" w:rsidRDefault="000117C2">
            <w:pPr>
              <w:rPr>
                <w:sz w:val="14"/>
                <w:szCs w:val="14"/>
              </w:rPr>
            </w:pPr>
          </w:p>
        </w:tc>
        <w:tc>
          <w:tcPr>
            <w:tcW w:w="4326" w:type="dxa"/>
            <w:gridSpan w:val="6"/>
            <w:vMerge/>
            <w:shd w:val="clear" w:color="auto" w:fill="auto"/>
            <w:vAlign w:val="bottom"/>
          </w:tcPr>
          <w:p w:rsidR="000117C2" w:rsidRDefault="000117C2">
            <w:pPr>
              <w:jc w:val="both"/>
              <w:rPr>
                <w:sz w:val="14"/>
                <w:szCs w:val="14"/>
              </w:rPr>
            </w:pPr>
          </w:p>
        </w:tc>
        <w:tc>
          <w:tcPr>
            <w:tcW w:w="667" w:type="dxa"/>
            <w:gridSpan w:val="2"/>
            <w:shd w:val="clear" w:color="auto" w:fill="auto"/>
            <w:vAlign w:val="bottom"/>
          </w:tcPr>
          <w:p w:rsidR="000117C2" w:rsidRDefault="000117C2">
            <w:pPr>
              <w:rPr>
                <w:sz w:val="14"/>
                <w:szCs w:val="14"/>
              </w:rPr>
            </w:pPr>
          </w:p>
        </w:tc>
        <w:tc>
          <w:tcPr>
            <w:tcW w:w="4342" w:type="dxa"/>
            <w:gridSpan w:val="10"/>
            <w:vMerge/>
            <w:shd w:val="clear" w:color="auto" w:fill="auto"/>
          </w:tcPr>
          <w:p w:rsidR="000117C2" w:rsidRDefault="000117C2">
            <w:pPr>
              <w:rPr>
                <w:sz w:val="14"/>
                <w:szCs w:val="14"/>
              </w:rPr>
            </w:pPr>
          </w:p>
        </w:tc>
      </w:tr>
      <w:tr w:rsidR="000117C2">
        <w:trPr>
          <w:cantSplit/>
        </w:trPr>
        <w:tc>
          <w:tcPr>
            <w:tcW w:w="162" w:type="dxa"/>
            <w:gridSpan w:val="2"/>
            <w:shd w:val="clear" w:color="auto" w:fill="auto"/>
            <w:vAlign w:val="bottom"/>
          </w:tcPr>
          <w:p w:rsidR="000117C2" w:rsidRDefault="000117C2">
            <w:pPr>
              <w:rPr>
                <w:sz w:val="14"/>
                <w:szCs w:val="14"/>
              </w:rPr>
            </w:pPr>
          </w:p>
        </w:tc>
        <w:tc>
          <w:tcPr>
            <w:tcW w:w="4326" w:type="dxa"/>
            <w:gridSpan w:val="6"/>
            <w:vMerge/>
            <w:shd w:val="clear" w:color="auto" w:fill="auto"/>
            <w:vAlign w:val="bottom"/>
          </w:tcPr>
          <w:p w:rsidR="000117C2" w:rsidRDefault="000117C2">
            <w:pPr>
              <w:jc w:val="both"/>
              <w:rPr>
                <w:sz w:val="14"/>
                <w:szCs w:val="14"/>
              </w:rPr>
            </w:pPr>
          </w:p>
        </w:tc>
        <w:tc>
          <w:tcPr>
            <w:tcW w:w="667" w:type="dxa"/>
            <w:gridSpan w:val="2"/>
            <w:shd w:val="clear" w:color="auto" w:fill="auto"/>
            <w:vAlign w:val="bottom"/>
          </w:tcPr>
          <w:p w:rsidR="000117C2" w:rsidRDefault="000117C2">
            <w:pPr>
              <w:jc w:val="both"/>
              <w:rPr>
                <w:sz w:val="14"/>
                <w:szCs w:val="14"/>
              </w:rPr>
            </w:pPr>
          </w:p>
        </w:tc>
        <w:tc>
          <w:tcPr>
            <w:tcW w:w="4342" w:type="dxa"/>
            <w:gridSpan w:val="10"/>
            <w:vMerge/>
            <w:shd w:val="clear" w:color="auto" w:fill="auto"/>
            <w:vAlign w:val="bottom"/>
          </w:tcPr>
          <w:p w:rsidR="000117C2" w:rsidRDefault="000117C2">
            <w:pPr>
              <w:rPr>
                <w:sz w:val="14"/>
                <w:szCs w:val="14"/>
              </w:rPr>
            </w:pPr>
          </w:p>
        </w:tc>
      </w:tr>
      <w:tr w:rsidR="000117C2">
        <w:trPr>
          <w:cantSplit/>
        </w:trPr>
        <w:tc>
          <w:tcPr>
            <w:tcW w:w="162" w:type="dxa"/>
            <w:gridSpan w:val="2"/>
            <w:shd w:val="clear" w:color="auto" w:fill="auto"/>
            <w:vAlign w:val="bottom"/>
          </w:tcPr>
          <w:p w:rsidR="000117C2" w:rsidRDefault="000117C2">
            <w:pPr>
              <w:rPr>
                <w:sz w:val="14"/>
                <w:szCs w:val="14"/>
              </w:rPr>
            </w:pPr>
          </w:p>
        </w:tc>
        <w:tc>
          <w:tcPr>
            <w:tcW w:w="4326" w:type="dxa"/>
            <w:gridSpan w:val="6"/>
            <w:vMerge/>
            <w:shd w:val="clear" w:color="auto" w:fill="auto"/>
            <w:vAlign w:val="bottom"/>
          </w:tcPr>
          <w:p w:rsidR="000117C2" w:rsidRDefault="000117C2">
            <w:pPr>
              <w:jc w:val="both"/>
              <w:rPr>
                <w:sz w:val="14"/>
                <w:szCs w:val="14"/>
              </w:rPr>
            </w:pPr>
          </w:p>
        </w:tc>
        <w:tc>
          <w:tcPr>
            <w:tcW w:w="667" w:type="dxa"/>
            <w:gridSpan w:val="2"/>
            <w:shd w:val="clear" w:color="auto" w:fill="auto"/>
            <w:vAlign w:val="bottom"/>
          </w:tcPr>
          <w:p w:rsidR="000117C2" w:rsidRDefault="000117C2">
            <w:pPr>
              <w:rPr>
                <w:sz w:val="14"/>
                <w:szCs w:val="14"/>
              </w:rPr>
            </w:pPr>
          </w:p>
        </w:tc>
        <w:tc>
          <w:tcPr>
            <w:tcW w:w="4342" w:type="dxa"/>
            <w:gridSpan w:val="10"/>
            <w:vMerge/>
            <w:shd w:val="clear" w:color="auto" w:fill="auto"/>
            <w:vAlign w:val="bottom"/>
          </w:tcPr>
          <w:p w:rsidR="000117C2" w:rsidRDefault="000117C2">
            <w:pPr>
              <w:rPr>
                <w:sz w:val="14"/>
                <w:szCs w:val="14"/>
              </w:rPr>
            </w:pPr>
          </w:p>
        </w:tc>
      </w:tr>
      <w:tr w:rsidR="000117C2">
        <w:trPr>
          <w:gridAfter w:val="1"/>
          <w:wAfter w:w="85" w:type="dxa"/>
          <w:cantSplit/>
        </w:trPr>
        <w:tc>
          <w:tcPr>
            <w:tcW w:w="162" w:type="dxa"/>
            <w:gridSpan w:val="2"/>
            <w:shd w:val="clear" w:color="auto" w:fill="auto"/>
            <w:vAlign w:val="bottom"/>
          </w:tcPr>
          <w:p w:rsidR="000117C2" w:rsidRDefault="000117C2">
            <w:pPr>
              <w:rPr>
                <w:sz w:val="14"/>
                <w:szCs w:val="14"/>
              </w:rPr>
            </w:pPr>
          </w:p>
        </w:tc>
        <w:tc>
          <w:tcPr>
            <w:tcW w:w="4326" w:type="dxa"/>
            <w:gridSpan w:val="6"/>
            <w:vMerge/>
            <w:shd w:val="clear" w:color="auto" w:fill="auto"/>
            <w:vAlign w:val="bottom"/>
          </w:tcPr>
          <w:p w:rsidR="000117C2" w:rsidRDefault="000117C2">
            <w:pPr>
              <w:jc w:val="both"/>
              <w:rPr>
                <w:sz w:val="14"/>
                <w:szCs w:val="14"/>
              </w:rPr>
            </w:pPr>
          </w:p>
        </w:tc>
        <w:tc>
          <w:tcPr>
            <w:tcW w:w="667" w:type="dxa"/>
            <w:gridSpan w:val="2"/>
            <w:shd w:val="clear" w:color="auto" w:fill="auto"/>
            <w:vAlign w:val="bottom"/>
          </w:tcPr>
          <w:p w:rsidR="000117C2" w:rsidRDefault="000117C2">
            <w:pPr>
              <w:rPr>
                <w:sz w:val="14"/>
                <w:szCs w:val="14"/>
              </w:rPr>
            </w:pPr>
          </w:p>
        </w:tc>
        <w:tc>
          <w:tcPr>
            <w:tcW w:w="918" w:type="dxa"/>
            <w:gridSpan w:val="2"/>
            <w:shd w:val="clear" w:color="auto" w:fill="auto"/>
            <w:vAlign w:val="bottom"/>
          </w:tcPr>
          <w:p w:rsidR="000117C2" w:rsidRDefault="000117C2">
            <w:pPr>
              <w:rPr>
                <w:sz w:val="14"/>
                <w:szCs w:val="14"/>
              </w:rPr>
            </w:pPr>
          </w:p>
        </w:tc>
        <w:tc>
          <w:tcPr>
            <w:tcW w:w="548" w:type="dxa"/>
            <w:gridSpan w:val="2"/>
            <w:shd w:val="clear" w:color="auto" w:fill="auto"/>
            <w:vAlign w:val="bottom"/>
          </w:tcPr>
          <w:p w:rsidR="000117C2" w:rsidRDefault="000117C2">
            <w:pPr>
              <w:rPr>
                <w:sz w:val="14"/>
                <w:szCs w:val="14"/>
              </w:rPr>
            </w:pPr>
          </w:p>
        </w:tc>
        <w:tc>
          <w:tcPr>
            <w:tcW w:w="484" w:type="dxa"/>
            <w:gridSpan w:val="2"/>
            <w:shd w:val="clear" w:color="auto" w:fill="auto"/>
            <w:vAlign w:val="bottom"/>
          </w:tcPr>
          <w:p w:rsidR="000117C2" w:rsidRDefault="000117C2">
            <w:pPr>
              <w:rPr>
                <w:sz w:val="14"/>
                <w:szCs w:val="14"/>
              </w:rPr>
            </w:pPr>
          </w:p>
        </w:tc>
        <w:tc>
          <w:tcPr>
            <w:tcW w:w="2250" w:type="dxa"/>
            <w:gridSpan w:val="2"/>
            <w:shd w:val="clear" w:color="auto" w:fill="auto"/>
            <w:vAlign w:val="bottom"/>
          </w:tcPr>
          <w:p w:rsidR="000117C2" w:rsidRDefault="000117C2">
            <w:pPr>
              <w:rPr>
                <w:sz w:val="14"/>
                <w:szCs w:val="14"/>
              </w:rPr>
            </w:pPr>
          </w:p>
        </w:tc>
        <w:tc>
          <w:tcPr>
            <w:tcW w:w="57" w:type="dxa"/>
            <w:shd w:val="clear" w:color="auto" w:fill="auto"/>
            <w:vAlign w:val="bottom"/>
          </w:tcPr>
          <w:p w:rsidR="000117C2" w:rsidRDefault="000117C2">
            <w:pPr>
              <w:rPr>
                <w:sz w:val="14"/>
                <w:szCs w:val="14"/>
              </w:rPr>
            </w:pPr>
          </w:p>
        </w:tc>
      </w:tr>
      <w:tr w:rsidR="000117C2">
        <w:trPr>
          <w:gridAfter w:val="1"/>
          <w:wAfter w:w="85" w:type="dxa"/>
          <w:cantSplit/>
        </w:trPr>
        <w:tc>
          <w:tcPr>
            <w:tcW w:w="162" w:type="dxa"/>
            <w:gridSpan w:val="2"/>
            <w:shd w:val="clear" w:color="auto" w:fill="auto"/>
            <w:vAlign w:val="bottom"/>
          </w:tcPr>
          <w:p w:rsidR="000117C2" w:rsidRDefault="000117C2">
            <w:pPr>
              <w:rPr>
                <w:sz w:val="14"/>
                <w:szCs w:val="14"/>
              </w:rPr>
            </w:pPr>
          </w:p>
        </w:tc>
        <w:tc>
          <w:tcPr>
            <w:tcW w:w="4326" w:type="dxa"/>
            <w:gridSpan w:val="6"/>
            <w:shd w:val="clear" w:color="auto" w:fill="auto"/>
            <w:vAlign w:val="bottom"/>
          </w:tcPr>
          <w:p w:rsidR="000117C2" w:rsidRDefault="000117C2">
            <w:pPr>
              <w:jc w:val="both"/>
              <w:rPr>
                <w:sz w:val="14"/>
                <w:szCs w:val="14"/>
              </w:rPr>
            </w:pPr>
          </w:p>
        </w:tc>
        <w:tc>
          <w:tcPr>
            <w:tcW w:w="667" w:type="dxa"/>
            <w:gridSpan w:val="2"/>
            <w:shd w:val="clear" w:color="auto" w:fill="auto"/>
            <w:vAlign w:val="bottom"/>
          </w:tcPr>
          <w:p w:rsidR="000117C2" w:rsidRDefault="000117C2">
            <w:pPr>
              <w:rPr>
                <w:sz w:val="14"/>
                <w:szCs w:val="14"/>
              </w:rPr>
            </w:pPr>
          </w:p>
        </w:tc>
        <w:tc>
          <w:tcPr>
            <w:tcW w:w="918" w:type="dxa"/>
            <w:gridSpan w:val="2"/>
            <w:shd w:val="clear" w:color="auto" w:fill="auto"/>
            <w:vAlign w:val="bottom"/>
          </w:tcPr>
          <w:p w:rsidR="000117C2" w:rsidRDefault="000117C2">
            <w:pPr>
              <w:rPr>
                <w:sz w:val="14"/>
                <w:szCs w:val="14"/>
              </w:rPr>
            </w:pPr>
          </w:p>
        </w:tc>
        <w:tc>
          <w:tcPr>
            <w:tcW w:w="548" w:type="dxa"/>
            <w:gridSpan w:val="2"/>
            <w:shd w:val="clear" w:color="auto" w:fill="auto"/>
            <w:vAlign w:val="bottom"/>
          </w:tcPr>
          <w:p w:rsidR="000117C2" w:rsidRDefault="000117C2">
            <w:pPr>
              <w:rPr>
                <w:sz w:val="14"/>
                <w:szCs w:val="14"/>
              </w:rPr>
            </w:pPr>
          </w:p>
        </w:tc>
        <w:tc>
          <w:tcPr>
            <w:tcW w:w="484" w:type="dxa"/>
            <w:gridSpan w:val="2"/>
            <w:shd w:val="clear" w:color="auto" w:fill="auto"/>
            <w:vAlign w:val="bottom"/>
          </w:tcPr>
          <w:p w:rsidR="000117C2" w:rsidRDefault="000117C2">
            <w:pPr>
              <w:rPr>
                <w:sz w:val="14"/>
                <w:szCs w:val="14"/>
              </w:rPr>
            </w:pPr>
          </w:p>
        </w:tc>
        <w:tc>
          <w:tcPr>
            <w:tcW w:w="2250" w:type="dxa"/>
            <w:gridSpan w:val="2"/>
            <w:shd w:val="clear" w:color="auto" w:fill="auto"/>
            <w:vAlign w:val="bottom"/>
          </w:tcPr>
          <w:p w:rsidR="000117C2" w:rsidRDefault="000117C2">
            <w:pPr>
              <w:rPr>
                <w:sz w:val="14"/>
                <w:szCs w:val="14"/>
              </w:rPr>
            </w:pPr>
          </w:p>
        </w:tc>
        <w:tc>
          <w:tcPr>
            <w:tcW w:w="57" w:type="dxa"/>
            <w:shd w:val="clear" w:color="auto" w:fill="auto"/>
            <w:vAlign w:val="bottom"/>
          </w:tcPr>
          <w:p w:rsidR="000117C2" w:rsidRDefault="000117C2">
            <w:pPr>
              <w:rPr>
                <w:sz w:val="14"/>
                <w:szCs w:val="14"/>
              </w:rPr>
            </w:pPr>
          </w:p>
        </w:tc>
      </w:tr>
    </w:tbl>
    <w:tbl>
      <w:tblPr>
        <w:tblStyle w:val="TableStyle1"/>
        <w:tblW w:w="5000" w:type="pct"/>
        <w:tblInd w:w="0" w:type="dxa"/>
        <w:tblLook w:val="04A0" w:firstRow="1" w:lastRow="0" w:firstColumn="1" w:lastColumn="0" w:noHBand="0" w:noVBand="1"/>
      </w:tblPr>
      <w:tblGrid>
        <w:gridCol w:w="421"/>
        <w:gridCol w:w="1430"/>
        <w:gridCol w:w="1126"/>
        <w:gridCol w:w="136"/>
        <w:gridCol w:w="1274"/>
        <w:gridCol w:w="842"/>
        <w:gridCol w:w="644"/>
        <w:gridCol w:w="1179"/>
        <w:gridCol w:w="136"/>
        <w:gridCol w:w="1651"/>
        <w:gridCol w:w="516"/>
      </w:tblGrid>
      <w:tr w:rsidR="00C13343">
        <w:trPr>
          <w:cantSplit/>
        </w:trPr>
        <w:tc>
          <w:tcPr>
            <w:tcW w:w="465" w:type="dxa"/>
            <w:shd w:val="clear" w:color="auto" w:fill="auto"/>
            <w:vAlign w:val="bottom"/>
          </w:tcPr>
          <w:p w:rsidR="000117C2" w:rsidRDefault="000117C2">
            <w:pPr>
              <w:rPr>
                <w:sz w:val="14"/>
                <w:szCs w:val="14"/>
              </w:rPr>
            </w:pPr>
          </w:p>
        </w:tc>
        <w:tc>
          <w:tcPr>
            <w:tcW w:w="1470" w:type="dxa"/>
            <w:shd w:val="clear" w:color="auto" w:fill="auto"/>
            <w:vAlign w:val="bottom"/>
          </w:tcPr>
          <w:p w:rsidR="000117C2" w:rsidRPr="0014069A" w:rsidRDefault="00C13343">
            <w:pPr>
              <w:rPr>
                <w:rFonts w:ascii="Times New Roman" w:hAnsi="Times New Roman" w:cs="Times New Roman"/>
                <w:sz w:val="14"/>
                <w:szCs w:val="14"/>
              </w:rPr>
            </w:pPr>
            <w:r>
              <w:rPr>
                <w:rFonts w:ascii="Times New Roman" w:hAnsi="Times New Roman" w:cs="Times New Roman"/>
                <w:sz w:val="14"/>
                <w:szCs w:val="14"/>
              </w:rPr>
              <w:t>_____________</w:t>
            </w:r>
          </w:p>
        </w:tc>
        <w:tc>
          <w:tcPr>
            <w:tcW w:w="1245" w:type="dxa"/>
            <w:tcBorders>
              <w:bottom w:val="single" w:sz="5" w:space="0" w:color="auto"/>
            </w:tcBorders>
            <w:shd w:val="clear" w:color="auto" w:fill="auto"/>
            <w:vAlign w:val="bottom"/>
          </w:tcPr>
          <w:p w:rsidR="000117C2" w:rsidRPr="0014069A" w:rsidRDefault="000117C2">
            <w:pPr>
              <w:rPr>
                <w:rFonts w:ascii="Times New Roman" w:hAnsi="Times New Roman" w:cs="Times New Roman"/>
                <w:sz w:val="14"/>
                <w:szCs w:val="14"/>
              </w:rPr>
            </w:pPr>
          </w:p>
        </w:tc>
        <w:tc>
          <w:tcPr>
            <w:tcW w:w="150" w:type="dxa"/>
            <w:shd w:val="clear" w:color="auto" w:fill="auto"/>
            <w:vAlign w:val="bottom"/>
          </w:tcPr>
          <w:p w:rsidR="000117C2" w:rsidRPr="0014069A" w:rsidRDefault="000117C2">
            <w:pPr>
              <w:rPr>
                <w:rFonts w:ascii="Times New Roman" w:hAnsi="Times New Roman" w:cs="Times New Roman"/>
                <w:sz w:val="14"/>
                <w:szCs w:val="14"/>
              </w:rPr>
            </w:pPr>
          </w:p>
        </w:tc>
        <w:tc>
          <w:tcPr>
            <w:tcW w:w="1305" w:type="dxa"/>
            <w:shd w:val="clear" w:color="auto" w:fill="auto"/>
            <w:vAlign w:val="bottom"/>
          </w:tcPr>
          <w:p w:rsidR="000117C2" w:rsidRPr="0014069A" w:rsidRDefault="00C13343">
            <w:pPr>
              <w:rPr>
                <w:rFonts w:ascii="Times New Roman" w:hAnsi="Times New Roman" w:cs="Times New Roman"/>
                <w:sz w:val="14"/>
                <w:szCs w:val="14"/>
              </w:rPr>
            </w:pPr>
            <w:r>
              <w:rPr>
                <w:rFonts w:ascii="Times New Roman" w:hAnsi="Times New Roman" w:cs="Times New Roman"/>
                <w:sz w:val="14"/>
                <w:szCs w:val="14"/>
              </w:rPr>
              <w:t>_____________</w:t>
            </w:r>
          </w:p>
        </w:tc>
        <w:tc>
          <w:tcPr>
            <w:tcW w:w="930" w:type="dxa"/>
            <w:shd w:val="clear" w:color="auto" w:fill="auto"/>
            <w:vAlign w:val="bottom"/>
          </w:tcPr>
          <w:p w:rsidR="000117C2" w:rsidRDefault="000117C2">
            <w:pPr>
              <w:rPr>
                <w:sz w:val="14"/>
                <w:szCs w:val="14"/>
              </w:rPr>
            </w:pPr>
          </w:p>
        </w:tc>
        <w:tc>
          <w:tcPr>
            <w:tcW w:w="1935" w:type="dxa"/>
            <w:gridSpan w:val="2"/>
            <w:tcBorders>
              <w:bottom w:val="single" w:sz="5" w:space="0" w:color="auto"/>
            </w:tcBorders>
            <w:shd w:val="clear" w:color="auto" w:fill="auto"/>
            <w:vAlign w:val="bottom"/>
          </w:tcPr>
          <w:p w:rsidR="000117C2" w:rsidRPr="0014069A" w:rsidRDefault="00CA6F21">
            <w:pPr>
              <w:rPr>
                <w:rFonts w:ascii="Times New Roman" w:hAnsi="Times New Roman" w:cs="Times New Roman"/>
                <w:sz w:val="14"/>
                <w:szCs w:val="14"/>
              </w:rPr>
            </w:pPr>
            <w:r w:rsidRPr="0014069A">
              <w:rPr>
                <w:rFonts w:ascii="Times New Roman" w:hAnsi="Times New Roman" w:cs="Times New Roman"/>
                <w:sz w:val="14"/>
                <w:szCs w:val="14"/>
              </w:rPr>
              <w:t>Директор НИИ кардиологии Томского НИМЦ</w:t>
            </w:r>
          </w:p>
        </w:tc>
        <w:tc>
          <w:tcPr>
            <w:tcW w:w="150" w:type="dxa"/>
            <w:tcBorders>
              <w:bottom w:val="single" w:sz="5" w:space="0" w:color="auto"/>
            </w:tcBorders>
            <w:shd w:val="clear" w:color="auto" w:fill="auto"/>
            <w:vAlign w:val="bottom"/>
          </w:tcPr>
          <w:p w:rsidR="000117C2" w:rsidRDefault="000117C2">
            <w:pPr>
              <w:rPr>
                <w:sz w:val="14"/>
                <w:szCs w:val="14"/>
              </w:rPr>
            </w:pPr>
          </w:p>
        </w:tc>
        <w:tc>
          <w:tcPr>
            <w:tcW w:w="1785" w:type="dxa"/>
            <w:tcBorders>
              <w:bottom w:val="single" w:sz="5" w:space="0" w:color="auto"/>
            </w:tcBorders>
            <w:shd w:val="clear" w:color="auto" w:fill="auto"/>
            <w:vAlign w:val="bottom"/>
          </w:tcPr>
          <w:p w:rsidR="000117C2" w:rsidRPr="0014069A" w:rsidRDefault="00CA6F21">
            <w:pPr>
              <w:rPr>
                <w:rFonts w:ascii="Times New Roman" w:hAnsi="Times New Roman" w:cs="Times New Roman"/>
                <w:sz w:val="14"/>
                <w:szCs w:val="14"/>
              </w:rPr>
            </w:pPr>
            <w:r>
              <w:rPr>
                <w:sz w:val="14"/>
                <w:szCs w:val="14"/>
              </w:rPr>
              <w:t xml:space="preserve">                        </w:t>
            </w:r>
            <w:r w:rsidRPr="0014069A">
              <w:rPr>
                <w:rFonts w:ascii="Times New Roman" w:hAnsi="Times New Roman" w:cs="Times New Roman"/>
                <w:sz w:val="14"/>
                <w:szCs w:val="14"/>
              </w:rPr>
              <w:t>С.В. Попов</w:t>
            </w:r>
          </w:p>
        </w:tc>
        <w:tc>
          <w:tcPr>
            <w:tcW w:w="570" w:type="dxa"/>
            <w:shd w:val="clear" w:color="auto" w:fill="auto"/>
            <w:vAlign w:val="bottom"/>
          </w:tcPr>
          <w:p w:rsidR="000117C2" w:rsidRDefault="000117C2">
            <w:pPr>
              <w:rPr>
                <w:sz w:val="14"/>
                <w:szCs w:val="14"/>
              </w:rPr>
            </w:pPr>
          </w:p>
        </w:tc>
      </w:tr>
      <w:tr w:rsidR="00C13343">
        <w:trPr>
          <w:cantSplit/>
        </w:trPr>
        <w:tc>
          <w:tcPr>
            <w:tcW w:w="465" w:type="dxa"/>
            <w:shd w:val="clear" w:color="auto" w:fill="auto"/>
            <w:vAlign w:val="bottom"/>
          </w:tcPr>
          <w:p w:rsidR="000117C2" w:rsidRDefault="000117C2">
            <w:pPr>
              <w:rPr>
                <w:sz w:val="14"/>
                <w:szCs w:val="14"/>
              </w:rPr>
            </w:pPr>
          </w:p>
        </w:tc>
        <w:tc>
          <w:tcPr>
            <w:tcW w:w="1470" w:type="dxa"/>
            <w:shd w:val="clear" w:color="auto" w:fill="auto"/>
            <w:vAlign w:val="bottom"/>
          </w:tcPr>
          <w:p w:rsidR="000117C2" w:rsidRPr="0014069A" w:rsidRDefault="000117C2">
            <w:pPr>
              <w:rPr>
                <w:rFonts w:ascii="Times New Roman" w:hAnsi="Times New Roman" w:cs="Times New Roman"/>
                <w:sz w:val="14"/>
                <w:szCs w:val="14"/>
              </w:rPr>
            </w:pPr>
          </w:p>
        </w:tc>
        <w:tc>
          <w:tcPr>
            <w:tcW w:w="1245" w:type="dxa"/>
            <w:tcBorders>
              <w:bottom w:val="none" w:sz="5" w:space="0" w:color="auto"/>
            </w:tcBorders>
            <w:shd w:val="clear" w:color="auto" w:fill="auto"/>
            <w:vAlign w:val="bottom"/>
          </w:tcPr>
          <w:p w:rsidR="000117C2" w:rsidRPr="0014069A" w:rsidRDefault="000117C2">
            <w:pPr>
              <w:rPr>
                <w:rFonts w:ascii="Times New Roman" w:hAnsi="Times New Roman" w:cs="Times New Roman"/>
                <w:sz w:val="14"/>
                <w:szCs w:val="14"/>
              </w:rPr>
            </w:pPr>
          </w:p>
        </w:tc>
        <w:tc>
          <w:tcPr>
            <w:tcW w:w="150" w:type="dxa"/>
            <w:shd w:val="clear" w:color="auto" w:fill="auto"/>
            <w:vAlign w:val="bottom"/>
          </w:tcPr>
          <w:p w:rsidR="000117C2" w:rsidRPr="0014069A" w:rsidRDefault="000117C2">
            <w:pPr>
              <w:rPr>
                <w:rFonts w:ascii="Times New Roman" w:hAnsi="Times New Roman" w:cs="Times New Roman"/>
                <w:sz w:val="14"/>
                <w:szCs w:val="14"/>
              </w:rPr>
            </w:pPr>
          </w:p>
        </w:tc>
        <w:tc>
          <w:tcPr>
            <w:tcW w:w="1305" w:type="dxa"/>
            <w:shd w:val="clear" w:color="auto" w:fill="auto"/>
            <w:vAlign w:val="bottom"/>
          </w:tcPr>
          <w:p w:rsidR="000117C2" w:rsidRPr="0014069A" w:rsidRDefault="000117C2">
            <w:pPr>
              <w:rPr>
                <w:rFonts w:ascii="Times New Roman" w:hAnsi="Times New Roman" w:cs="Times New Roman"/>
                <w:sz w:val="14"/>
                <w:szCs w:val="14"/>
              </w:rPr>
            </w:pPr>
          </w:p>
        </w:tc>
        <w:tc>
          <w:tcPr>
            <w:tcW w:w="930" w:type="dxa"/>
            <w:shd w:val="clear" w:color="auto" w:fill="auto"/>
            <w:vAlign w:val="bottom"/>
          </w:tcPr>
          <w:p w:rsidR="000117C2" w:rsidRDefault="000117C2">
            <w:pPr>
              <w:rPr>
                <w:sz w:val="14"/>
                <w:szCs w:val="14"/>
              </w:rPr>
            </w:pPr>
          </w:p>
        </w:tc>
        <w:tc>
          <w:tcPr>
            <w:tcW w:w="675" w:type="dxa"/>
            <w:shd w:val="clear" w:color="auto" w:fill="auto"/>
            <w:vAlign w:val="bottom"/>
          </w:tcPr>
          <w:p w:rsidR="000117C2" w:rsidRDefault="000117C2">
            <w:pPr>
              <w:rPr>
                <w:sz w:val="14"/>
                <w:szCs w:val="14"/>
              </w:rPr>
            </w:pPr>
          </w:p>
        </w:tc>
        <w:tc>
          <w:tcPr>
            <w:tcW w:w="1260" w:type="dxa"/>
            <w:shd w:val="clear" w:color="auto" w:fill="auto"/>
            <w:vAlign w:val="bottom"/>
          </w:tcPr>
          <w:p w:rsidR="000117C2" w:rsidRDefault="000117C2">
            <w:pPr>
              <w:rPr>
                <w:sz w:val="14"/>
                <w:szCs w:val="14"/>
              </w:rPr>
            </w:pPr>
          </w:p>
        </w:tc>
        <w:tc>
          <w:tcPr>
            <w:tcW w:w="150" w:type="dxa"/>
            <w:shd w:val="clear" w:color="auto" w:fill="auto"/>
            <w:vAlign w:val="bottom"/>
          </w:tcPr>
          <w:p w:rsidR="000117C2" w:rsidRDefault="000117C2">
            <w:pPr>
              <w:rPr>
                <w:sz w:val="14"/>
                <w:szCs w:val="14"/>
              </w:rPr>
            </w:pPr>
          </w:p>
        </w:tc>
        <w:tc>
          <w:tcPr>
            <w:tcW w:w="1785" w:type="dxa"/>
            <w:shd w:val="clear" w:color="auto" w:fill="auto"/>
            <w:vAlign w:val="bottom"/>
          </w:tcPr>
          <w:p w:rsidR="000117C2" w:rsidRDefault="000117C2">
            <w:pPr>
              <w:rPr>
                <w:sz w:val="14"/>
                <w:szCs w:val="14"/>
              </w:rPr>
            </w:pPr>
          </w:p>
        </w:tc>
        <w:tc>
          <w:tcPr>
            <w:tcW w:w="570" w:type="dxa"/>
            <w:shd w:val="clear" w:color="auto" w:fill="auto"/>
            <w:vAlign w:val="bottom"/>
          </w:tcPr>
          <w:p w:rsidR="000117C2" w:rsidRDefault="000117C2">
            <w:pPr>
              <w:rPr>
                <w:sz w:val="14"/>
                <w:szCs w:val="14"/>
              </w:rPr>
            </w:pPr>
          </w:p>
        </w:tc>
      </w:tr>
      <w:tr w:rsidR="00C13343">
        <w:trPr>
          <w:cantSplit/>
        </w:trPr>
        <w:tc>
          <w:tcPr>
            <w:tcW w:w="465" w:type="dxa"/>
            <w:shd w:val="clear" w:color="auto" w:fill="auto"/>
            <w:vAlign w:val="bottom"/>
          </w:tcPr>
          <w:p w:rsidR="000117C2" w:rsidRDefault="000117C2">
            <w:pPr>
              <w:rPr>
                <w:sz w:val="14"/>
                <w:szCs w:val="14"/>
              </w:rPr>
            </w:pPr>
          </w:p>
        </w:tc>
        <w:tc>
          <w:tcPr>
            <w:tcW w:w="1470" w:type="dxa"/>
            <w:shd w:val="clear" w:color="auto" w:fill="auto"/>
            <w:vAlign w:val="bottom"/>
          </w:tcPr>
          <w:p w:rsidR="000117C2" w:rsidRPr="0014069A" w:rsidRDefault="00C13343">
            <w:pPr>
              <w:rPr>
                <w:rFonts w:ascii="Times New Roman" w:hAnsi="Times New Roman" w:cs="Times New Roman"/>
                <w:sz w:val="14"/>
                <w:szCs w:val="14"/>
              </w:rPr>
            </w:pPr>
            <w:r>
              <w:rPr>
                <w:rFonts w:ascii="Times New Roman" w:hAnsi="Times New Roman" w:cs="Times New Roman"/>
                <w:sz w:val="14"/>
                <w:szCs w:val="14"/>
              </w:rPr>
              <w:t>_______________</w:t>
            </w:r>
          </w:p>
        </w:tc>
        <w:tc>
          <w:tcPr>
            <w:tcW w:w="1245" w:type="dxa"/>
            <w:tcBorders>
              <w:bottom w:val="single" w:sz="5" w:space="0" w:color="auto"/>
            </w:tcBorders>
            <w:shd w:val="clear" w:color="auto" w:fill="auto"/>
            <w:vAlign w:val="bottom"/>
          </w:tcPr>
          <w:p w:rsidR="000117C2" w:rsidRPr="0014069A" w:rsidRDefault="000117C2">
            <w:pPr>
              <w:rPr>
                <w:rFonts w:ascii="Times New Roman" w:hAnsi="Times New Roman" w:cs="Times New Roman"/>
                <w:sz w:val="14"/>
                <w:szCs w:val="14"/>
              </w:rPr>
            </w:pPr>
          </w:p>
        </w:tc>
        <w:tc>
          <w:tcPr>
            <w:tcW w:w="150" w:type="dxa"/>
            <w:shd w:val="clear" w:color="auto" w:fill="auto"/>
            <w:vAlign w:val="bottom"/>
          </w:tcPr>
          <w:p w:rsidR="000117C2" w:rsidRPr="0014069A" w:rsidRDefault="000117C2">
            <w:pPr>
              <w:rPr>
                <w:rFonts w:ascii="Times New Roman" w:hAnsi="Times New Roman" w:cs="Times New Roman"/>
                <w:sz w:val="14"/>
                <w:szCs w:val="14"/>
              </w:rPr>
            </w:pPr>
          </w:p>
        </w:tc>
        <w:tc>
          <w:tcPr>
            <w:tcW w:w="1305" w:type="dxa"/>
            <w:shd w:val="clear" w:color="auto" w:fill="auto"/>
            <w:vAlign w:val="bottom"/>
          </w:tcPr>
          <w:p w:rsidR="000117C2" w:rsidRPr="0014069A" w:rsidRDefault="00C13343">
            <w:pPr>
              <w:rPr>
                <w:rFonts w:ascii="Times New Roman" w:hAnsi="Times New Roman" w:cs="Times New Roman"/>
                <w:sz w:val="14"/>
                <w:szCs w:val="14"/>
              </w:rPr>
            </w:pPr>
            <w:r>
              <w:rPr>
                <w:rFonts w:ascii="Times New Roman" w:hAnsi="Times New Roman" w:cs="Times New Roman"/>
                <w:sz w:val="14"/>
                <w:szCs w:val="14"/>
              </w:rPr>
              <w:t>______________</w:t>
            </w:r>
            <w:bookmarkStart w:id="1" w:name="_GoBack"/>
            <w:bookmarkEnd w:id="1"/>
          </w:p>
        </w:tc>
        <w:tc>
          <w:tcPr>
            <w:tcW w:w="930" w:type="dxa"/>
            <w:shd w:val="clear" w:color="auto" w:fill="auto"/>
            <w:vAlign w:val="bottom"/>
          </w:tcPr>
          <w:p w:rsidR="000117C2" w:rsidRDefault="000117C2">
            <w:pPr>
              <w:rPr>
                <w:sz w:val="14"/>
                <w:szCs w:val="14"/>
              </w:rPr>
            </w:pPr>
          </w:p>
        </w:tc>
        <w:tc>
          <w:tcPr>
            <w:tcW w:w="675" w:type="dxa"/>
            <w:shd w:val="clear" w:color="auto" w:fill="auto"/>
            <w:vAlign w:val="bottom"/>
          </w:tcPr>
          <w:p w:rsidR="000117C2" w:rsidRDefault="000117C2">
            <w:pPr>
              <w:rPr>
                <w:sz w:val="14"/>
                <w:szCs w:val="14"/>
              </w:rPr>
            </w:pPr>
          </w:p>
        </w:tc>
        <w:tc>
          <w:tcPr>
            <w:tcW w:w="1260" w:type="dxa"/>
            <w:shd w:val="clear" w:color="auto" w:fill="auto"/>
            <w:vAlign w:val="bottom"/>
          </w:tcPr>
          <w:p w:rsidR="000117C2" w:rsidRDefault="000117C2">
            <w:pPr>
              <w:rPr>
                <w:sz w:val="14"/>
                <w:szCs w:val="14"/>
              </w:rPr>
            </w:pPr>
          </w:p>
        </w:tc>
        <w:tc>
          <w:tcPr>
            <w:tcW w:w="150" w:type="dxa"/>
            <w:shd w:val="clear" w:color="auto" w:fill="auto"/>
            <w:vAlign w:val="bottom"/>
          </w:tcPr>
          <w:p w:rsidR="000117C2" w:rsidRDefault="000117C2">
            <w:pPr>
              <w:rPr>
                <w:sz w:val="14"/>
                <w:szCs w:val="14"/>
              </w:rPr>
            </w:pPr>
          </w:p>
        </w:tc>
        <w:tc>
          <w:tcPr>
            <w:tcW w:w="1785" w:type="dxa"/>
            <w:shd w:val="clear" w:color="auto" w:fill="auto"/>
            <w:vAlign w:val="bottom"/>
          </w:tcPr>
          <w:p w:rsidR="000117C2" w:rsidRDefault="000117C2">
            <w:pPr>
              <w:rPr>
                <w:sz w:val="14"/>
                <w:szCs w:val="14"/>
              </w:rPr>
            </w:pPr>
          </w:p>
        </w:tc>
        <w:tc>
          <w:tcPr>
            <w:tcW w:w="570" w:type="dxa"/>
            <w:shd w:val="clear" w:color="auto" w:fill="auto"/>
            <w:vAlign w:val="bottom"/>
          </w:tcPr>
          <w:p w:rsidR="000117C2" w:rsidRDefault="000117C2">
            <w:pPr>
              <w:rPr>
                <w:sz w:val="14"/>
                <w:szCs w:val="14"/>
              </w:rPr>
            </w:pPr>
          </w:p>
        </w:tc>
      </w:tr>
    </w:tbl>
    <w:p w:rsidR="000117C2" w:rsidRDefault="000117C2">
      <w:pPr>
        <w:rPr>
          <w:sz w:val="14"/>
          <w:szCs w:val="14"/>
        </w:rPr>
      </w:pPr>
    </w:p>
    <w:p w:rsidR="000117C2" w:rsidRDefault="000117C2"/>
    <w:sectPr w:rsidR="000117C2">
      <w:pgSz w:w="11906" w:h="16838"/>
      <w:pgMar w:top="568"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68A" w:rsidRDefault="0077768A">
      <w:pPr>
        <w:spacing w:after="0" w:line="240" w:lineRule="auto"/>
      </w:pPr>
      <w:r>
        <w:separator/>
      </w:r>
    </w:p>
  </w:endnote>
  <w:endnote w:type="continuationSeparator" w:id="0">
    <w:p w:rsidR="0077768A" w:rsidRDefault="0077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68A" w:rsidRDefault="0077768A">
      <w:pPr>
        <w:spacing w:after="0" w:line="240" w:lineRule="auto"/>
      </w:pPr>
      <w:r>
        <w:separator/>
      </w:r>
    </w:p>
  </w:footnote>
  <w:footnote w:type="continuationSeparator" w:id="0">
    <w:p w:rsidR="0077768A" w:rsidRDefault="007776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1F0F"/>
    <w:multiLevelType w:val="multilevel"/>
    <w:tmpl w:val="7F30D0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C2"/>
    <w:rsid w:val="000117C2"/>
    <w:rsid w:val="0014069A"/>
    <w:rsid w:val="0077768A"/>
    <w:rsid w:val="00C13343"/>
    <w:rsid w:val="00CA6F21"/>
    <w:rsid w:val="00DF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line="240" w:lineRule="auto"/>
    </w:pPr>
    <w:rPr>
      <w:i/>
      <w:iCs/>
      <w:color w:val="1F497D" w:themeColor="text2"/>
      <w:sz w:val="18"/>
      <w:szCs w:val="18"/>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basedOn w:val="a0"/>
    <w:uiPriority w:val="99"/>
    <w:unhideWhenUsed/>
    <w:rPr>
      <w:color w:val="0000FF" w:themeColor="hyperlink"/>
      <w:u w:val="single"/>
    </w:rPr>
  </w:style>
  <w:style w:type="character" w:styleId="afe">
    <w:name w:val="FollowedHyperlink"/>
    <w:basedOn w:val="a0"/>
    <w:uiPriority w:val="99"/>
    <w:semiHidden/>
    <w:unhideWhenUsed/>
    <w:rPr>
      <w:color w:val="800080" w:themeColor="followedHyperlink"/>
      <w:u w:val="single"/>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
    <w:name w:val="TOC Heading"/>
    <w:uiPriority w:val="39"/>
    <w:unhideWhenUsed/>
  </w:style>
  <w:style w:type="paragraph" w:styleId="aff0">
    <w:name w:val="table of figures"/>
    <w:basedOn w:val="a"/>
    <w:next w:val="a"/>
    <w:uiPriority w:val="99"/>
    <w:unhideWhenUsed/>
    <w:pPr>
      <w:spacing w:after="0"/>
    </w:pPr>
  </w:style>
  <w:style w:type="table" w:customStyle="1" w:styleId="TableStyle0">
    <w:name w:val="TableStyle0"/>
    <w:pPr>
      <w:spacing w:after="0" w:line="240" w:lineRule="auto"/>
    </w:pPr>
    <w:rPr>
      <w:rFonts w:ascii="Arial" w:eastAsiaTheme="minorEastAsia" w:hAnsi="Arial"/>
      <w:sz w:val="11"/>
      <w:szCs w:val="20"/>
      <w:lang w:eastAsia="ru-RU"/>
    </w:rPr>
    <w:tblPr>
      <w:tblCellMar>
        <w:top w:w="0" w:type="dxa"/>
        <w:left w:w="0" w:type="dxa"/>
        <w:bottom w:w="0" w:type="dxa"/>
        <w:right w:w="0" w:type="dxa"/>
      </w:tblCellMar>
    </w:tblPr>
  </w:style>
  <w:style w:type="table" w:customStyle="1" w:styleId="TableStyle1">
    <w:name w:val="TableStyle1"/>
    <w:pPr>
      <w:spacing w:after="0" w:line="240" w:lineRule="auto"/>
    </w:pPr>
    <w:rPr>
      <w:rFonts w:ascii="Arial" w:eastAsiaTheme="minorEastAsia" w:hAnsi="Arial"/>
      <w:sz w:val="11"/>
      <w:szCs w:val="20"/>
      <w:lang w:eastAsia="ru-RU"/>
    </w:rPr>
    <w:tblPr>
      <w:tblCellMar>
        <w:top w:w="0" w:type="dxa"/>
        <w:left w:w="0" w:type="dxa"/>
        <w:bottom w:w="0" w:type="dxa"/>
        <w:right w:w="0" w:type="dxa"/>
      </w:tblCellMar>
    </w:tblPr>
  </w:style>
  <w:style w:type="paragraph" w:styleId="aff1">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line="240" w:lineRule="auto"/>
    </w:pPr>
    <w:rPr>
      <w:i/>
      <w:iCs/>
      <w:color w:val="1F497D" w:themeColor="text2"/>
      <w:sz w:val="18"/>
      <w:szCs w:val="18"/>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basedOn w:val="a0"/>
    <w:uiPriority w:val="99"/>
    <w:unhideWhenUsed/>
    <w:rPr>
      <w:color w:val="0000FF" w:themeColor="hyperlink"/>
      <w:u w:val="single"/>
    </w:rPr>
  </w:style>
  <w:style w:type="character" w:styleId="afe">
    <w:name w:val="FollowedHyperlink"/>
    <w:basedOn w:val="a0"/>
    <w:uiPriority w:val="99"/>
    <w:semiHidden/>
    <w:unhideWhenUsed/>
    <w:rPr>
      <w:color w:val="800080" w:themeColor="followedHyperlink"/>
      <w:u w:val="single"/>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
    <w:name w:val="TOC Heading"/>
    <w:uiPriority w:val="39"/>
    <w:unhideWhenUsed/>
  </w:style>
  <w:style w:type="paragraph" w:styleId="aff0">
    <w:name w:val="table of figures"/>
    <w:basedOn w:val="a"/>
    <w:next w:val="a"/>
    <w:uiPriority w:val="99"/>
    <w:unhideWhenUsed/>
    <w:pPr>
      <w:spacing w:after="0"/>
    </w:pPr>
  </w:style>
  <w:style w:type="table" w:customStyle="1" w:styleId="TableStyle0">
    <w:name w:val="TableStyle0"/>
    <w:pPr>
      <w:spacing w:after="0" w:line="240" w:lineRule="auto"/>
    </w:pPr>
    <w:rPr>
      <w:rFonts w:ascii="Arial" w:eastAsiaTheme="minorEastAsia" w:hAnsi="Arial"/>
      <w:sz w:val="11"/>
      <w:szCs w:val="20"/>
      <w:lang w:eastAsia="ru-RU"/>
    </w:rPr>
    <w:tblPr>
      <w:tblCellMar>
        <w:top w:w="0" w:type="dxa"/>
        <w:left w:w="0" w:type="dxa"/>
        <w:bottom w:w="0" w:type="dxa"/>
        <w:right w:w="0" w:type="dxa"/>
      </w:tblCellMar>
    </w:tblPr>
  </w:style>
  <w:style w:type="table" w:customStyle="1" w:styleId="TableStyle1">
    <w:name w:val="TableStyle1"/>
    <w:pPr>
      <w:spacing w:after="0" w:line="240" w:lineRule="auto"/>
    </w:pPr>
    <w:rPr>
      <w:rFonts w:ascii="Arial" w:eastAsiaTheme="minorEastAsia" w:hAnsi="Arial"/>
      <w:sz w:val="11"/>
      <w:szCs w:val="20"/>
      <w:lang w:eastAsia="ru-RU"/>
    </w:rPr>
    <w:tblPr>
      <w:tblCellMar>
        <w:top w:w="0" w:type="dxa"/>
        <w:left w:w="0" w:type="dxa"/>
        <w:bottom w:w="0" w:type="dxa"/>
        <w:right w:w="0" w:type="dxa"/>
      </w:tblCellMar>
    </w:tblPr>
  </w:style>
  <w:style w:type="paragraph" w:styleId="aff1">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2307</Words>
  <Characters>13152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Климова</dc:creator>
  <cp:lastModifiedBy>Елена Н. Климова</cp:lastModifiedBy>
  <cp:revision>5</cp:revision>
  <dcterms:created xsi:type="dcterms:W3CDTF">2025-04-17T09:37:00Z</dcterms:created>
  <dcterms:modified xsi:type="dcterms:W3CDTF">2026-05-25T06:22:00Z</dcterms:modified>
</cp:coreProperties>
</file>