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5670"/>
        <w:jc w:val="left"/>
        <w:rPr>
          <w:b w:val="0"/>
          <w:sz w:val="22"/>
        </w:rPr>
      </w:pPr>
      <w:bookmarkStart w:id="1" w:name="_GoBack"/>
      <w:bookmarkEnd w:id="1"/>
    </w:p>
    <w:p w14:paraId="02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Обоснование начально</w:t>
      </w:r>
      <w:r>
        <w:rPr>
          <w:b w:val="1"/>
          <w:sz w:val="22"/>
        </w:rPr>
        <w:t>й (максимальной) цены контракта</w:t>
      </w:r>
    </w:p>
    <w:p w14:paraId="03000000">
      <w:pPr>
        <w:ind w:firstLine="567" w:left="0"/>
        <w:jc w:val="both"/>
        <w:rPr>
          <w:sz w:val="22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42"/>
        <w:gridCol w:w="6953"/>
      </w:tblGrid>
      <w:t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tabs>
                <w:tab w:leader="none" w:pos="851" w:val="left"/>
              </w:tabs>
              <w:ind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Основные характеристики объекта закупки</w:t>
            </w:r>
            <w:r>
              <w:rPr>
                <w:b w:val="1"/>
                <w:sz w:val="22"/>
              </w:rPr>
              <w:t>: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tabs>
                <w:tab w:leader="none" w:pos="851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Приведены в </w:t>
            </w:r>
            <w:r>
              <w:rPr>
                <w:sz w:val="22"/>
              </w:rPr>
              <w:t>Техническом задании</w:t>
            </w:r>
          </w:p>
        </w:tc>
      </w:tr>
      <w:tr>
        <w:trPr>
          <w:trHeight w:hRule="atLeast" w:val="1127"/>
        </w:trP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tabs>
                <w:tab w:leader="none" w:pos="851" w:val="left"/>
              </w:tabs>
              <w:ind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 объекта закупки</w:t>
            </w:r>
          </w:p>
          <w:p w14:paraId="07000000">
            <w:pPr>
              <w:tabs>
                <w:tab w:leader="none" w:pos="851" w:val="left"/>
              </w:tabs>
              <w:ind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(наименование предмета контракта)</w:t>
            </w:r>
            <w:r>
              <w:rPr>
                <w:b w:val="1"/>
                <w:sz w:val="22"/>
              </w:rPr>
              <w:t>: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spacing w:after="160" w:line="252" w:lineRule="auto"/>
              <w:ind/>
              <w:jc w:val="both"/>
              <w:rPr>
                <w:sz w:val="22"/>
              </w:rPr>
            </w:pPr>
            <w:r>
              <w:t>Выполнение ремонта помещения Студенческого совета в здании РАМ имени Гнесиных по адресу: г. Москва, ул. Поварская, д. 30-36, стр. 1.</w:t>
            </w:r>
          </w:p>
        </w:tc>
      </w:tr>
      <w:tr>
        <w:trPr>
          <w:trHeight w:hRule="atLeast" w:val="3495"/>
        </w:trP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tabs>
                <w:tab w:leader="none" w:pos="851" w:val="left"/>
              </w:tabs>
              <w:ind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Используемый метод определения НМЦК </w:t>
            </w:r>
            <w:r>
              <w:rPr>
                <w:b w:val="1"/>
                <w:sz w:val="22"/>
              </w:rPr>
              <w:t>c обоснованием: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ind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 xml:space="preserve">Начальная (максимальная) цена контракта определена в соответствии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 с Федеральным законом от 05.04.2013N44-ФЗ «О контрактной системе в сфере закупок товаров, работ, услуг для обеспечения государственных и муниципальных нужд», приказом Минэкономразвития России от 02.10.2013 N567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Приказом Министерства строительства и жилищно-коммунального хозяйства Российской Федерации №841/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пр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 от 23.12.2019 г.</w:t>
            </w:r>
          </w:p>
          <w:p w14:paraId="0B000000">
            <w:pPr>
              <w:ind/>
              <w:jc w:val="both"/>
              <w:rPr>
                <w:sz w:val="22"/>
              </w:rPr>
            </w:pPr>
          </w:p>
        </w:tc>
      </w:tr>
      <w:tr>
        <w:trPr>
          <w:trHeight w:hRule="atLeast" w:val="5483"/>
        </w:trP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tabs>
                <w:tab w:leader="none" w:pos="851" w:val="left"/>
              </w:tabs>
              <w:ind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Расчет НМЦК</w:t>
            </w:r>
            <w:r>
              <w:rPr>
                <w:b w:val="1"/>
                <w:sz w:val="22"/>
              </w:rPr>
              <w:t>: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Начальная (максимальная) цена контракта) составляет 636 020,93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руб. </w:t>
            </w:r>
          </w:p>
          <w:p w14:paraId="0E000000">
            <w:pPr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Согласно части 2 статьи 72 Бюджетного кодекса Российской Федерации государственные (муниципальные) контракты оплачиваются в пределах лимитов бюджетных обязательств. Согласно Письму Министерства экономического развития РФ от 18 декабря 2015 г. № Д28и-3771 "О разъяснении рекомендаций по формированию НМЦК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 xml:space="preserve"> в случае если значение цены в целях определения НМЦК, превышает указанные лимиты, заказчик снижает НМЦК до уровня выделенных лимитов</w:t>
            </w:r>
            <w:r>
              <w:rPr>
                <w:rFonts w:ascii="Times New Roman" w:hAnsi="Times New Roman"/>
                <w:color w:val="000000"/>
                <w:sz w:val="22"/>
              </w:rPr>
              <w:t>.</w:t>
            </w:r>
          </w:p>
          <w:p w14:paraId="0F000000">
            <w:pPr>
              <w:spacing w:line="276" w:lineRule="auto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 целью надлежащего исполнения принципов бюджетной системы Российской Федерации, определённых положениями ст. 28 Бюджетного кодекса Российской Федерации (Федеральный закон от 31.07.1998 № 145-ФЗ), в части касающейся эффективности использования бюджетных средств, Заказчиком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принято решение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о применении понижающего коэффициента (0,70752) с учетом доведенных лимитов бюджетных обязательств. 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пределить НМЦК на </w:t>
            </w:r>
            <w:r>
              <w:rPr>
                <w:rFonts w:ascii="Times New Roman" w:hAnsi="Times New Roman"/>
                <w:sz w:val="22"/>
              </w:rPr>
              <w:t>Выполнение ремонта помещения Студенческого совета в здании РАМ имени Гнесиных по адресу: г. Москва, ул. Поварская, д. 30-36, стр. 1.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 в пределах доведенных лимитов бюджетных обязательств в размере 450 000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(Четыреста пятьдесят тысяч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рублей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00 копеек), в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т.ч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. НДС.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ab/>
            </w:r>
          </w:p>
        </w:tc>
      </w:tr>
      <w:tr>
        <w:trPr>
          <w:trHeight w:hRule="atLeast" w:val="399"/>
        </w:trP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tabs>
                <w:tab w:leader="none" w:pos="851" w:val="left"/>
              </w:tabs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Порядок формирования цены контракта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Цена Контракта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Контракту. </w:t>
            </w:r>
          </w:p>
          <w:p w14:paraId="12000000">
            <w:pPr>
              <w:tabs>
                <w:tab w:leader="none" w:pos="851" w:val="left"/>
              </w:tabs>
              <w:ind/>
              <w:rPr>
                <w:sz w:val="22"/>
              </w:rPr>
            </w:pPr>
          </w:p>
        </w:tc>
      </w:tr>
      <w:tr>
        <w:trPr>
          <w:trHeight w:hRule="atLeast" w:val="399"/>
        </w:trP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tabs>
                <w:tab w:leader="none" w:pos="851" w:val="left"/>
              </w:tabs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</w:rPr>
              <w:t>Форма оплаты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ind/>
              <w:jc w:val="both"/>
            </w:pPr>
            <w:r>
              <w:t>Безналичный расчет</w:t>
            </w:r>
          </w:p>
        </w:tc>
      </w:tr>
      <w:tr>
        <w:trPr>
          <w:trHeight w:hRule="atLeast" w:val="399"/>
        </w:trPr>
        <w:tc>
          <w:tcPr>
            <w:tcW w:type="dxa" w:w="3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tabs>
                <w:tab w:leader="none" w:pos="851" w:val="left"/>
              </w:tabs>
              <w:ind/>
              <w:rPr>
                <w:b w:val="1"/>
              </w:rPr>
            </w:pPr>
            <w:r>
              <w:rPr>
                <w:b w:val="1"/>
              </w:rPr>
              <w:t>Размер аванса</w:t>
            </w:r>
          </w:p>
        </w:tc>
        <w:tc>
          <w:tcPr>
            <w:tcW w:type="dxa" w:w="6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ind/>
              <w:jc w:val="both"/>
            </w:pPr>
            <w:r>
              <w:t>Выплата не предусмотрена</w:t>
            </w:r>
          </w:p>
        </w:tc>
      </w:tr>
    </w:tbl>
    <w:p w14:paraId="17000000">
      <w:pPr>
        <w:pStyle w:val="Style_4"/>
        <w:ind w:firstLine="0" w:left="0" w:right="-53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 </w:t>
      </w:r>
    </w:p>
    <w:p w14:paraId="18000000">
      <w:pPr>
        <w:rPr>
          <w:sz w:val="22"/>
        </w:rPr>
      </w:pPr>
      <w:bookmarkStart w:id="2" w:name="_Hlk207010734"/>
      <w:bookmarkEnd w:id="2"/>
    </w:p>
    <w:p w14:paraId="19000000">
      <w:pPr>
        <w:rPr>
          <w:sz w:val="22"/>
        </w:rPr>
      </w:pPr>
    </w:p>
    <w:p w14:paraId="1A000000">
      <w:pPr>
        <w:rPr>
          <w:sz w:val="22"/>
        </w:rPr>
      </w:pPr>
    </w:p>
    <w:sectPr>
      <w:pgSz w:h="16838" w:orient="portrait" w:w="11906"/>
      <w:pgMar w:bottom="567" w:footer="709" w:gutter="0" w:header="709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4" w:type="paragraph">
    <w:name w:val="ConsPlusNormal"/>
    <w:link w:val="Style_4_ch"/>
    <w:pPr>
      <w:spacing w:after="0" w:line="240" w:lineRule="auto"/>
      <w:ind w:firstLine="720" w:left="0"/>
    </w:pPr>
    <w:rPr>
      <w:rFonts w:ascii="Arial" w:hAnsi="Arial"/>
      <w:sz w:val="20"/>
    </w:rPr>
  </w:style>
  <w:style w:styleId="Style_4_ch" w:type="character">
    <w:name w:val="ConsPlusNormal"/>
    <w:link w:val="Style_4"/>
    <w:rPr>
      <w:rFonts w:ascii="Arial" w:hAnsi="Arial"/>
      <w:sz w:val="20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List Paragraph"/>
    <w:basedOn w:val="Style_5"/>
    <w:link w:val="Style_13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13_ch" w:type="character">
    <w:name w:val="List Paragraph"/>
    <w:basedOn w:val="Style_5_ch"/>
    <w:link w:val="Style_13"/>
    <w:rPr>
      <w:rFonts w:ascii="Calibri" w:hAnsi="Calibri"/>
      <w:sz w:val="22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No Spacing"/>
    <w:link w:val="Style_15_ch"/>
    <w:pPr>
      <w:spacing w:after="0" w:line="240" w:lineRule="auto"/>
      <w:ind/>
    </w:pPr>
    <w:rPr>
      <w:rFonts w:ascii="Calibri" w:hAnsi="Calibri"/>
    </w:rPr>
  </w:style>
  <w:style w:styleId="Style_15_ch" w:type="character">
    <w:name w:val="No Spacing"/>
    <w:link w:val="Style_15"/>
    <w:rPr>
      <w:rFonts w:ascii="Calibri" w:hAnsi="Calibri"/>
    </w:rPr>
  </w:style>
  <w:style w:styleId="Style_1" w:type="paragraph">
    <w:name w:val="АД_Заголовки таблиц"/>
    <w:basedOn w:val="Style_5"/>
    <w:link w:val="Style_1_ch"/>
    <w:pPr>
      <w:ind/>
      <w:jc w:val="center"/>
    </w:pPr>
    <w:rPr>
      <w:b w:val="1"/>
    </w:rPr>
  </w:style>
  <w:style w:styleId="Style_1_ch" w:type="character">
    <w:name w:val="АД_Заголовки таблиц"/>
    <w:basedOn w:val="Style_5_ch"/>
    <w:link w:val="Style_1"/>
    <w:rPr>
      <w:b w:val="1"/>
    </w:rPr>
  </w:style>
  <w:style w:styleId="Style_16" w:type="paragraph">
    <w:name w:val="annotation reference"/>
    <w:basedOn w:val="Style_10"/>
    <w:link w:val="Style_16_ch"/>
    <w:rPr>
      <w:sz w:val="16"/>
    </w:rPr>
  </w:style>
  <w:style w:styleId="Style_16_ch" w:type="character">
    <w:name w:val="annotation reference"/>
    <w:basedOn w:val="Style_10_ch"/>
    <w:link w:val="Style_16"/>
    <w:rPr>
      <w:sz w:val="16"/>
    </w:rPr>
  </w:style>
  <w:style w:styleId="Style_3" w:type="paragraph">
    <w:name w:val="heading 5"/>
    <w:basedOn w:val="Style_5"/>
    <w:next w:val="Style_5"/>
    <w:link w:val="Style_3_ch"/>
    <w:uiPriority w:val="9"/>
    <w:qFormat/>
    <w:pPr>
      <w:spacing w:after="60" w:before="240" w:line="252" w:lineRule="auto"/>
      <w:ind/>
      <w:outlineLvl w:val="4"/>
    </w:pPr>
    <w:rPr>
      <w:rFonts w:ascii="Calibri" w:hAnsi="Calibri"/>
      <w:b w:val="1"/>
      <w:i w:val="1"/>
      <w:sz w:val="26"/>
    </w:rPr>
  </w:style>
  <w:style w:styleId="Style_3_ch" w:type="character">
    <w:name w:val="heading 5"/>
    <w:basedOn w:val="Style_5_ch"/>
    <w:link w:val="Style_3"/>
    <w:rPr>
      <w:rFonts w:ascii="Calibri" w:hAnsi="Calibri"/>
      <w:b w:val="1"/>
      <w:i w:val="1"/>
      <w:sz w:val="26"/>
    </w:rPr>
  </w:style>
  <w:style w:styleId="Style_17" w:type="paragraph">
    <w:name w:val="Normal (Web)"/>
    <w:basedOn w:val="Style_5"/>
    <w:link w:val="Style_17_ch"/>
  </w:style>
  <w:style w:styleId="Style_17_ch" w:type="character">
    <w:name w:val="Normal (Web)"/>
    <w:basedOn w:val="Style_5_ch"/>
    <w:link w:val="Style_17"/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annotation subject"/>
    <w:basedOn w:val="Style_27"/>
    <w:next w:val="Style_27"/>
    <w:link w:val="Style_26_ch"/>
    <w:rPr>
      <w:b w:val="1"/>
    </w:rPr>
  </w:style>
  <w:style w:styleId="Style_26_ch" w:type="character">
    <w:name w:val="annotation subject"/>
    <w:basedOn w:val="Style_27_ch"/>
    <w:link w:val="Style_26"/>
    <w:rPr>
      <w:b w:val="1"/>
    </w:rPr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5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5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27" w:type="paragraph">
    <w:name w:val="annotation text"/>
    <w:basedOn w:val="Style_5"/>
    <w:link w:val="Style_27_ch"/>
    <w:rPr>
      <w:sz w:val="20"/>
    </w:rPr>
  </w:style>
  <w:style w:styleId="Style_27_ch" w:type="character">
    <w:name w:val="annotation text"/>
    <w:basedOn w:val="Style_5_ch"/>
    <w:link w:val="Style_27"/>
    <w:rPr>
      <w:sz w:val="2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2026-08-12T10:21:29Z</dcterms:modified>
</cp:coreProperties>
</file>