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</w:t>
      </w:r>
      <w:r>
        <w:rPr>
          <w:rFonts w:ascii="Times New Roman" w:hAnsi="Times New Roman" w:cs="Times New Roman"/>
          <w:sz w:val="28"/>
          <w:szCs w:val="28"/>
        </w:rPr>
        <w:t xml:space="preserve">нтракта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Поставка (изготовление) штемпел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ьной продукции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 печати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для нужд УФК 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Республике Крым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Используемый метод определения Н</w:t>
      </w:r>
      <w:r>
        <w:rPr>
          <w:rFonts w:ascii="Times New Roman" w:hAnsi="Times New Roman" w:cs="Times New Roman"/>
          <w:sz w:val="28"/>
          <w:szCs w:val="28"/>
        </w:rPr>
        <w:t xml:space="preserve">МЦК(ЦК) </w:t>
      </w:r>
      <w:r>
        <w:rPr>
          <w:rFonts w:ascii="Times New Roman" w:hAnsi="Times New Roman" w:cs="Times New Roman"/>
          <w:sz w:val="28"/>
          <w:szCs w:val="28"/>
        </w:rPr>
        <w:t xml:space="preserve">Метод сопоставимых рыночных цен (анализ рынка)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(в </w:t>
      </w:r>
      <w:r>
        <w:rPr>
          <w:rFonts w:ascii="Times New Roman" w:hAnsi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cs="Times New Roman"/>
          <w:sz w:val="28"/>
          <w:szCs w:val="28"/>
        </w:rPr>
        <w:t xml:space="preserve">. в ЕИС)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Запрос направлен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й: исх. 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05.08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 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/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697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ЕИС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085840000012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000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твет получен от 3 (трех) организаций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на основании данной информации произведен расчет НМЦК (ЦК):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8134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г.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8135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Источник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 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г.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Расчет НМЦК (ЦК) произведен по наименьшему коммерческому пред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ложению: Источник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г.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8134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</w:p>
    <w:tbl>
      <w:tblPr>
        <w:tblW w:w="15242" w:type="dxa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00"/>
        <w:gridCol w:w="1276"/>
        <w:gridCol w:w="1134"/>
        <w:gridCol w:w="1843"/>
        <w:gridCol w:w="991"/>
        <w:gridCol w:w="710"/>
        <w:gridCol w:w="1276"/>
        <w:gridCol w:w="1275"/>
        <w:gridCol w:w="1134"/>
        <w:gridCol w:w="709"/>
        <w:gridCol w:w="992"/>
        <w:gridCol w:w="992"/>
        <w:gridCol w:w="1135"/>
        <w:gridCol w:w="709"/>
        <w:gridCol w:w="566"/>
      </w:tblGrid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товара, работы, услуги по КТРУ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товара, работы, услуги согласно описанию объекта закупки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Типовая принадлежность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измерений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Расчет НМЦК(ЦК)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цена единицы товара (работы, услуги), в том числе с учетом ЛБО (руб.)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НМЦК (ЦК)/ цена единицы товара (работы, услуги) с учетом ЛБО (руб</w:t>
            </w:r>
            <w:r>
              <w:rPr>
                <w:rFonts w:ascii="Times New Roman" w:hAnsi="Times New Roman" w:cs="Times New Roman"/>
              </w:rPr>
              <w:t xml:space="preserve">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Ценовые значения анализа рынка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Коэфф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вариации (v)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Наименьшая цена за единицу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(руб.)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за единицу с учетом </w:t>
            </w:r>
            <w:r>
              <w:rPr>
                <w:rFonts w:ascii="Times New Roman" w:hAnsi="Times New Roman" w:cs="Times New Roman"/>
              </w:rPr>
              <w:t xml:space="preserve">норматив</w:t>
            </w: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  <w:t xml:space="preserve">ных</w:t>
            </w:r>
            <w:r>
              <w:rPr>
                <w:rFonts w:ascii="Times New Roman" w:hAnsi="Times New Roman" w:cs="Times New Roman"/>
              </w:rPr>
              <w:t xml:space="preserve"> затрат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значение НМЦК (ЦК) (руб.)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1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 № 1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 №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 № 3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за ед.(руб.)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за ед.(руб.)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за ед.(руб.)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6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Подушка штемпельная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Подушка штемпельная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подушки штемпельной- сменная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 подушки штемпельной- синий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Дополнительные характеристики:</w:t>
            </w:r>
            <w:r>
              <w:rPr>
                <w:rFonts w:ascii="Times New Roman" w:hAnsi="Times New Roman" w:cs="Times New Roman"/>
                <w:i/>
              </w:rPr>
            </w:r>
            <w:r>
              <w:rPr>
                <w:rFonts w:ascii="Times New Roman" w:hAnsi="Times New Roman" w:cs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Форма-круглая.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в оснастках-</w:t>
            </w:r>
            <w:r>
              <w:rPr>
                <w:rFonts w:ascii="Times New Roman" w:hAnsi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Наличие пропитки чернилами- да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365,00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380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365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1460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Подушка штемпельная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Подушка штемпельная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подушки штемпельной- сменная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 подушки штемпельной- синий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Дополнительные характеристики:</w:t>
            </w:r>
            <w:r>
              <w:rPr>
                <w:rFonts w:ascii="Times New Roman" w:hAnsi="Times New Roman" w:cs="Times New Roman"/>
                <w:i/>
              </w:rPr>
            </w:r>
            <w:r>
              <w:rPr>
                <w:rFonts w:ascii="Times New Roman" w:hAnsi="Times New Roman" w:cs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Форма-круглая.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в оснастках-</w:t>
            </w:r>
            <w:r>
              <w:rPr>
                <w:rFonts w:ascii="Times New Roman" w:hAnsi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Наличие пропитки чернилами- да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1 </w:t>
            </w:r>
            <w:r>
              <w:rPr>
                <w:rFonts w:ascii="Times New Roman" w:hAnsi="Times New Roman" w:cs="Times New Roman"/>
              </w:rPr>
              <w:t xml:space="preserve">608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- гербовая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строк- ≥4 и &lt;6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механизма –автоматический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корпуса-круглая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рамки – Да;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бухгалтерских терминов – нет.</w:t>
            </w:r>
            <w:r>
              <w:rPr>
                <w:rFonts w:ascii="Times New Roman" w:hAnsi="Times New Roman" w:eastAsia="Calibri" w:cs="Times New Roman"/>
                <w:i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</w:rPr>
            </w:r>
            <w:r>
              <w:rPr>
                <w:rFonts w:ascii="Times New Roman" w:hAnsi="Times New Roman" w:eastAsia="Calibri" w:cs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В центре клише располагается зеркальное изображение Государственного герба Российской Федерации;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Изготавливается в соответствии с ГОСТ Р 51511-2001;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Товар должен соответствовать Федеральному Конституционному Закону от 25 декабря 2000 г. № 2-ФКЗ «О Государственном гербе Российской Федерации».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3 600,00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7,15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3 500,00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5 300,00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- гербовая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строк- ≥4 и &lt;6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механизма –автоматический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корпуса-круглая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рамки – Да;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бухгалтерских терминов – нет.</w:t>
            </w:r>
            <w:r>
              <w:rPr>
                <w:rFonts w:ascii="Times New Roman" w:hAnsi="Times New Roman" w:eastAsia="Calibri" w:cs="Times New Roman"/>
                <w:i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</w:rPr>
            </w:r>
            <w:r>
              <w:rPr>
                <w:rFonts w:ascii="Times New Roman" w:hAnsi="Times New Roman" w:eastAsia="Calibri" w:cs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В центре клише располагается зеркальное изображение Государственного герба Российской Федерации;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Изготавливается в соответствии с ГОСТ Р 51511-2001;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</w:rPr>
              <w:t xml:space="preserve">Товар должен соответствовать Федеральному Конституционному Закону от 25 декабря 2000 г. № 2-ФКЗ «О Государственном гербе Российской Федерации».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3 600,00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7,15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3 500,00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5 300,00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3 500,00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- гербовая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строк- ≥4 и &lt;6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механизма –автоматический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корпуса-круглая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рамки – Да;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бухгалтерских терминов – нет.</w:t>
            </w:r>
            <w:r>
              <w:rPr>
                <w:rFonts w:ascii="Times New Roman" w:hAnsi="Times New Roman" w:eastAsia="Calibri" w:cs="Times New Roman"/>
                <w:i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</w:rPr>
            </w:r>
            <w:r>
              <w:rPr>
                <w:rFonts w:ascii="Times New Roman" w:hAnsi="Times New Roman" w:eastAsia="Calibri" w:cs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В центре клише располагается зеркальное изображение Государственного герба Российской Федерации;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Изготавливается в соответствии с ГОСТ Р 51511-2001;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Товар должен соответствовать Федеральному Конституционному Закону от 25 декабря 2000 г. № 2-ФКЗ «О Государственном гербе Российской </w:t>
            </w:r>
            <w:r>
              <w:rPr>
                <w:rFonts w:ascii="Times New Roman" w:hAnsi="Times New Roman" w:eastAsia="Calibri" w:cs="Times New Roman"/>
              </w:rPr>
              <w:t xml:space="preserve">Федерации</w:t>
            </w:r>
            <w:r>
              <w:rPr>
                <w:rFonts w:ascii="Times New Roman" w:hAnsi="Times New Roman" w:eastAsia="Calibri" w:cs="Times New Roman"/>
              </w:rPr>
              <w:t xml:space="preserve">».</w:t>
            </w:r>
            <w:r>
              <w:rPr>
                <w:rFonts w:ascii="Times New Roman" w:hAnsi="Times New Roman" w:eastAsia="Calibri" w:cs="Times New Roman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</w:rPr>
              <w:t xml:space="preserve"> бухгалтерских терминов – нет;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3 600,00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7,15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3 500,00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5 300,00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3 500,00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- гербовая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строк- ≥4 и &lt;6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механизма –автоматический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корпуса-круглая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Штемпель </w:t>
            </w:r>
            <w:r>
              <w:rPr>
                <w:rFonts w:ascii="Times New Roman" w:hAnsi="Times New Roman" w:eastAsia="Calibri" w:cs="Times New Roman"/>
              </w:rPr>
              <w:t xml:space="preserve">самонаборный</w:t>
            </w:r>
            <w:r>
              <w:rPr>
                <w:rFonts w:ascii="Times New Roman" w:hAnsi="Times New Roman" w:eastAsia="Calibri" w:cs="Times New Roman"/>
              </w:rPr>
              <w:t xml:space="preserve"> – нет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рамки – Да;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бухгалтерских терминов – нет.</w:t>
            </w:r>
            <w:r>
              <w:rPr>
                <w:rFonts w:ascii="Times New Roman" w:hAnsi="Times New Roman" w:eastAsia="Calibri" w:cs="Times New Roman"/>
                <w:i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</w:rPr>
            </w:r>
            <w:r>
              <w:rPr>
                <w:rFonts w:ascii="Times New Roman" w:hAnsi="Times New Roman" w:eastAsia="Calibri" w:cs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В центре клише располагается зеркальное изображение Государственного герба Российской Федерации;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Штамп изготавливается в соответствии с ГОСТ Р 51511-2001;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Товар должен соответствовать Федеральному Конституционному Закону от 25 декабря 2000 г. № 2-ФКЗ «О Государственном гербе Российской Федерации».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3 600,00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7,15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 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5 300,00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 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Штемпель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Штемпель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штемпеля- Штамп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строк- ≥4 и &lt;6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механизма –автоматический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корпуса-прямоугольная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Штемпель </w:t>
            </w:r>
            <w:r>
              <w:rPr>
                <w:rFonts w:ascii="Times New Roman" w:hAnsi="Times New Roman" w:eastAsia="Calibri" w:cs="Times New Roman"/>
              </w:rPr>
              <w:t xml:space="preserve">самонаборный</w:t>
            </w:r>
            <w:r>
              <w:rPr>
                <w:rFonts w:ascii="Times New Roman" w:hAnsi="Times New Roman" w:eastAsia="Calibri" w:cs="Times New Roman"/>
              </w:rPr>
              <w:t xml:space="preserve"> – да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рамки – Да;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Наличие бухгалтерских терминов – нет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1 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2 100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2 000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,9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1 903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5 300,00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  <w:t xml:space="preserve"> 03</w:t>
            </w: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5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36 098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38 580</w:t>
            </w:r>
            <w:r>
              <w:rPr>
                <w:rFonts w:ascii="Times New Roman" w:hAnsi="Times New Roman" w:cs="Times New Roman"/>
                <w:lang w:val="en-US"/>
              </w:rPr>
              <w:t xml:space="preserve">.00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39 400</w:t>
            </w:r>
            <w:r>
              <w:rPr>
                <w:rFonts w:ascii="Times New Roman" w:hAnsi="Times New Roman" w:cs="Times New Roman"/>
                <w:lang w:val="en-US"/>
              </w:rPr>
              <w:t xml:space="preserve">.00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Итого НМЦК (ЦК)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36 098</w:t>
            </w:r>
            <w:r>
              <w:rPr>
                <w:rFonts w:ascii="Times New Roman" w:hAnsi="Times New Roman" w:cs="Times New Roman"/>
              </w:rPr>
              <w:t xml:space="preserve">,00</w:t>
            </w:r>
            <w:r>
              <w:rPr>
                <w:rFonts w:ascii="Times New Roman" w:hAnsi="Times New Roman" w:cs="Times New Roman"/>
                <w:b/>
                <w:lang w:val="en-US"/>
              </w:rPr>
            </w:r>
            <w:r>
              <w:rPr>
                <w:rFonts w:ascii="Times New Roman" w:hAnsi="Times New Roman" w:cs="Times New Roman"/>
                <w:b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6839" w:h="11907" w:orient="landscape"/>
      <w:pgMar w:top="851" w:right="567" w:bottom="1134" w:left="1134" w:header="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65325339"/>
      <w:docPartObj>
        <w:docPartGallery w:val="Page Numbers (Top of Page)"/>
        <w:docPartUnique w:val="true"/>
      </w:docPartObj>
      <w:rPr>
        <w:rFonts w:ascii="Times New Roman" w:hAnsi="Times New Roman" w:cs="Times New Roman"/>
        <w:sz w:val="24"/>
        <w:szCs w:val="24"/>
      </w:rPr>
    </w:sdtPr>
    <w:sdtContent>
      <w:p>
        <w:pPr>
          <w:pStyle w:val="87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  <w:p>
        <w:pPr>
          <w:pStyle w:val="87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  <w:p>
        <w:pPr>
          <w:pStyle w:val="87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8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67"/>
    <w:next w:val="867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basedOn w:val="868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67"/>
    <w:next w:val="867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basedOn w:val="868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67"/>
    <w:next w:val="867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basedOn w:val="868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67"/>
    <w:next w:val="867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basedOn w:val="868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67"/>
    <w:next w:val="867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basedOn w:val="868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67"/>
    <w:next w:val="867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basedOn w:val="86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67"/>
    <w:next w:val="867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basedOn w:val="868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67"/>
    <w:next w:val="867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basedOn w:val="868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67"/>
    <w:next w:val="867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basedOn w:val="868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67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67"/>
    <w:next w:val="867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basedOn w:val="868"/>
    <w:link w:val="714"/>
    <w:uiPriority w:val="10"/>
    <w:rPr>
      <w:sz w:val="48"/>
      <w:szCs w:val="48"/>
    </w:rPr>
  </w:style>
  <w:style w:type="paragraph" w:styleId="716">
    <w:name w:val="Subtitle"/>
    <w:basedOn w:val="867"/>
    <w:next w:val="867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basedOn w:val="868"/>
    <w:link w:val="716"/>
    <w:uiPriority w:val="11"/>
    <w:rPr>
      <w:sz w:val="24"/>
      <w:szCs w:val="24"/>
    </w:rPr>
  </w:style>
  <w:style w:type="paragraph" w:styleId="718">
    <w:name w:val="Quote"/>
    <w:basedOn w:val="867"/>
    <w:next w:val="867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67"/>
    <w:next w:val="867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68"/>
    <w:link w:val="875"/>
    <w:uiPriority w:val="99"/>
  </w:style>
  <w:style w:type="character" w:styleId="723">
    <w:name w:val="Footer Char"/>
    <w:basedOn w:val="868"/>
    <w:link w:val="877"/>
    <w:uiPriority w:val="99"/>
  </w:style>
  <w:style w:type="paragraph" w:styleId="724">
    <w:name w:val="Caption"/>
    <w:basedOn w:val="867"/>
    <w:next w:val="867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868"/>
    <w:link w:val="72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5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6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7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8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9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0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character" w:styleId="852">
    <w:name w:val="Footnote Text Char"/>
    <w:link w:val="871"/>
    <w:uiPriority w:val="99"/>
    <w:rPr>
      <w:sz w:val="18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basedOn w:val="868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qFormat/>
  </w:style>
  <w:style w:type="character" w:styleId="868" w:default="1">
    <w:name w:val="Default Paragraph Font"/>
    <w:uiPriority w:val="1"/>
    <w:semiHidden/>
    <w:unhideWhenUsed/>
  </w:style>
  <w:style w:type="table" w:styleId="8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0" w:default="1">
    <w:name w:val="No List"/>
    <w:uiPriority w:val="99"/>
    <w:semiHidden/>
    <w:unhideWhenUsed/>
  </w:style>
  <w:style w:type="paragraph" w:styleId="871">
    <w:name w:val="footnote text"/>
    <w:basedOn w:val="867"/>
    <w:link w:val="87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72" w:customStyle="1">
    <w:name w:val="Текст сноски Знак"/>
    <w:basedOn w:val="868"/>
    <w:link w:val="871"/>
    <w:uiPriority w:val="99"/>
    <w:semiHidden/>
    <w:rPr>
      <w:sz w:val="20"/>
      <w:szCs w:val="20"/>
    </w:rPr>
  </w:style>
  <w:style w:type="character" w:styleId="873">
    <w:name w:val="footnote reference"/>
    <w:basedOn w:val="868"/>
    <w:uiPriority w:val="99"/>
    <w:semiHidden/>
    <w:unhideWhenUsed/>
    <w:rPr>
      <w:vertAlign w:val="superscript"/>
    </w:rPr>
  </w:style>
  <w:style w:type="table" w:styleId="874">
    <w:name w:val="Table Grid"/>
    <w:basedOn w:val="8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5">
    <w:name w:val="Header"/>
    <w:basedOn w:val="867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868"/>
    <w:link w:val="875"/>
    <w:uiPriority w:val="99"/>
  </w:style>
  <w:style w:type="paragraph" w:styleId="877">
    <w:name w:val="Footer"/>
    <w:basedOn w:val="867"/>
    <w:link w:val="8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868"/>
    <w:link w:val="877"/>
    <w:uiPriority w:val="99"/>
  </w:style>
  <w:style w:type="character" w:styleId="879">
    <w:name w:val="annotation reference"/>
    <w:basedOn w:val="868"/>
    <w:uiPriority w:val="99"/>
    <w:semiHidden/>
    <w:unhideWhenUsed/>
    <w:rPr>
      <w:sz w:val="16"/>
      <w:szCs w:val="16"/>
    </w:rPr>
  </w:style>
  <w:style w:type="paragraph" w:styleId="880">
    <w:name w:val="annotation text"/>
    <w:basedOn w:val="867"/>
    <w:link w:val="88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81" w:customStyle="1">
    <w:name w:val="Текст примечания Знак"/>
    <w:basedOn w:val="868"/>
    <w:link w:val="880"/>
    <w:uiPriority w:val="99"/>
    <w:semiHidden/>
    <w:rPr>
      <w:sz w:val="20"/>
      <w:szCs w:val="20"/>
    </w:rPr>
  </w:style>
  <w:style w:type="paragraph" w:styleId="882">
    <w:name w:val="annotation subject"/>
    <w:basedOn w:val="880"/>
    <w:next w:val="880"/>
    <w:link w:val="883"/>
    <w:uiPriority w:val="99"/>
    <w:semiHidden/>
    <w:unhideWhenUsed/>
    <w:rPr>
      <w:b/>
      <w:bCs/>
    </w:rPr>
  </w:style>
  <w:style w:type="character" w:styleId="883" w:customStyle="1">
    <w:name w:val="Тема примечания Знак"/>
    <w:basedOn w:val="881"/>
    <w:link w:val="882"/>
    <w:uiPriority w:val="99"/>
    <w:semiHidden/>
    <w:rPr>
      <w:b/>
      <w:bCs/>
      <w:sz w:val="20"/>
      <w:szCs w:val="20"/>
    </w:rPr>
  </w:style>
  <w:style w:type="paragraph" w:styleId="884">
    <w:name w:val="Balloon Text"/>
    <w:basedOn w:val="867"/>
    <w:link w:val="88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5" w:customStyle="1">
    <w:name w:val="Текст выноски Знак"/>
    <w:basedOn w:val="868"/>
    <w:link w:val="88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B60A4-A7BE-483E-9F1D-1B0DF8CB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Крамарь Екатерина Алексеевна</cp:lastModifiedBy>
  <cp:revision>6</cp:revision>
  <dcterms:created xsi:type="dcterms:W3CDTF">2026-08-06T09:36:00Z</dcterms:created>
  <dcterms:modified xsi:type="dcterms:W3CDTF">2026-08-12T06:49:12Z</dcterms:modified>
</cp:coreProperties>
</file>