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right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000000"/>
          <w:spacing w:val="0"/>
          <w:sz w:val="20"/>
          <w:szCs w:val="20"/>
          <w:highlight w:val="white"/>
        </w:rPr>
      </w:pP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  <w:highlight w:val="white"/>
        </w:rPr>
        <w:t>Приложение к объявлению о закупочной сессии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PT Astra Serif;Times New Roman" w:hAnsi="PT Astra Serif;Times New Roman" w:cs="PT Astra Serif;Times New Roman"/>
          <w:b/>
          <w:b/>
          <w:caps/>
          <w:color w:val="000000"/>
          <w:sz w:val="20"/>
          <w:szCs w:val="20"/>
        </w:rPr>
      </w:pPr>
      <w:r>
        <w:rPr>
          <w:rFonts w:cs="PT Astra Serif;Times New Roman" w:ascii="PT Astra Serif;Times New Roman" w:hAnsi="PT Astra Serif;Times New Roman"/>
          <w:b/>
          <w:caps/>
          <w:color w:val="000000"/>
          <w:sz w:val="20"/>
          <w:szCs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right="-1068" w:hanging="0"/>
        <w:jc w:val="center"/>
        <w:rPr>
          <w:rFonts w:ascii="PT Astra Serif;Times New Roman" w:hAnsi="PT Astra Serif;Times New Roman" w:cs="PT Astra Serif;Times New Roman"/>
          <w:b/>
          <w:b/>
          <w:caps/>
          <w:color w:val="000000"/>
          <w:sz w:val="20"/>
          <w:szCs w:val="20"/>
        </w:rPr>
      </w:pPr>
      <w:r>
        <w:rPr>
          <w:rFonts w:cs="PT Astra Serif;Times New Roman" w:ascii="PT Astra Serif;Times New Roman" w:hAnsi="PT Astra Serif;Times New Roman"/>
          <w:b/>
          <w:caps/>
          <w:color w:val="000000"/>
          <w:sz w:val="20"/>
          <w:szCs w:val="20"/>
        </w:rPr>
        <w:t>ОБОСНОВАНИЕ НАЧАЛЬНОЙ (МАКСИМАЛЬНОЙ) ЦЕНЫ КОНТРАКТА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center"/>
        <w:rPr/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0"/>
          <w:szCs w:val="20"/>
        </w:rPr>
        <w:t xml:space="preserve">на оказание услуг по </w:t>
      </w:r>
      <w:r>
        <w:rPr>
          <w:rStyle w:val="114pt"/>
          <w:rFonts w:eastAsia="Calibri" w:cs="PT Astra Serif;Times New Roman" w:ascii="PT Astra Serif;Times New Roman" w:hAnsi="PT Astra Serif;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техническому осмотру транспортных средств для нужд Главного управления МЧС России по Республике Мордовия (ДТО тех)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lang w:val="ru-RU" w:eastAsia="ru-RU"/>
        </w:rPr>
        <w:t>Идентификационный код закупки: 261132619211613280100100270000000000</w:t>
      </w:r>
    </w:p>
    <w:tbl>
      <w:tblPr>
        <w:tblW w:w="15883" w:type="dxa"/>
        <w:jc w:val="left"/>
        <w:tblInd w:w="-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2205"/>
        <w:gridCol w:w="570"/>
        <w:gridCol w:w="796"/>
        <w:gridCol w:w="915"/>
        <w:gridCol w:w="1469"/>
        <w:gridCol w:w="1410"/>
        <w:gridCol w:w="1425"/>
        <w:gridCol w:w="1307"/>
        <w:gridCol w:w="1411"/>
        <w:gridCol w:w="1049"/>
        <w:gridCol w:w="2815"/>
      </w:tblGrid>
      <w:tr>
        <w:trPr>
          <w:trHeight w:val="23" w:hRule="atLeast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31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tabs>
                <w:tab w:val="clear" w:pos="708"/>
                <w:tab w:val="left" w:pos="720" w:leader="none"/>
              </w:tabs>
              <w:spacing w:lineRule="auto" w:line="240" w:before="0" w:after="0"/>
              <w:ind w:left="0" w:right="0" w:hanging="0"/>
              <w:contextualSpacing/>
              <w:jc w:val="left"/>
              <w:rPr/>
            </w:pPr>
            <w:r>
              <w:rPr>
                <w:rFonts w:eastAsia="Arial Unicode MS" w:cs="PT Astra Serif;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highlight w:val="white"/>
                <w:lang w:eastAsia="ru-RU"/>
              </w:rPr>
              <w:t>Оказание услуг по техническому осмотру транспортных средств для нужд Главного управления МЧС России по Республике Мордовия (ДТО тех)</w:t>
            </w:r>
            <w:r>
              <w:rPr>
                <w:rStyle w:val="114pt"/>
                <w:rFonts w:eastAsia="Calibri" w:cs="PT Astra Serif;Times New Roman" w:ascii="PT Astra Serif;Times New Roman" w:hAnsi="PT Astra Serif;Times New Roman"/>
                <w:b w:val="false"/>
                <w:bCs w:val="false"/>
                <w:i w:val="false"/>
                <w:caps w:val="false"/>
                <w:smallCaps w:val="false"/>
                <w:kern w:val="2"/>
                <w:sz w:val="20"/>
                <w:szCs w:val="20"/>
                <w:highlight w:val="white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720" w:leader="none"/>
              </w:tabs>
              <w:spacing w:lineRule="auto" w:line="240" w:before="0" w:after="0"/>
              <w:ind w:left="0" w:right="34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b w:val="false"/>
                <w:bCs w:val="false"/>
                <w:color w:val="000000"/>
                <w:sz w:val="20"/>
                <w:szCs w:val="20"/>
              </w:rPr>
              <w:t xml:space="preserve">Характеристики объекта закупки указаны в Приложении №2 к </w:t>
            </w:r>
            <w:r>
              <w:rPr>
                <w:rFonts w:cs="PT Astra Serif;Times New Roman" w:ascii="PT Astra Serif;Times New Roman" w:hAnsi="PT Astra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</w:rPr>
              <w:t>Контракту (Приложение к объявле</w:t>
            </w:r>
            <w:r>
              <w:rPr>
                <w:rFonts w:cs="PT Astra Serif;Times New Roman" w:ascii="PT Astra Serif;Times New Roman" w:hAnsi="PT Astra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highlight w:val="white"/>
              </w:rPr>
              <w:t>нию о закупочной сессии)</w:t>
            </w:r>
          </w:p>
        </w:tc>
      </w:tr>
      <w:tr>
        <w:trPr>
          <w:trHeight w:val="23" w:hRule="atLeast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b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0"/>
                <w:szCs w:val="20"/>
              </w:rPr>
              <w:t>Порядок формирования начальной (максимальной) цены контракта</w:t>
            </w:r>
          </w:p>
        </w:tc>
        <w:tc>
          <w:tcPr>
            <w:tcW w:w="131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hd w:val="clear" w:fill="FFFFFF"/>
              <w:tabs>
                <w:tab w:val="clear" w:pos="708"/>
                <w:tab w:val="left" w:pos="709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  <w:lang w:eastAsia="ru-RU"/>
              </w:rPr>
              <w:t>Цена включает в себя все расходы, связанные с оказанием услуг, в том числе транспортные расходы Исполнителя, уплату налогов, сборов и других обязательных платежей, установленных законодательством Российской Федерации, а также все иные затраты Исполнителя, связанные с исполнением Контракта</w:t>
            </w:r>
          </w:p>
        </w:tc>
      </w:tr>
      <w:tr>
        <w:trPr>
          <w:trHeight w:val="23" w:hRule="atLeast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Используемый метод определения НМЦК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с обоснованием</w:t>
            </w:r>
          </w:p>
        </w:tc>
        <w:tc>
          <w:tcPr>
            <w:tcW w:w="131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34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Начальная (максимальная) цена контракта (далее – НМЦК) определена методом сопоставимых рыночных цен (анализа рынка), согласно методическим рекомендациям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 </w:t>
            </w:r>
            <w:r>
              <w:rPr>
                <w:rFonts w:cs="PT Astra Serif;Times New Roman" w:ascii="PT Astra Serif;Times New Roman" w:hAnsi="PT Astra Serif;Times New Roman"/>
                <w:caps/>
                <w:color w:val="000000"/>
                <w:sz w:val="20"/>
                <w:szCs w:val="20"/>
              </w:rPr>
              <w:t>№ 567 (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далее - Методические рекомендации</w:t>
            </w:r>
            <w:r>
              <w:rPr>
                <w:rFonts w:cs="PT Astra Serif;Times New Roman" w:ascii="PT Astra Serif;Times New Roman" w:hAnsi="PT Astra Serif;Times New Roman"/>
                <w:caps/>
                <w:color w:val="000000"/>
                <w:sz w:val="20"/>
                <w:szCs w:val="20"/>
              </w:rPr>
              <w:t>).</w:t>
            </w:r>
          </w:p>
          <w:p>
            <w:pPr>
              <w:pStyle w:val="Normal"/>
              <w:spacing w:lineRule="auto" w:line="240" w:before="0" w:after="0"/>
              <w:ind w:left="0" w:right="34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соответствии с пунктом 3.7.1 Методических рекомендаций, с целью получения цен</w:t>
            </w:r>
            <w:bookmarkStart w:id="0" w:name="_GoBack"/>
            <w:bookmarkEnd w:id="0"/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овой информации Заказчиком были направлены запросы о предоставлении ценовой информации исполнителям обладающим опытом </w:t>
            </w:r>
            <w:r>
              <w:rPr>
                <w:rFonts w:eastAsia="Calibri" w:cs="PT Astra Serif;Times New Roman" w:ascii="PT Astra Serif;Times New Roman" w:hAnsi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оказания услуг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, соответствующих предмету контракта, информация о которых имеется в свободном доступе.</w:t>
            </w:r>
          </w:p>
          <w:p>
            <w:pPr>
              <w:pStyle w:val="Normal"/>
              <w:spacing w:lineRule="auto" w:line="240" w:before="0" w:after="0"/>
              <w:ind w:left="0" w:right="34" w:hanging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целях определения НМЦК использована ценовая информация, полученная по запросам от трех исполнителей.</w:t>
            </w:r>
          </w:p>
          <w:p>
            <w:pPr>
              <w:pStyle w:val="Normal"/>
              <w:spacing w:lineRule="auto" w:line="240" w:before="0" w:after="0"/>
              <w:ind w:left="0" w:right="34" w:hanging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НМЦК рассчитывается исходя из общего количества, требуемых Заказчику услуг и ценовой информации, полученной по запросу Заказчика у исполнителей, осуществляющих оказание услуг, планируемых Заказчиком к закупке, в следующем порядке:</w:t>
            </w:r>
          </w:p>
        </w:tc>
      </w:tr>
      <w:tr>
        <w:trPr>
          <w:trHeight w:val="23" w:hRule="atLeast"/>
        </w:trPr>
        <w:tc>
          <w:tcPr>
            <w:tcW w:w="158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Расчет начальной (максимальной) цены контракта</w:t>
            </w:r>
          </w:p>
        </w:tc>
      </w:tr>
      <w:tr>
        <w:trPr>
          <w:trHeight w:val="1981" w:hRule="atLeast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№</w:t>
            </w:r>
            <w:r>
              <w:rPr>
                <w:rFonts w:eastAsia="PT Astra Serif;Times New Roman"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Наименование услуг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(Объем)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Предложение №1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№01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от 26.01.2026;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№В-171-650 от 29.01.2026),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от 26.01.2026;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№В-171-651 от 29.01.2026),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Предложение №3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(Исх.: №04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от 26.01.2026;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Вх. №В-171-652 от 29.01.2026),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в руб.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Среднее квадратичное отклонение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689610" cy="38989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05" t="-2045" r="-705" b="-2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Коэффициент вариации</w:t>
              <w:br/>
              <w:t>(%)</w:t>
            </w:r>
          </w:p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724535" cy="380365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923" t="-2654" r="-923" b="-2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Средняя рыночная цена за единицу, руб.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 xml:space="preserve">Расчет Н(М)ЦК по формуле:                     </w:t>
            </w:r>
          </w:p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v - количество (объем) закупаемого товара (работы, услуги);</w:t>
              <w:br/>
              <w:t>n - количество значений, используемых в расчете;</w:t>
              <w:br/>
              <w:t>i - номер источника ценовой информации;</w:t>
            </w:r>
          </w:p>
          <w:p>
            <w:pPr>
              <w:pStyle w:val="Normal"/>
              <w:spacing w:lineRule="auto" w:line="240" w:before="0" w:after="0"/>
              <w:ind w:left="-6" w:right="0" w:hanging="0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49225" cy="213995"/>
                  <wp:effectExtent l="0" t="0" r="0" b="0"/>
                  <wp:docPr id="3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7313" t="-4875" r="-7313" b="-4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" cy="21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- цена единицы</w:t>
              <w:br/>
            </w:r>
            <w:r>
              <w:rPr/>
              <w:drawing>
                <wp:inline distT="0" distB="0" distL="0" distR="0">
                  <wp:extent cx="1555750" cy="336550"/>
                  <wp:effectExtent l="0" t="0" r="0" b="0"/>
                  <wp:docPr id="4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683" t="-2819" r="-683" b="-2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33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firstLine="7"/>
              <w:jc w:val="both"/>
              <w:rPr/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Оказание услуг по техническому осмотру специальных транспортных средств оперативных служб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2), автоэвакуаторов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2), транспортных средств с грузоподъемными устройствами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2), транспортных средств - цистерн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2), транспортных средств – цистерн для перевозки и заправки сжиженных углеводородных газов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2), транспортных средств – фургонов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2), транспортных средств для перевозки пищевых продуктов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" w:cs="PT Astra Serif;Times New Roman"/>
                <w:sz w:val="20"/>
                <w:szCs w:val="20"/>
                <w:lang w:eastAsia="en-US"/>
              </w:rPr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" w:cs="PT Astra Serif;Times New Roman"/>
                <w:sz w:val="20"/>
                <w:szCs w:val="20"/>
                <w:lang w:val="en-US" w:eastAsia="en-US"/>
              </w:rPr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2 512.00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2 512.00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2 512.00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2 512.00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5 024.00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Оказание услуг по техническому осмотру специальных транспортных средств оперативных служб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3), автоэвакуаторов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3), транспортных средств с грузоподъемными устройствами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3), транспортных средств - цистерн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3), транспортных средств – цистерн для перевозки и заправки сжиженных углеводородных газов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3), транспортных средств – фургонов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 xml:space="preserve">3), транспортных средств для перевозки пищевых продуктов (на базе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" w:cs="PT Astra Serif;Times New Roman"/>
                <w:sz w:val="20"/>
                <w:szCs w:val="20"/>
                <w:lang w:eastAsia="en-US"/>
              </w:rPr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" w:cs="PT Astra Serif;Times New Roman"/>
                <w:sz w:val="20"/>
                <w:szCs w:val="20"/>
                <w:lang w:val="en-US" w:eastAsia="en-US"/>
              </w:rPr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2 702.00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2 702.00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2 702.00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2 702.00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10 808.00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Оказание услуг по техническому осмотру т</w:t>
            </w:r>
            <w:r>
              <w:rPr>
                <w:rStyle w:val="Strong"/>
                <w:rFonts w:eastAsia="" w:cs="PT Astra Serif;Times New Roman" w:ascii="PT Astra Serif;Times New Roman" w:hAnsi="PT Astra Serif;Times New Roman"/>
                <w:b w:val="false"/>
                <w:sz w:val="20"/>
                <w:szCs w:val="20"/>
                <w:lang w:eastAsia="en-US"/>
              </w:rPr>
              <w:t>ранспортных средств,</w:t>
            </w:r>
            <w:r>
              <w:rPr>
                <w:rFonts w:eastAsia="" w:cs="PT Astra Serif;Times New Roman" w:ascii="PT Astra Serif;Times New Roman" w:hAnsi="PT Astra Serif;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используемых для перевозки пассажиров и имеющих, помимо места водителя, не более восьми мест для сидения (автомобили легковые) (М1)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" w:cs="PT Astra Serif;Times New Roman"/>
                <w:sz w:val="20"/>
                <w:szCs w:val="20"/>
                <w:lang w:eastAsia="en-US"/>
              </w:rPr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" w:cs="PT Astra Serif;Times New Roman"/>
                <w:sz w:val="20"/>
                <w:szCs w:val="20"/>
                <w:lang w:eastAsia="en-US"/>
              </w:rPr>
            </w:pPr>
            <w:r>
              <w:rPr>
                <w:rFonts w:eastAsia="" w:cs="PT Astra Serif;Times New Roman" w:ascii="PT Astra Serif;Times New Roman" w:hAnsi="PT Astra Serif;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1 201.00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1 201.00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1 201.00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6" w:right="-38" w:hanging="0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1 201.00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 w:cs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3 603.00</w:t>
            </w:r>
          </w:p>
        </w:tc>
      </w:tr>
      <w:tr>
        <w:trPr>
          <w:trHeight w:val="195" w:hRule="atLeast"/>
        </w:trPr>
        <w:tc>
          <w:tcPr>
            <w:tcW w:w="130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6" w:right="0" w:hanging="0"/>
              <w:jc w:val="center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19 435.00</w:t>
            </w:r>
          </w:p>
        </w:tc>
      </w:tr>
      <w:tr>
        <w:trPr>
          <w:trHeight w:val="538" w:hRule="atLeast"/>
        </w:trPr>
        <w:tc>
          <w:tcPr>
            <w:tcW w:w="158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 w:cs="PT Astra Serif;Times New Roman"/>
                <w:iCs/>
                <w:color w:val="000000"/>
                <w:sz w:val="20"/>
                <w:szCs w:val="20"/>
              </w:rPr>
            </w:pPr>
            <w:r>
              <w:rPr>
                <w:rFonts w:cs="PT Astra Serif;Times New Roman" w:ascii="PT Astra Serif;Times New Roman" w:hAnsi="PT Astra Serif;Times New Roman"/>
                <w:iCs/>
                <w:color w:val="000000"/>
                <w:sz w:val="20"/>
                <w:szCs w:val="20"/>
              </w:rPr>
              <w:t>Коэффициент вариации менее 33 %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PT Astra Serif;Times New Roman" w:ascii="PT Astra Serif;Times New Roman" w:hAnsi="PT Astra Serif;Times New Roman"/>
                <w:iCs/>
                <w:color w:val="000000"/>
                <w:sz w:val="20"/>
                <w:szCs w:val="20"/>
              </w:rPr>
              <w:t xml:space="preserve">Начальная (максимальная) цена контракта составляет: </w:t>
            </w:r>
            <w:r>
              <w:rPr>
                <w:rFonts w:cs="PT Astra Serif;Times New Roman" w:ascii="PT Astra Serif;Times New Roman" w:hAnsi="PT Astra Serif;Times New Roman"/>
                <w:b/>
                <w:bCs/>
                <w:iCs/>
                <w:color w:val="000000"/>
                <w:sz w:val="20"/>
                <w:szCs w:val="20"/>
              </w:rPr>
              <w:t>19 435</w:t>
            </w:r>
            <w:r>
              <w:rPr>
                <w:rFonts w:cs="PT Astra Serif;Times New Roman" w:ascii="PT Astra Serif;Times New Roman" w:hAnsi="PT Astra Serif;Times New Roman"/>
                <w:b/>
                <w:bCs/>
                <w:iCs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PT Astra Serif;Times New Roman" w:ascii="PT Astra Serif;Times New Roman" w:hAnsi="PT Astra Serif;Times New Roman"/>
                <w:b/>
                <w:bCs/>
                <w:iCs/>
                <w:color w:val="000000"/>
                <w:sz w:val="20"/>
                <w:szCs w:val="20"/>
              </w:rPr>
              <w:t>девятнадцать тысяч четыреста тридцать пять</w:t>
            </w:r>
            <w:r>
              <w:rPr>
                <w:rFonts w:cs="PT Astra Serif;Times New Roman" w:ascii="PT Astra Serif;Times New Roman" w:hAnsi="PT Astra Serif;Times New Roman"/>
                <w:b/>
                <w:bCs/>
                <w:iCs/>
                <w:color w:val="000000"/>
                <w:sz w:val="20"/>
                <w:szCs w:val="20"/>
              </w:rPr>
              <w:t>) рубл</w:t>
            </w:r>
            <w:r>
              <w:rPr>
                <w:rFonts w:cs="PT Astra Serif;Times New Roman" w:ascii="PT Astra Serif;Times New Roman" w:hAnsi="PT Astra Serif;Times New Roman"/>
                <w:b/>
                <w:bCs/>
                <w:iCs/>
                <w:color w:val="000000"/>
                <w:sz w:val="20"/>
                <w:szCs w:val="20"/>
              </w:rPr>
              <w:t>ей</w:t>
            </w:r>
            <w:r>
              <w:rPr>
                <w:rFonts w:cs="PT Astra Serif;Times New Roman" w:ascii="PT Astra Serif;Times New Roman" w:hAnsi="PT Astra Serif;Times New Roman"/>
                <w:b/>
                <w:bCs/>
                <w:iCs/>
                <w:color w:val="000000"/>
                <w:sz w:val="20"/>
                <w:szCs w:val="20"/>
              </w:rPr>
              <w:t xml:space="preserve"> 00 копеек</w:t>
            </w:r>
          </w:p>
        </w:tc>
      </w:tr>
    </w:tbl>
    <w:p>
      <w:pPr>
        <w:pStyle w:val="Normal"/>
        <w:shd w:val="clear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0" w:right="0" w:hanging="0"/>
        <w:jc w:val="both"/>
        <w:rPr>
          <w:rFonts w:ascii="PT Astra Serif;Times New Roman" w:hAnsi="PT Astra Serif;Times New Roman" w:cs="PT Astra Serif;Times New Roman"/>
          <w:sz w:val="20"/>
          <w:szCs w:val="20"/>
        </w:rPr>
      </w:pPr>
      <w:r>
        <w:rPr>
          <w:rFonts w:cs="PT Astra Serif;Times New Roman" w:ascii="PT Astra Serif;Times New Roman" w:hAnsi="PT Astra Serif;Times New Roman"/>
          <w:sz w:val="20"/>
          <w:szCs w:val="20"/>
        </w:rPr>
      </w:r>
    </w:p>
    <w:p>
      <w:pPr>
        <w:pStyle w:val="Normal"/>
        <w:shd w:val="clear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0" w:right="0" w:hanging="0"/>
        <w:jc w:val="both"/>
        <w:rPr>
          <w:rFonts w:ascii="PT Astra Serif;Times New Roman" w:hAnsi="PT Astra Serif;Times New Roman" w:eastAsia="Times New Roman" w:cs="PT Astra Serif;Times New Roman"/>
          <w:color w:val="000000"/>
          <w:sz w:val="20"/>
          <w:szCs w:val="20"/>
          <w:u w:val="single"/>
          <w:lang w:eastAsia="ru-RU"/>
        </w:rPr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u w:val="single"/>
          <w:lang w:eastAsia="ru-RU"/>
        </w:rPr>
        <w:t>Начальник отдела организации контрактной работы (закупочной деятельности) УМТО ГУ МЧС России по Республике Мордовия</w:t>
      </w:r>
    </w:p>
    <w:p>
      <w:pPr>
        <w:pStyle w:val="Normal"/>
        <w:shd w:val="clear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/>
      </w:pPr>
      <w:r>
        <w:rPr>
          <w:rFonts w:eastAsia="PT Astra Serif;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                                            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(должность)</w:t>
      </w:r>
    </w:p>
    <w:p>
      <w:pPr>
        <w:pStyle w:val="Normal"/>
        <w:shd w:val="clear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0" w:right="0" w:hanging="0"/>
        <w:jc w:val="both"/>
        <w:rPr>
          <w:rFonts w:ascii="PT Astra Serif;Times New Roman" w:hAnsi="PT Astra Serif;Times New Roman" w:eastAsia="Times New Roman" w:cs="PT Astra Serif;Times New Roman"/>
          <w:color w:val="000000"/>
          <w:sz w:val="20"/>
          <w:szCs w:val="20"/>
          <w:lang w:eastAsia="ru-RU"/>
        </w:rPr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__________________/Шестопалова Т.И./</w:t>
      </w:r>
    </w:p>
    <w:p>
      <w:pPr>
        <w:pStyle w:val="Normal"/>
        <w:shd w:val="clear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0" w:right="0" w:hanging="0"/>
        <w:jc w:val="both"/>
        <w:rPr/>
      </w:pPr>
      <w:r>
        <w:rPr>
          <w:rFonts w:eastAsia="PT Astra Serif;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  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(подпись/расшифровка подписи)</w:t>
      </w:r>
    </w:p>
    <w:p>
      <w:pPr>
        <w:pStyle w:val="Normal"/>
        <w:widowControl/>
        <w:shd w:val="clear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«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10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»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 xml:space="preserve">августа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0"/>
          <w:szCs w:val="20"/>
          <w:lang w:eastAsia="ru-RU"/>
        </w:rPr>
        <w:t>2026 г.</w:t>
      </w:r>
    </w:p>
    <w:sectPr>
      <w:headerReference w:type="default" r:id="rId6"/>
      <w:headerReference w:type="first" r:id="rId7"/>
      <w:type w:val="nextPage"/>
      <w:pgSz w:orient="landscape" w:w="16838" w:h="11906"/>
      <w:pgMar w:left="567" w:right="566" w:header="567" w:top="1103" w:footer="0" w:bottom="850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Arial Unicode MS">
    <w:charset w:val="01"/>
    <w:family w:val="roman"/>
    <w:pitch w:val="default"/>
  </w:font>
  <w:font w:name="TimesET">
    <w:charset w:val="01"/>
    <w:family w:val="roman"/>
    <w:pitch w:val="default"/>
  </w:font>
  <w:font w:name="Arial Narrow">
    <w:charset w:val="01"/>
    <w:family w:val="roman"/>
    <w:pitch w:val="default"/>
  </w:font>
  <w:font w:name="Times New Roman CYR">
    <w:charset w:val="01"/>
    <w:family w:val="roman"/>
    <w:pitch w:val="default"/>
  </w:font>
  <w:font w:name="Verdana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spacing w:lineRule="auto" w:line="240" w:before="0" w:after="0"/>
      <w:ind w:left="720" w:right="0" w:hanging="360"/>
      <w:outlineLvl w:val="0"/>
    </w:pPr>
    <w:rPr>
      <w:rFonts w:ascii="Times New Roman" w:hAnsi="Times New Roman" w:eastAsia="Times New Roman" w:cs="Times New Roman"/>
      <w:sz w:val="28"/>
      <w:szCs w:val="28"/>
      <w:lang w:val="ru-RU" w:eastAsia="zh-CN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lineRule="auto" w:line="240" w:before="240" w:after="60"/>
      <w:outlineLvl w:val="1"/>
    </w:pPr>
    <w:rPr>
      <w:rFonts w:ascii="Calibri Light" w:hAnsi="Calibri Light" w:eastAsia="Times New Roman" w:cs="Calibri Light"/>
      <w:b/>
      <w:bCs/>
      <w:i/>
      <w:iCs/>
      <w:sz w:val="28"/>
      <w:szCs w:val="28"/>
      <w:lang w:val="ru-RU" w:eastAsia="zh-CN"/>
    </w:rPr>
  </w:style>
  <w:style w:type="paragraph" w:styleId="3">
    <w:name w:val="Heading 3"/>
    <w:basedOn w:val="Normal"/>
    <w:next w:val="Normal"/>
    <w:qFormat/>
    <w:pPr>
      <w:keepNext w:val="true"/>
      <w:suppressAutoHyphens w:val="true"/>
      <w:spacing w:lineRule="auto" w:line="240"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  <w:lang w:eastAsia="zh-CN"/>
    </w:rPr>
  </w:style>
  <w:style w:type="paragraph" w:styleId="5">
    <w:name w:val="Heading 5"/>
    <w:basedOn w:val="Normal"/>
    <w:next w:val="Normal"/>
    <w:qFormat/>
    <w:pPr>
      <w:suppressAutoHyphens w:val="true"/>
      <w:spacing w:lineRule="auto" w:line="240"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Style10">
    <w:name w:val="Абзац списка Знак"/>
    <w:qFormat/>
    <w:rPr>
      <w:rFonts w:ascii="Times New Roman" w:hAnsi="Times New Roman" w:eastAsia="Times New Roman" w:cs="Times New Roman"/>
      <w:sz w:val="20"/>
      <w:szCs w:val="24"/>
      <w:lang w:val="ru-RU" w:eastAsia="ru-RU"/>
    </w:rPr>
  </w:style>
  <w:style w:type="character" w:styleId="Iceouttxt5">
    <w:name w:val="iceouttxt5"/>
    <w:qFormat/>
    <w:rPr>
      <w:rFonts w:ascii="Arial" w:hAnsi="Arial" w:cs="Arial"/>
      <w:color w:val="666666"/>
      <w:sz w:val="13"/>
    </w:rPr>
  </w:style>
  <w:style w:type="character" w:styleId="Style1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sz w:val="28"/>
      <w:szCs w:val="28"/>
      <w:lang w:val="ru-RU" w:eastAsia="zh-CN"/>
    </w:rPr>
  </w:style>
  <w:style w:type="character" w:styleId="21">
    <w:name w:val="Заголовок 2 Знак"/>
    <w:basedOn w:val="DefaultParagraphFont"/>
    <w:qFormat/>
    <w:rPr>
      <w:rFonts w:ascii="Calibri Light" w:hAnsi="Calibri Light" w:eastAsia="Times New Roman" w:cs="Calibri Light"/>
      <w:b/>
      <w:bCs/>
      <w:i/>
      <w:iCs/>
      <w:sz w:val="28"/>
      <w:szCs w:val="28"/>
      <w:lang w:val="ru-RU" w:eastAsia="zh-CN"/>
    </w:rPr>
  </w:style>
  <w:style w:type="character" w:styleId="31">
    <w:name w:val="Заголовок 3 Знак"/>
    <w:basedOn w:val="DefaultParagraphFont"/>
    <w:qFormat/>
    <w:rPr>
      <w:rFonts w:ascii="Calibri Light" w:hAnsi="Calibri Light" w:eastAsia="Times New Roman" w:cs="Times New Roman"/>
      <w:b/>
      <w:bCs/>
      <w:sz w:val="26"/>
      <w:szCs w:val="26"/>
      <w:lang w:eastAsia="zh-CN"/>
    </w:rPr>
  </w:style>
  <w:style w:type="character" w:styleId="51">
    <w:name w:val="Заголовок 5 Знак"/>
    <w:basedOn w:val="DefaultParagraphFont"/>
    <w:qFormat/>
    <w:rPr>
      <w:rFonts w:ascii="Cambria" w:hAnsi="Cambria" w:eastAsia="" w:cs="Times New Roman"/>
      <w:color w:val="243F60"/>
    </w:rPr>
  </w:style>
  <w:style w:type="character" w:styleId="WW8Num3z0">
    <w:name w:val="WW8Num3z0"/>
    <w:qFormat/>
    <w:rPr>
      <w:b/>
      <w:i w:val="false"/>
    </w:rPr>
  </w:style>
  <w:style w:type="character" w:styleId="WW8Num3z1">
    <w:name w:val="WW8Num3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3z2">
    <w:name w:val="WW8Num3z2"/>
    <w:qFormat/>
    <w:rPr>
      <w:b w:val="false"/>
      <w:bCs w:val="false"/>
      <w:i w:val="false"/>
      <w:iCs w:val="false"/>
    </w:rPr>
  </w:style>
  <w:style w:type="character" w:styleId="WW8Num3z3">
    <w:name w:val="WW8Num3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3z4">
    <w:name w:val="WW8Num3z4"/>
    <w:qFormat/>
    <w:rPr/>
  </w:style>
  <w:style w:type="character" w:styleId="WW8Num3z5">
    <w:name w:val="WW8Num3z5"/>
    <w:qFormat/>
    <w:rPr>
      <w:rFonts w:ascii="Symbol" w:hAnsi="Symbol" w:cs="Symbol"/>
    </w:rPr>
  </w:style>
  <w:style w:type="character" w:styleId="4">
    <w:name w:val="Основной шрифт абзаца4"/>
    <w:qFormat/>
    <w:rPr/>
  </w:style>
  <w:style w:type="character" w:styleId="32">
    <w:name w:val="Основной шрифт абзаца3"/>
    <w:qFormat/>
    <w:rPr/>
  </w:style>
  <w:style w:type="character" w:styleId="22">
    <w:name w:val="Основной шрифт абзаца2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/>
    </w:rPr>
  </w:style>
  <w:style w:type="character" w:styleId="WW8Num9z1">
    <w:name w:val="WW8Num9z1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/>
      <w:i w:val="false"/>
    </w:rPr>
  </w:style>
  <w:style w:type="character" w:styleId="WW8Num14z1">
    <w:name w:val="WW8Num14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14z2">
    <w:name w:val="WW8Num14z2"/>
    <w:qFormat/>
    <w:rPr>
      <w:b w:val="false"/>
      <w:bCs w:val="false"/>
      <w:i w:val="false"/>
      <w:iCs w:val="false"/>
    </w:rPr>
  </w:style>
  <w:style w:type="character" w:styleId="WW8Num14z3">
    <w:name w:val="WW8Num14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14z4">
    <w:name w:val="WW8Num14z4"/>
    <w:qFormat/>
    <w:rPr/>
  </w:style>
  <w:style w:type="character" w:styleId="WW8Num14z5">
    <w:name w:val="WW8Num14z5"/>
    <w:qFormat/>
    <w:rPr>
      <w:rFonts w:ascii="Symbol" w:hAnsi="Symbol" w:cs="Symbol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ascii="Times New Roman" w:hAnsi="Times New Roman" w:cs="Times New Roman"/>
      <w:b/>
      <w:sz w:val="22"/>
      <w:szCs w:val="22"/>
      <w:lang w:val="ru-RU"/>
    </w:rPr>
  </w:style>
  <w:style w:type="character" w:styleId="WW8Num16z1">
    <w:name w:val="WW8Num16z1"/>
    <w:qFormat/>
    <w:rPr>
      <w:rFonts w:ascii="Times New Roman" w:hAnsi="Times New Roman" w:cs="Times New Roman"/>
      <w:b w:val="false"/>
      <w:sz w:val="22"/>
      <w:szCs w:val="22"/>
      <w:lang w:val="ru-RU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color w:val="000000"/>
    </w:rPr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cs="Times New Roman"/>
      <w:b/>
    </w:rPr>
  </w:style>
  <w:style w:type="character" w:styleId="WW8Num28z1">
    <w:name w:val="WW8Num28z1"/>
    <w:qFormat/>
    <w:rPr>
      <w:rFonts w:cs="Times New Roman"/>
    </w:rPr>
  </w:style>
  <w:style w:type="character" w:styleId="WW8NumSt17z0">
    <w:name w:val="WW8NumSt17z0"/>
    <w:qFormat/>
    <w:rPr>
      <w:b/>
    </w:rPr>
  </w:style>
  <w:style w:type="character" w:styleId="WW8NumSt17z1">
    <w:name w:val="WW8NumSt17z1"/>
    <w:qFormat/>
    <w:rPr>
      <w:b w:val="false"/>
    </w:rPr>
  </w:style>
  <w:style w:type="character" w:styleId="WW8NumSt17z2">
    <w:name w:val="WW8NumSt17z2"/>
    <w:qFormat/>
    <w:rPr/>
  </w:style>
  <w:style w:type="character" w:styleId="12">
    <w:name w:val="Основной шрифт абзаца1"/>
    <w:qFormat/>
    <w:rPr/>
  </w:style>
  <w:style w:type="character" w:styleId="Style12">
    <w:name w:val="Нижний колонтитул Знак"/>
    <w:qFormat/>
    <w:rPr>
      <w:rFonts w:ascii="Times New Roman" w:hAnsi="Times New Roman" w:eastAsia="Times New Roman" w:cs="Times New Roman"/>
      <w:b/>
      <w:caps/>
      <w:sz w:val="24"/>
      <w:szCs w:val="24"/>
    </w:rPr>
  </w:style>
  <w:style w:type="character" w:styleId="Style13">
    <w:name w:val="Интернет-ссылка"/>
    <w:rPr>
      <w:color w:val="0000FF"/>
      <w:u w:val="single"/>
    </w:rPr>
  </w:style>
  <w:style w:type="character" w:styleId="S10">
    <w:name w:val="s_10"/>
    <w:basedOn w:val="12"/>
    <w:qFormat/>
    <w:rPr/>
  </w:style>
  <w:style w:type="character" w:styleId="Style14">
    <w:name w:val="Гипертекстовая ссылка"/>
    <w:qFormat/>
    <w:rPr>
      <w:color w:val="106BBE"/>
    </w:rPr>
  </w:style>
  <w:style w:type="character" w:styleId="ConsPlusNormal">
    <w:name w:val="ConsPlusNormal Знак"/>
    <w:qFormat/>
    <w:rPr>
      <w:rFonts w:ascii="Arial" w:hAnsi="Arial" w:eastAsia="Times New Roman" w:cs="Arial"/>
      <w:sz w:val="22"/>
      <w:szCs w:val="22"/>
      <w:lang w:bidi="ar-SA"/>
    </w:rPr>
  </w:style>
  <w:style w:type="character" w:styleId="Style15">
    <w:name w:val="Основной текст с отступом Знак"/>
    <w:qFormat/>
    <w:rPr>
      <w:rFonts w:ascii="Arial Unicode MS" w:hAnsi="Arial Unicode MS" w:eastAsia="Arial Unicode MS" w:cs="Times New Roman"/>
      <w:color w:val="000000"/>
      <w:sz w:val="24"/>
      <w:szCs w:val="24"/>
      <w:lang w:val="en-US" w:eastAsia="zh-CN"/>
    </w:rPr>
  </w:style>
  <w:style w:type="character" w:styleId="13">
    <w:name w:val="Знак примечания1"/>
    <w:qFormat/>
    <w:rPr>
      <w:sz w:val="16"/>
      <w:szCs w:val="16"/>
    </w:rPr>
  </w:style>
  <w:style w:type="character" w:styleId="Style16">
    <w:name w:val="Текст примечания Знак"/>
    <w:qFormat/>
    <w:rPr>
      <w:rFonts w:ascii="Times New Roman" w:hAnsi="Times New Roman" w:eastAsia="Times New Roman" w:cs="Times New Roman"/>
      <w:bCs/>
      <w:sz w:val="20"/>
      <w:szCs w:val="20"/>
    </w:rPr>
  </w:style>
  <w:style w:type="character" w:styleId="Style17">
    <w:name w:val="Тема примечания Знак"/>
    <w:qFormat/>
    <w:rPr>
      <w:rFonts w:ascii="Times New Roman" w:hAnsi="Times New Roman" w:eastAsia="Times New Roman" w:cs="Times New Roman"/>
      <w:b/>
      <w:bCs w:val="false"/>
      <w:sz w:val="20"/>
      <w:szCs w:val="20"/>
    </w:rPr>
  </w:style>
  <w:style w:type="character" w:styleId="Style18">
    <w:name w:val="Основной текст_"/>
    <w:qFormat/>
    <w:rPr>
      <w:spacing w:val="4"/>
      <w:shd w:fill="FFFFFF" w:val="clear"/>
    </w:rPr>
  </w:style>
  <w:style w:type="character" w:styleId="Style19">
    <w:name w:val="Верхний колонтитул Знак"/>
    <w:qFormat/>
    <w:rPr>
      <w:rFonts w:ascii="Times New Roman" w:hAnsi="Times New Roman" w:eastAsia="Times New Roman" w:cs="Times New Roman"/>
      <w:bCs/>
      <w:sz w:val="22"/>
      <w:szCs w:val="28"/>
    </w:rPr>
  </w:style>
  <w:style w:type="character" w:styleId="Blk">
    <w:name w:val="blk"/>
    <w:basedOn w:val="12"/>
    <w:qFormat/>
    <w:rPr/>
  </w:style>
  <w:style w:type="character" w:styleId="HTML">
    <w:name w:val="Стандартный HTML Знак"/>
    <w:qFormat/>
    <w:rPr>
      <w:rFonts w:ascii="Courier New" w:hAnsi="Courier New" w:eastAsia="Courier New" w:cs="Courier New"/>
      <w:color w:val="000000"/>
      <w:lang w:val="en-US" w:bidi="en-US"/>
    </w:rPr>
  </w:style>
  <w:style w:type="character" w:styleId="Titleinfotitletext">
    <w:name w:val="title-info-title-text"/>
    <w:qFormat/>
    <w:rPr/>
  </w:style>
  <w:style w:type="character" w:styleId="Pinkbg">
    <w:name w:val="pinkbg"/>
    <w:qFormat/>
    <w:rPr/>
  </w:style>
  <w:style w:type="character" w:styleId="Highlightsearch">
    <w:name w:val="highlightsearch"/>
    <w:qFormat/>
    <w:rPr/>
  </w:style>
  <w:style w:type="character" w:styleId="Style20">
    <w:name w:val="Символ сноски"/>
    <w:qFormat/>
    <w:rPr>
      <w:vertAlign w:val="superscript"/>
    </w:rPr>
  </w:style>
  <w:style w:type="character" w:styleId="Style21">
    <w:name w:val="Текст сноски Знак"/>
    <w:qFormat/>
    <w:rPr>
      <w:rFonts w:ascii="Times New Roman" w:hAnsi="Times New Roman" w:eastAsia="Times New Roman" w:cs="Times New Roman"/>
      <w:bCs/>
    </w:rPr>
  </w:style>
  <w:style w:type="character" w:styleId="Style22">
    <w:name w:val="Без интервала Знак"/>
    <w:qFormat/>
    <w:rPr>
      <w:rFonts w:eastAsia="Times New Roman"/>
      <w:sz w:val="22"/>
      <w:szCs w:val="22"/>
      <w:lang w:eastAsia="zh-CN" w:bidi="ar-SA"/>
    </w:rPr>
  </w:style>
  <w:style w:type="character" w:styleId="Style23">
    <w:name w:val="Неразрешенное упоминание"/>
    <w:qFormat/>
    <w:rPr>
      <w:color w:val="605E5C"/>
      <w:shd w:fill="E1DFDD" w:val="clear"/>
    </w:rPr>
  </w:style>
  <w:style w:type="character" w:styleId="Dblock">
    <w:name w:val="d-block"/>
    <w:qFormat/>
    <w:rPr/>
  </w:style>
  <w:style w:type="character" w:styleId="Highlightsearch4">
    <w:name w:val="highlightsearch4"/>
    <w:qFormat/>
    <w:rPr/>
  </w:style>
  <w:style w:type="character" w:styleId="Cardmaininfotitle2">
    <w:name w:val="cardmaininfo__title2"/>
    <w:qFormat/>
    <w:rPr>
      <w:color w:val="909EBB"/>
    </w:rPr>
  </w:style>
  <w:style w:type="character" w:styleId="Cardmaininfocontent2">
    <w:name w:val="cardmaininfo__content2"/>
    <w:qFormat/>
    <w:rPr>
      <w:vanish w:val="false"/>
    </w:rPr>
  </w:style>
  <w:style w:type="character" w:styleId="S104">
    <w:name w:val="s_104"/>
    <w:qFormat/>
    <w:rPr/>
  </w:style>
  <w:style w:type="character" w:styleId="Style24">
    <w:name w:val="Цветовое выделение"/>
    <w:qFormat/>
    <w:rPr>
      <w:b/>
      <w:color w:val="26282F"/>
    </w:rPr>
  </w:style>
  <w:style w:type="character" w:styleId="CharChar">
    <w:name w:val="Обычный Char Char"/>
    <w:qFormat/>
    <w:rPr>
      <w:rFonts w:ascii="TimesET" w:hAnsi="TimesET" w:eastAsia="Times New Roman" w:cs="TimesET"/>
      <w:sz w:val="24"/>
      <w:szCs w:val="24"/>
      <w:lang w:bidi="ar-SA"/>
    </w:rPr>
  </w:style>
  <w:style w:type="character" w:styleId="Style25">
    <w:name w:val="Выделение"/>
    <w:qFormat/>
    <w:rPr>
      <w:i/>
      <w:iCs/>
    </w:rPr>
  </w:style>
  <w:style w:type="character" w:styleId="Searchresult2">
    <w:name w:val="search_result2"/>
    <w:qFormat/>
    <w:rPr/>
  </w:style>
  <w:style w:type="character" w:styleId="Style26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Ikzvalue">
    <w:name w:val="ikzvalue"/>
    <w:qFormat/>
    <w:rPr/>
  </w:style>
  <w:style w:type="character" w:styleId="Strong">
    <w:name w:val="Strong"/>
    <w:qFormat/>
    <w:rPr>
      <w:b/>
      <w:bCs/>
    </w:rPr>
  </w:style>
  <w:style w:type="character" w:styleId="23">
    <w:name w:val="Знак сноски2"/>
    <w:qFormat/>
    <w:rPr>
      <w:vertAlign w:val="superscript"/>
    </w:rPr>
  </w:style>
  <w:style w:type="character" w:styleId="Style27">
    <w:name w:val="Символ концевой сноски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14">
    <w:name w:val="Знак концевой сноски1"/>
    <w:qFormat/>
    <w:rPr>
      <w:vertAlign w:val="superscript"/>
    </w:rPr>
  </w:style>
  <w:style w:type="character" w:styleId="Style28">
    <w:name w:val="Символ нумерации"/>
    <w:qFormat/>
    <w:rPr/>
  </w:style>
  <w:style w:type="character" w:styleId="Style29">
    <w:name w:val="Посещённая гиперссылка"/>
    <w:rPr>
      <w:color w:val="800000"/>
      <w:u w:val="single"/>
    </w:rPr>
  </w:style>
  <w:style w:type="character" w:styleId="15">
    <w:name w:val="Знак сноски1"/>
    <w:qFormat/>
    <w:rPr>
      <w:vertAlign w:val="superscript"/>
    </w:rPr>
  </w:style>
  <w:style w:type="character" w:styleId="33">
    <w:name w:val="Знак сноски3"/>
    <w:qFormat/>
    <w:rPr>
      <w:vertAlign w:val="superscript"/>
    </w:rPr>
  </w:style>
  <w:style w:type="character" w:styleId="24">
    <w:name w:val="Знак концевой сноски2"/>
    <w:qFormat/>
    <w:rPr>
      <w:vertAlign w:val="superscript"/>
    </w:rPr>
  </w:style>
  <w:style w:type="character" w:styleId="41">
    <w:name w:val="Знак сноски4"/>
    <w:qFormat/>
    <w:rPr>
      <w:vertAlign w:val="superscript"/>
    </w:rPr>
  </w:style>
  <w:style w:type="character" w:styleId="34">
    <w:name w:val="Знак концевой сноски3"/>
    <w:qFormat/>
    <w:rPr>
      <w:vertAlign w:val="superscript"/>
    </w:rPr>
  </w:style>
  <w:style w:type="character" w:styleId="Style30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31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16">
    <w:name w:val="Основной текст Знак1"/>
    <w:basedOn w:val="DefaultParagraphFont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7">
    <w:name w:val="Нижний колонтитул Знак1"/>
    <w:basedOn w:val="DefaultParagraphFont"/>
    <w:qFormat/>
    <w:rPr>
      <w:rFonts w:ascii="Times New Roman" w:hAnsi="Times New Roman" w:eastAsia="Times New Roman" w:cs="Times New Roman"/>
      <w:b/>
      <w:caps/>
      <w:sz w:val="24"/>
      <w:szCs w:val="24"/>
      <w:lang w:val="ru-RU" w:eastAsia="zh-CN"/>
    </w:rPr>
  </w:style>
  <w:style w:type="character" w:styleId="18">
    <w:name w:val="Основной текст с отступом Знак1"/>
    <w:basedOn w:val="DefaultParagraphFont"/>
    <w:qFormat/>
    <w:rPr>
      <w:rFonts w:ascii="Arial Unicode MS" w:hAnsi="Arial Unicode MS" w:eastAsia="Arial Unicode MS" w:cs="Arial Unicode MS"/>
      <w:color w:val="000000"/>
      <w:sz w:val="24"/>
      <w:szCs w:val="24"/>
      <w:lang w:val="en-US" w:eastAsia="zh-CN"/>
    </w:rPr>
  </w:style>
  <w:style w:type="character" w:styleId="19">
    <w:name w:val="Текст примечания Знак1"/>
    <w:basedOn w:val="DefaultParagraphFont"/>
    <w:qFormat/>
    <w:rPr>
      <w:sz w:val="20"/>
      <w:szCs w:val="20"/>
    </w:rPr>
  </w:style>
  <w:style w:type="character" w:styleId="110">
    <w:name w:val="Тема примечания Знак1"/>
    <w:basedOn w:val="19"/>
    <w:qFormat/>
    <w:rPr>
      <w:rFonts w:ascii="Times New Roman" w:hAnsi="Times New Roman" w:eastAsia="Times New Roman" w:cs="Times New Roman"/>
      <w:b/>
      <w:sz w:val="20"/>
      <w:szCs w:val="20"/>
      <w:lang w:val="ru-RU" w:eastAsia="zh-CN"/>
    </w:rPr>
  </w:style>
  <w:style w:type="character" w:styleId="111">
    <w:name w:val="Верхний колонтитул Знак1"/>
    <w:basedOn w:val="DefaultParagraphFont"/>
    <w:qFormat/>
    <w:rPr>
      <w:rFonts w:ascii="Times New Roman" w:hAnsi="Times New Roman" w:eastAsia="Times New Roman" w:cs="Times New Roman"/>
      <w:bCs/>
      <w:szCs w:val="28"/>
      <w:lang w:val="ru-RU" w:eastAsia="zh-CN"/>
    </w:rPr>
  </w:style>
  <w:style w:type="character" w:styleId="HTML1">
    <w:name w:val="Стандартный HTML Знак1"/>
    <w:basedOn w:val="DefaultParagraphFont"/>
    <w:qFormat/>
    <w:rPr>
      <w:rFonts w:ascii="Courier New" w:hAnsi="Courier New" w:eastAsia="Courier New" w:cs="Courier New"/>
      <w:color w:val="000000"/>
      <w:sz w:val="20"/>
      <w:szCs w:val="20"/>
      <w:lang w:val="en-US" w:eastAsia="zh-CN" w:bidi="en-US"/>
    </w:rPr>
  </w:style>
  <w:style w:type="character" w:styleId="112">
    <w:name w:val="Текст сноски Знак1"/>
    <w:basedOn w:val="DefaultParagraphFont"/>
    <w:qFormat/>
    <w:rPr>
      <w:rFonts w:ascii="Times New Roman" w:hAnsi="Times New Roman" w:eastAsia="Times New Roman" w:cs="Times New Roman"/>
      <w:bCs/>
      <w:sz w:val="20"/>
      <w:szCs w:val="20"/>
      <w:lang w:val="ru-RU" w:eastAsia="zh-CN"/>
    </w:rPr>
  </w:style>
  <w:style w:type="character" w:styleId="Pfeaturesitemname">
    <w:name w:val="p-features__item-name"/>
    <w:qFormat/>
    <w:rPr/>
  </w:style>
  <w:style w:type="character" w:styleId="Pfeaturesitemval">
    <w:name w:val="p-features__item-val"/>
    <w:qFormat/>
    <w:rPr/>
  </w:style>
  <w:style w:type="character" w:styleId="511">
    <w:name w:val="Заголовок 5 Знак1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Jsproductsku">
    <w:name w:val="js-product-sku"/>
    <w:qFormat/>
    <w:rPr/>
  </w:style>
  <w:style w:type="character" w:styleId="Modalbuttonbutton3fjtp">
    <w:name w:val="modalbutton__button___3fjtp"/>
    <w:qFormat/>
    <w:rPr/>
  </w:style>
  <w:style w:type="character" w:styleId="Nonretailappraisetablesectionarticlespan3cdym">
    <w:name w:val="nonretailappraisetablesection__articlespan___3cdym"/>
    <w:qFormat/>
    <w:rPr/>
  </w:style>
  <w:style w:type="character" w:styleId="114pt">
    <w:name w:val="Заголовок №1 + 14 pt"/>
    <w:basedOn w:val="DefaultParagraphFont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paragraph" w:styleId="Style32">
    <w:name w:val="Заголовок"/>
    <w:basedOn w:val="Normal"/>
    <w:next w:val="Style3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33">
    <w:name w:val="Body Text"/>
    <w:basedOn w:val="Normal"/>
    <w:pPr>
      <w:suppressAutoHyphens w:val="true"/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34">
    <w:name w:val="List"/>
    <w:basedOn w:val="Style33"/>
    <w:pPr/>
    <w:rPr>
      <w:rFonts w:ascii="PT Astra Serif" w:hAnsi="PT Astra Serif" w:cs="Noto Sans Devanagari"/>
    </w:rPr>
  </w:style>
  <w:style w:type="paragraph" w:styleId="Style3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right="0" w:hanging="0"/>
      <w:contextualSpacing/>
    </w:pPr>
    <w:rPr>
      <w:rFonts w:ascii="Times New Roman" w:hAnsi="Times New Roman" w:eastAsia="Times New Roman" w:cs="Times New Roman"/>
      <w:sz w:val="20"/>
      <w:szCs w:val="24"/>
      <w:lang w:val="ru-RU"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7">
    <w:name w:val="Таблицы (моноширинный)"/>
    <w:basedOn w:val="Normal"/>
    <w:next w:val="Normal"/>
    <w:qFormat/>
    <w:pPr>
      <w:widowControl w:val="false"/>
      <w:spacing w:lineRule="auto" w:line="240" w:before="0" w:after="0"/>
    </w:pPr>
    <w:rPr>
      <w:rFonts w:ascii="Courier New" w:hAnsi="Courier New" w:eastAsia="" w:cs="Courier New"/>
      <w:sz w:val="24"/>
      <w:szCs w:val="24"/>
      <w:lang w:eastAsia="ru-RU"/>
    </w:rPr>
  </w:style>
  <w:style w:type="paragraph" w:styleId="Parametervalue">
    <w:name w:val="parametervalue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113">
    <w:name w:val="Заголовок1"/>
    <w:basedOn w:val="Normal"/>
    <w:next w:val="Style33"/>
    <w:qFormat/>
    <w:pPr>
      <w:keepNext w:val="true"/>
      <w:suppressAutoHyphens w:val="true"/>
      <w:spacing w:lineRule="auto" w:line="240" w:before="240" w:after="120"/>
    </w:pPr>
    <w:rPr>
      <w:rFonts w:ascii="PT Astra Serif" w:hAnsi="PT Astra Serif" w:eastAsia="Tahoma" w:cs="Noto Sans Devanagari"/>
      <w:sz w:val="28"/>
      <w:szCs w:val="28"/>
      <w:lang w:eastAsia="zh-CN"/>
    </w:rPr>
  </w:style>
  <w:style w:type="paragraph" w:styleId="Caption">
    <w:name w:val="caption"/>
    <w:basedOn w:val="Normal"/>
    <w:qFormat/>
    <w:pPr>
      <w:suppressLineNumbers/>
      <w:suppressAutoHyphens w:val="true"/>
      <w:spacing w:lineRule="auto" w:line="240" w:before="120" w:after="120"/>
    </w:pPr>
    <w:rPr>
      <w:rFonts w:ascii="PT Astra Serif" w:hAnsi="PT Astra Serif" w:eastAsia="Times New Roman" w:cs="Noto Sans Devanagari"/>
      <w:i/>
      <w:iCs/>
      <w:sz w:val="24"/>
      <w:szCs w:val="24"/>
      <w:lang w:eastAsia="zh-CN"/>
    </w:rPr>
  </w:style>
  <w:style w:type="paragraph" w:styleId="42">
    <w:name w:val="Указатель4"/>
    <w:basedOn w:val="Normal"/>
    <w:qFormat/>
    <w:pPr>
      <w:suppressLineNumbers/>
      <w:suppressAutoHyphens w:val="true"/>
      <w:spacing w:lineRule="auto" w:line="240" w:before="0" w:after="0"/>
    </w:pPr>
    <w:rPr>
      <w:rFonts w:ascii="PT Astra Serif" w:hAnsi="PT Astra Serif" w:eastAsia="Times New Roman" w:cs="Noto Sans Devanagari"/>
      <w:sz w:val="24"/>
      <w:szCs w:val="24"/>
      <w:lang w:eastAsia="zh-CN"/>
    </w:rPr>
  </w:style>
  <w:style w:type="paragraph" w:styleId="35">
    <w:name w:val="Название объекта3"/>
    <w:basedOn w:val="Normal"/>
    <w:qFormat/>
    <w:pPr>
      <w:suppressLineNumbers/>
      <w:suppressAutoHyphens w:val="true"/>
      <w:spacing w:lineRule="auto" w:line="240" w:before="120" w:after="120"/>
    </w:pPr>
    <w:rPr>
      <w:rFonts w:ascii="PT Astra Serif" w:hAnsi="PT Astra Serif" w:eastAsia="Times New Roman" w:cs="Noto Sans Devanagari"/>
      <w:i/>
      <w:iCs/>
      <w:sz w:val="24"/>
      <w:szCs w:val="24"/>
      <w:lang w:eastAsia="zh-CN"/>
    </w:rPr>
  </w:style>
  <w:style w:type="paragraph" w:styleId="36">
    <w:name w:val="Указатель3"/>
    <w:basedOn w:val="Normal"/>
    <w:qFormat/>
    <w:pPr>
      <w:suppressLineNumbers/>
      <w:suppressAutoHyphens w:val="true"/>
      <w:spacing w:lineRule="auto" w:line="240" w:before="0" w:after="0"/>
    </w:pPr>
    <w:rPr>
      <w:rFonts w:ascii="PT Astra Serif" w:hAnsi="PT Astra Serif" w:eastAsia="Times New Roman" w:cs="Noto Sans Devanagari"/>
      <w:sz w:val="24"/>
      <w:szCs w:val="24"/>
      <w:lang w:eastAsia="zh-CN"/>
    </w:rPr>
  </w:style>
  <w:style w:type="paragraph" w:styleId="25">
    <w:name w:val="Название объекта2"/>
    <w:basedOn w:val="Normal"/>
    <w:qFormat/>
    <w:pPr>
      <w:suppressLineNumbers/>
      <w:suppressAutoHyphens w:val="true"/>
      <w:spacing w:lineRule="auto" w:line="240" w:before="120" w:after="120"/>
    </w:pPr>
    <w:rPr>
      <w:rFonts w:ascii="PT Astra Serif" w:hAnsi="PT Astra Serif" w:eastAsia="Times New Roman" w:cs="Noto Sans Devanagari"/>
      <w:i/>
      <w:iCs/>
      <w:sz w:val="24"/>
      <w:szCs w:val="24"/>
      <w:lang w:eastAsia="zh-CN"/>
    </w:rPr>
  </w:style>
  <w:style w:type="paragraph" w:styleId="26">
    <w:name w:val="Указатель2"/>
    <w:basedOn w:val="Normal"/>
    <w:qFormat/>
    <w:pPr>
      <w:suppressLineNumbers/>
      <w:suppressAutoHyphens w:val="true"/>
      <w:spacing w:lineRule="auto" w:line="240" w:before="0" w:after="0"/>
    </w:pPr>
    <w:rPr>
      <w:rFonts w:ascii="PT Astra Serif" w:hAnsi="PT Astra Serif" w:eastAsia="Times New Roman" w:cs="Noto Sans Devanagari"/>
      <w:sz w:val="24"/>
      <w:szCs w:val="24"/>
      <w:lang w:eastAsia="zh-CN"/>
    </w:rPr>
  </w:style>
  <w:style w:type="paragraph" w:styleId="114">
    <w:name w:val="Название объекта1"/>
    <w:basedOn w:val="Normal"/>
    <w:qFormat/>
    <w:pPr>
      <w:suppressLineNumbers/>
      <w:suppressAutoHyphens w:val="true"/>
      <w:spacing w:lineRule="auto" w:line="240" w:before="120" w:after="120"/>
    </w:pPr>
    <w:rPr>
      <w:rFonts w:ascii="PT Astra Serif" w:hAnsi="PT Astra Serif" w:eastAsia="Times New Roman" w:cs="Noto Sans Devanagari"/>
      <w:i/>
      <w:iCs/>
      <w:sz w:val="24"/>
      <w:szCs w:val="24"/>
      <w:lang w:eastAsia="zh-CN"/>
    </w:rPr>
  </w:style>
  <w:style w:type="paragraph" w:styleId="115">
    <w:name w:val="Указатель1"/>
    <w:basedOn w:val="Normal"/>
    <w:qFormat/>
    <w:pPr>
      <w:suppressLineNumbers/>
      <w:suppressAutoHyphens w:val="true"/>
      <w:spacing w:lineRule="auto" w:line="240" w:before="0" w:after="0"/>
    </w:pPr>
    <w:rPr>
      <w:rFonts w:ascii="PT Astra Serif" w:hAnsi="PT Astra Serif" w:eastAsia="Times New Roman" w:cs="Noto Sans Devanagari"/>
      <w:sz w:val="24"/>
      <w:szCs w:val="24"/>
      <w:lang w:eastAsia="zh-CN"/>
    </w:rPr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39">
    <w:name w:val="Footer"/>
    <w:basedOn w:val="Normal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/>
      <w:caps/>
      <w:sz w:val="24"/>
      <w:szCs w:val="24"/>
      <w:lang w:val="ru-RU" w:eastAsia="zh-CN"/>
    </w:rPr>
  </w:style>
  <w:style w:type="paragraph" w:styleId="116">
    <w:name w:val="Абзац списка1"/>
    <w:basedOn w:val="Normal"/>
    <w:qFormat/>
    <w:pPr>
      <w:suppressAutoHyphens w:val="true"/>
      <w:spacing w:lineRule="auto" w:line="240" w:before="0" w:after="0"/>
      <w:ind w:left="720" w:right="0" w:hanging="0"/>
      <w:contextualSpacing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1">
    <w:name w:val="s_1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22">
    <w:name w:val="s_22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9">
    <w:name w:val="s_9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117">
    <w:name w:val="Обычный (веб)1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40">
    <w:name w:val="Комментарий"/>
    <w:basedOn w:val="Normal"/>
    <w:next w:val="Normal"/>
    <w:qFormat/>
    <w:pPr>
      <w:suppressAutoHyphens w:val="true"/>
      <w:spacing w:lineRule="auto" w:line="240" w:before="75" w:after="0"/>
      <w:ind w:left="170" w:right="0" w:hanging="0"/>
      <w:jc w:val="both"/>
    </w:pPr>
    <w:rPr>
      <w:rFonts w:ascii="Arial" w:hAnsi="Arial" w:eastAsia="Calibri" w:cs="Arial"/>
      <w:color w:val="353842"/>
      <w:sz w:val="24"/>
      <w:szCs w:val="24"/>
      <w:shd w:fill="F0F0F0" w:val="clear"/>
      <w:lang w:eastAsia="zh-CN"/>
    </w:rPr>
  </w:style>
  <w:style w:type="paragraph" w:styleId="Style41">
    <w:name w:val="Информация об изменениях документа"/>
    <w:basedOn w:val="Style40"/>
    <w:next w:val="Normal"/>
    <w:qFormat/>
    <w:pPr/>
    <w:rPr>
      <w:i/>
      <w:iCs/>
    </w:rPr>
  </w:style>
  <w:style w:type="paragraph" w:styleId="Style42">
    <w:name w:val="Раздел"/>
    <w:basedOn w:val="Normal"/>
    <w:qFormat/>
    <w:pPr>
      <w:suppressAutoHyphens w:val="true"/>
      <w:spacing w:lineRule="auto" w:line="240" w:before="120" w:after="120"/>
      <w:ind w:left="720" w:right="0" w:hanging="720"/>
      <w:jc w:val="center"/>
    </w:pPr>
    <w:rPr>
      <w:rFonts w:ascii="Arial Narrow" w:hAnsi="Arial Narrow" w:eastAsia="Times New Roman" w:cs="Arial Narrow"/>
      <w:b/>
      <w:sz w:val="28"/>
      <w:szCs w:val="24"/>
      <w:lang w:eastAsia="zh-CN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40" w:before="0" w:after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43">
    <w:name w:val="Заголовок приложения"/>
    <w:basedOn w:val="Normal"/>
    <w:next w:val="Normal"/>
    <w:qFormat/>
    <w:pPr>
      <w:widowControl w:val="false"/>
      <w:suppressAutoHyphens w:val="true"/>
      <w:spacing w:lineRule="auto" w:line="240" w:before="6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zh-CN"/>
    </w:rPr>
  </w:style>
  <w:style w:type="paragraph" w:styleId="118">
    <w:name w:val="Без интервала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Normal1">
    <w:name w:val="Normal Знак"/>
    <w:qFormat/>
    <w:pPr>
      <w:widowControl w:val="false"/>
      <w:suppressAutoHyphens w:val="true"/>
      <w:bidi w:val="0"/>
      <w:snapToGrid w:val="false"/>
      <w:spacing w:lineRule="auto" w:line="336" w:before="440" w:after="0"/>
      <w:ind w:left="400" w:right="0" w:firstLine="54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ConsPlusNormal1">
    <w:name w:val="ConsPlus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zh-CN" w:bidi="ar-SA"/>
    </w:rPr>
  </w:style>
  <w:style w:type="paragraph" w:styleId="Style44">
    <w:name w:val="Контракт-раздел"/>
    <w:basedOn w:val="Normal"/>
    <w:next w:val="Style45"/>
    <w:qFormat/>
    <w:pPr>
      <w:keepNext w:val="true"/>
      <w:suppressAutoHyphens w:val="true"/>
      <w:spacing w:lineRule="auto" w:line="240" w:before="360" w:after="120"/>
      <w:jc w:val="center"/>
    </w:pPr>
    <w:rPr>
      <w:rFonts w:ascii="Times New Roman" w:hAnsi="Times New Roman" w:eastAsia="Times New Roman" w:cs="Times New Roman"/>
      <w:b/>
      <w:caps/>
      <w:sz w:val="24"/>
      <w:szCs w:val="24"/>
      <w:lang w:eastAsia="zh-CN"/>
    </w:rPr>
  </w:style>
  <w:style w:type="paragraph" w:styleId="Style45">
    <w:name w:val="Контракт-пункт"/>
    <w:basedOn w:val="Normal"/>
    <w:qFormat/>
    <w:pPr>
      <w:tabs>
        <w:tab w:val="clear" w:pos="708"/>
        <w:tab w:val="left" w:pos="0" w:leader="none"/>
      </w:tabs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46">
    <w:name w:val="Контракт-подпункт"/>
    <w:basedOn w:val="Normal"/>
    <w:qFormat/>
    <w:pPr>
      <w:tabs>
        <w:tab w:val="clear" w:pos="708"/>
        <w:tab w:val="left" w:pos="0" w:leader="none"/>
      </w:tabs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47">
    <w:name w:val="Контракт-подподпункт"/>
    <w:basedOn w:val="Normal"/>
    <w:qFormat/>
    <w:pPr>
      <w:tabs>
        <w:tab w:val="clear" w:pos="708"/>
        <w:tab w:val="left" w:pos="0" w:leader="none"/>
      </w:tabs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48">
    <w:name w:val="Обычный + по ширине"/>
    <w:basedOn w:val="Normal"/>
    <w:qFormat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Rtejustify">
    <w:name w:val="rtejustify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49">
    <w:name w:val="Body Text Indent"/>
    <w:basedOn w:val="Normal"/>
    <w:pPr>
      <w:suppressAutoHyphens w:val="true"/>
      <w:spacing w:lineRule="auto" w:line="240" w:before="0" w:after="120"/>
      <w:ind w:left="283" w:right="0" w:hanging="0"/>
    </w:pPr>
    <w:rPr>
      <w:rFonts w:ascii="Arial Unicode MS" w:hAnsi="Arial Unicode MS" w:eastAsia="Arial Unicode MS" w:cs="Arial Unicode MS"/>
      <w:color w:val="000000"/>
      <w:sz w:val="24"/>
      <w:szCs w:val="24"/>
      <w:lang w:val="en-US" w:eastAsia="zh-CN"/>
    </w:rPr>
  </w:style>
  <w:style w:type="paragraph" w:styleId="119">
    <w:name w:val="Текст примечания1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Cs/>
      <w:sz w:val="20"/>
      <w:szCs w:val="20"/>
      <w:lang w:val="ru-RU" w:eastAsia="zh-CN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119"/>
    <w:next w:val="119"/>
    <w:qFormat/>
    <w:pPr/>
    <w:rPr>
      <w:b/>
      <w:bCs w:val="false"/>
    </w:rPr>
  </w:style>
  <w:style w:type="paragraph" w:styleId="27">
    <w:name w:val="Основной текст2"/>
    <w:basedOn w:val="Normal"/>
    <w:qFormat/>
    <w:pPr>
      <w:widowControl w:val="false"/>
      <w:shd w:val="clear" w:fill="FFFFFF"/>
      <w:suppressAutoHyphens w:val="true"/>
      <w:spacing w:lineRule="exact" w:line="264" w:before="240" w:after="240"/>
      <w:jc w:val="both"/>
    </w:pPr>
    <w:rPr>
      <w:rFonts w:ascii="Calibri" w:hAnsi="Calibri" w:eastAsia="Calibri" w:cs="Calibri"/>
      <w:spacing w:val="4"/>
      <w:sz w:val="20"/>
      <w:szCs w:val="20"/>
      <w:lang w:val="ru-RU" w:eastAsia="zh-CN"/>
    </w:rPr>
  </w:style>
  <w:style w:type="paragraph" w:styleId="Style50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bCs/>
      <w:szCs w:val="28"/>
      <w:lang w:val="ru-RU" w:eastAsia="zh-CN"/>
    </w:rPr>
  </w:style>
  <w:style w:type="paragraph" w:styleId="HTMLPreformatted">
    <w:name w:val="HTML Preformatted"/>
    <w:basedOn w:val="Normal"/>
    <w:qFormat/>
    <w:pPr>
      <w:widowControl w:val="false"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uto" w:line="240" w:before="0" w:after="0"/>
    </w:pPr>
    <w:rPr>
      <w:rFonts w:ascii="Courier New" w:hAnsi="Courier New" w:eastAsia="Courier New" w:cs="Courier New"/>
      <w:color w:val="000000"/>
      <w:sz w:val="20"/>
      <w:szCs w:val="20"/>
      <w:lang w:val="en-US" w:eastAsia="zh-CN" w:bidi="en-US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en-US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51">
    <w:name w:val="Footnote Text"/>
    <w:basedOn w:val="Normal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Cs/>
      <w:sz w:val="20"/>
      <w:szCs w:val="20"/>
      <w:lang w:val="ru-RU" w:eastAsia="zh-CN"/>
    </w:rPr>
  </w:style>
  <w:style w:type="paragraph" w:styleId="CharCharCharCharCharCharCharCharCharChar1CharChar">
    <w:name w:val="Char Char Знак Знак Char Char Знак Знак Char Char Знак Знак Char Char Знак Знак Char Char1 Знак Знак Char Char"/>
    <w:basedOn w:val="Normal"/>
    <w:qFormat/>
    <w:pPr>
      <w:suppressAutoHyphens w:val="true"/>
      <w:spacing w:lineRule="auto" w:line="240" w:before="280" w:after="280"/>
    </w:pPr>
    <w:rPr>
      <w:rFonts w:ascii="Tahoma" w:hAnsi="Tahoma" w:eastAsia="Times New Roman" w:cs="Tahoma"/>
      <w:bCs/>
      <w:sz w:val="20"/>
      <w:szCs w:val="20"/>
      <w:lang w:val="en-US" w:eastAsia="zh-CN"/>
    </w:rPr>
  </w:style>
  <w:style w:type="paragraph" w:styleId="Style52">
    <w:name w:val="Нормальный (таблица)"/>
    <w:basedOn w:val="Normal"/>
    <w:next w:val="Normal"/>
    <w:qFormat/>
    <w:pPr>
      <w:widowControl w:val="false"/>
      <w:suppressAutoHyphens w:val="tru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  <w:lang w:eastAsia="zh-CN"/>
    </w:rPr>
  </w:style>
  <w:style w:type="paragraph" w:styleId="Style53">
    <w:name w:val="Информация о версии"/>
    <w:basedOn w:val="Style40"/>
    <w:next w:val="Normal"/>
    <w:qFormat/>
    <w:pPr>
      <w:widowControl w:val="false"/>
    </w:pPr>
    <w:rPr>
      <w:rFonts w:ascii="Times New Roman CYR" w:hAnsi="Times New Roman CYR" w:eastAsia="Times New Roman" w:cs="Times New Roman CYR"/>
      <w:i/>
      <w:iCs/>
      <w:shd w:fill="auto" w:val="clear"/>
    </w:rPr>
  </w:style>
  <w:style w:type="paragraph" w:styleId="Style161">
    <w:name w:val="Style16"/>
    <w:basedOn w:val="Normal"/>
    <w:qFormat/>
    <w:pPr>
      <w:widowControl w:val="false"/>
      <w:suppressAutoHyphens w:val="true"/>
      <w:spacing w:lineRule="auto" w:line="240" w:before="0" w:after="0"/>
    </w:pPr>
    <w:rPr>
      <w:rFonts w:ascii="Arial" w:hAnsi="Arial" w:eastAsia="Times New Roman" w:cs="Arial"/>
      <w:sz w:val="24"/>
      <w:szCs w:val="24"/>
      <w:lang w:eastAsia="zh-CN"/>
    </w:rPr>
  </w:style>
  <w:style w:type="paragraph" w:styleId="CharChar1">
    <w:name w:val="Char Char"/>
    <w:basedOn w:val="Normal"/>
    <w:qFormat/>
    <w:pPr>
      <w:suppressAutoHyphens w:val="tru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zh-CN"/>
    </w:rPr>
  </w:style>
  <w:style w:type="paragraph" w:styleId="WW1">
    <w:name w:val="WW-Сноска"/>
    <w:basedOn w:val="Normal"/>
    <w:next w:val="Normal"/>
    <w:qFormat/>
    <w:pPr>
      <w:widowControl w:val="false"/>
      <w:suppressAutoHyphens w:val="true"/>
      <w:spacing w:lineRule="auto" w:line="240" w:before="0" w:after="0"/>
      <w:ind w:left="0" w:right="0" w:firstLine="720"/>
      <w:jc w:val="both"/>
    </w:pPr>
    <w:rPr>
      <w:rFonts w:ascii="Times New Roman CYR" w:hAnsi="Times New Roman CYR" w:eastAsia="Times New Roman" w:cs="Times New Roman CYR"/>
      <w:sz w:val="20"/>
      <w:szCs w:val="20"/>
      <w:lang w:eastAsia="zh-CN"/>
    </w:rPr>
  </w:style>
  <w:style w:type="paragraph" w:styleId="Empty">
    <w:name w:val="empty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3">
    <w:name w:val="s_3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120">
    <w:name w:val="Обычный1"/>
    <w:qFormat/>
    <w:pPr>
      <w:widowControl/>
      <w:suppressAutoHyphens w:val="true"/>
      <w:bidi w:val="0"/>
      <w:spacing w:lineRule="auto" w:line="240" w:before="0" w:after="0"/>
      <w:jc w:val="both"/>
    </w:pPr>
    <w:rPr>
      <w:rFonts w:ascii="TimesET" w:hAnsi="TimesET" w:eastAsia="Times New Roman" w:cs="TimesET"/>
      <w:color w:val="auto"/>
      <w:kern w:val="0"/>
      <w:sz w:val="24"/>
      <w:szCs w:val="24"/>
      <w:lang w:val="ru-RU" w:eastAsia="zh-CN" w:bidi="ar-SA"/>
    </w:rPr>
  </w:style>
  <w:style w:type="paragraph" w:styleId="Msonormalmailrucssattributepostfix">
    <w:name w:val="msonormal_mailru_css_attribute_postfix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54">
    <w:name w:val="Содержимое таблицы"/>
    <w:basedOn w:val="Normal"/>
    <w:qFormat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55">
    <w:name w:val="Заголовок таблицы"/>
    <w:basedOn w:val="Style54"/>
    <w:qFormat/>
    <w:pPr>
      <w:jc w:val="center"/>
    </w:pPr>
    <w:rPr>
      <w:b/>
      <w:bCs/>
    </w:rPr>
  </w:style>
  <w:style w:type="paragraph" w:styleId="Style56">
    <w:name w:val="Содержимое врезки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28">
    <w:name w:val="Обычный (веб)2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Cs/>
      <w:sz w:val="24"/>
      <w:szCs w:val="24"/>
      <w:lang w:eastAsia="zh-CN"/>
    </w:rPr>
  </w:style>
  <w:style w:type="paragraph" w:styleId="Style57">
    <w:name w:val="Знак Знак Знак Знак"/>
    <w:basedOn w:val="Normal"/>
    <w:qFormat/>
    <w:pPr>
      <w:widowControl w:val="false"/>
      <w:suppressAutoHyphens w:val="true"/>
      <w:spacing w:lineRule="exact" w:line="240" w:before="0" w:after="160"/>
      <w:jc w:val="right"/>
    </w:pPr>
    <w:rPr>
      <w:rFonts w:ascii="Times New Roman" w:hAnsi="Times New Roman" w:eastAsia="Times New Roman" w:cs="Times New Roman"/>
      <w:sz w:val="20"/>
      <w:szCs w:val="24"/>
      <w:lang w:val="en-GB" w:eastAsia="zh-CN"/>
    </w:rPr>
  </w:style>
  <w:style w:type="paragraph" w:styleId="FR1">
    <w:name w:val="FR1"/>
    <w:qFormat/>
    <w:pPr>
      <w:widowControl w:val="false"/>
      <w:suppressAutoHyphens w:val="true"/>
      <w:bidi w:val="0"/>
      <w:spacing w:lineRule="auto" w:line="300" w:before="0" w:after="0"/>
      <w:ind w:left="280" w:right="400" w:hanging="0"/>
      <w:jc w:val="center"/>
    </w:pPr>
    <w:rPr>
      <w:rFonts w:ascii="Times New Roman" w:hAnsi="Times New Roman" w:eastAsia="Times New Roman" w:cs="Liberation Serif;Times New Roman"/>
      <w:b/>
      <w:bCs/>
      <w:color w:val="auto"/>
      <w:kern w:val="0"/>
      <w:sz w:val="24"/>
      <w:szCs w:val="24"/>
      <w:lang w:val="ru-RU" w:eastAsia="ar-SA" w:bidi="hi-IN"/>
    </w:rPr>
  </w:style>
  <w:style w:type="paragraph" w:styleId="121">
    <w:name w:val="Заголовок №1"/>
    <w:basedOn w:val="Normal"/>
    <w:qFormat/>
    <w:pPr>
      <w:shd w:val="clear" w:fill="FFFFFF"/>
      <w:spacing w:lineRule="exact" w:line="322" w:before="0" w:after="120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Application>LibreOffice/6.4.7.2$Linux_X86_64 LibreOffice_project/72d9d5113b23a0ed474720f9d366fcde9a2744dd</Application>
  <Pages>3</Pages>
  <Words>569</Words>
  <Characters>3811</Characters>
  <CharactersWithSpaces>4377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2023-03-28T09:29:00Z</dcterms:created>
  <dc:creator>Курзова Александра</dc:creator>
  <dc:description/>
  <dc:language>ru-RU</dc:language>
  <cp:lastModifiedBy/>
  <cp:lastPrinted>2024-05-29T12:42:00Z</cp:lastPrinted>
  <dcterms:modified xsi:type="dcterms:W3CDTF">2026-08-10T10:27:44Z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