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w:t>
      </w:r>
      <w:r>
        <w:rPr>
          <w:rFonts w:ascii="Times New Roman" w:hAnsi="Times New Roman" w:cs="Times New Roman"/>
          <w:sz w:val="24"/>
          <w:szCs w:val="24"/>
        </w:rPr>
        <w:t xml:space="preserve"> контракт №</w:t>
      </w:r>
      <w:r>
        <w:rPr>
          <w:rFonts w:ascii="Times New Roman" w:hAnsi="Times New Roman" w:cs="Times New Roman"/>
          <w:sz w:val="24"/>
          <w:szCs w:val="24"/>
        </w:rPr>
        <w:t xml:space="preserve"> </w:t>
      </w:r>
      <w:r>
        <w:rPr>
          <w:rFonts w:ascii="Times New Roman" w:hAnsi="Times New Roman" w:cs="Times New Roman"/>
          <w:sz w:val="24"/>
          <w:szCs w:val="24"/>
        </w:rPr>
        <w:t xml:space="preserve">_____</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w:t>
      </w:r>
      <w:r>
        <w:rPr>
          <w:rFonts w:ascii="Times New Roman" w:hAnsi="Times New Roman" w:cs="Times New Roman"/>
          <w:sz w:val="24"/>
          <w:szCs w:val="24"/>
        </w:rPr>
        <w:t xml:space="preserve">____</w:t>
      </w:r>
      <w:r>
        <w:rPr>
          <w:rFonts w:ascii="Times New Roman" w:hAnsi="Times New Roman" w:cs="Times New Roman"/>
          <w:sz w:val="24"/>
          <w:szCs w:val="24"/>
        </w:rPr>
        <w:t xml:space="preserve">____</w:t>
      </w:r>
      <w:r>
        <w:rPr>
          <w:rFonts w:ascii="Times New Roman" w:hAnsi="Times New Roman" w:cs="Times New Roman"/>
          <w:sz w:val="24"/>
          <w:szCs w:val="24"/>
        </w:rPr>
        <w:t xml:space="preserve">___</w:t>
      </w:r>
      <w:r>
        <w:rPr>
          <w:rFonts w:ascii="Times New Roman" w:hAnsi="Times New Roman" w:cs="Times New Roman"/>
          <w:sz w:val="24"/>
          <w:szCs w:val="24"/>
        </w:rPr>
        <w:t xml:space="preserve"> 20</w:t>
      </w:r>
      <w:r>
        <w:rPr>
          <w:rFonts w:ascii="Times New Roman" w:hAnsi="Times New Roman" w:cs="Times New Roman"/>
          <w:sz w:val="24"/>
          <w:szCs w:val="24"/>
        </w:rPr>
        <w:t xml:space="preserve">__</w:t>
      </w:r>
      <w:r>
        <w:rPr>
          <w:rFonts w:ascii="Times New Roman" w:hAnsi="Times New Roman" w:cs="Times New Roman"/>
          <w:sz w:val="24"/>
          <w:szCs w:val="24"/>
        </w:rPr>
        <w:t xml:space="preserve"> г.</w:t>
      </w:r>
      <w:r>
        <w:rPr>
          <w:rFonts w:ascii="Times New Roman" w:hAnsi="Times New Roman" w:cs="Times New Roman"/>
          <w:sz w:val="24"/>
          <w:szCs w:val="24"/>
        </w:rPr>
      </w:r>
      <w:r>
        <w:rPr>
          <w:rFonts w:ascii="Times New Roman" w:hAnsi="Times New Roman" w:cs="Times New Roman"/>
          <w:sz w:val="24"/>
          <w:szCs w:val="24"/>
        </w:rPr>
      </w:r>
    </w:p>
    <w:p>
      <w:pPr>
        <w:pStyle w:val="1114"/>
        <w:jc w:val="both"/>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24"/>
        <w:ind w:right="14" w:firstLine="708"/>
      </w:pPr>
      <w:r>
        <w:rPr>
          <w:szCs w:val="22"/>
        </w:rPr>
        <w:t xml:space="preserve">Федеральное казенное учреждение «Центр по обеспечению деятельности Казначейства России»</w:t>
      </w:r>
      <w:r>
        <w:t xml:space="preserve">, выпол</w:t>
      </w:r>
      <w:r>
        <w:t xml:space="preserve">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w:t>
      </w:r>
      <w:r>
        <w:t xml:space="preserve">заместителя</w:t>
      </w:r>
      <w:r>
        <w:t xml:space="preserve"> начальника Межрегионального филиала Федерального казенного учреждения «Центр по обеспечению деятельности Казначейства России» в г. Владимире </w:t>
      </w:r>
      <w:r>
        <w:t xml:space="preserve">Ханбабаевой Валерии Валерьевны</w:t>
      </w:r>
      <w:r>
        <w:t xml:space="preserve">, действующего на основании Доверенности от </w:t>
      </w:r>
      <w:r>
        <w:t xml:space="preserve">13.08.2024</w:t>
      </w:r>
      <w:r>
        <w:t xml:space="preserve"> № </w:t>
      </w:r>
      <w:r>
        <w:t xml:space="preserve">01012408000015512401</w:t>
      </w:r>
      <w:r>
        <w:t xml:space="preserve"> </w:t>
      </w:r>
      <w:r>
        <w:t xml:space="preserve"> и</w:t>
      </w:r>
      <w:r>
        <w:t xml:space="preserve">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w:t>
      </w:r>
      <w:r>
        <w:t xml:space="preserve">от </w:t>
      </w:r>
      <w:r>
        <w:t xml:space="preserve">17.06.2026 № 588</w:t>
      </w:r>
      <w:r>
        <w:t xml:space="preserve">, с одной стороны, и _________</w:t>
      </w:r>
      <w:r>
        <w:t xml:space="preserve"> </w:t>
      </w:r>
      <w:r>
        <w:rPr>
          <w:i/>
        </w:rPr>
        <w:t xml:space="preserve">«Н</w:t>
      </w:r>
      <w:r>
        <w:rPr>
          <w:i/>
        </w:rPr>
        <w:t xml:space="preserve">аименование организации</w:t>
      </w:r>
      <w:r>
        <w:rPr>
          <w:i/>
        </w:rPr>
        <w:t xml:space="preserve">»</w:t>
      </w:r>
      <w:r>
        <w:t xml:space="preserve">, именуемое в дальнейшем «По</w:t>
      </w:r>
      <w:r>
        <w:t xml:space="preserve">ставщик</w:t>
      </w:r>
      <w:r>
        <w:t xml:space="preserve">»,</w:t>
      </w:r>
      <w:r>
        <w:rPr>
          <w:i/>
          <w:iCs/>
        </w:rPr>
        <w:t xml:space="preserve"> </w:t>
      </w:r>
      <w:r>
        <w:t xml:space="preserve">в лице </w:t>
      </w:r>
      <w:r>
        <w:t xml:space="preserve">__________</w:t>
      </w:r>
      <w:r>
        <w:t xml:space="preserve"> </w:t>
      </w:r>
      <w:r>
        <w:rPr>
          <w:i/>
        </w:rPr>
        <w:t xml:space="preserve">(</w:t>
      </w:r>
      <w:r>
        <w:rPr>
          <w:i/>
        </w:rPr>
        <w:t xml:space="preserve">должность</w:t>
      </w:r>
      <w:r>
        <w:rPr>
          <w:i/>
        </w:rPr>
        <w:t xml:space="preserve">),</w:t>
      </w:r>
      <w:r>
        <w:rPr>
          <w:i/>
        </w:rPr>
        <w:t xml:space="preserve"> Ф.И.О.</w:t>
      </w:r>
      <w:r>
        <w:t xml:space="preserve">, действующего на основании </w:t>
      </w:r>
      <w:r>
        <w:t xml:space="preserve">___________</w:t>
      </w:r>
      <w:r>
        <w:t xml:space="preserve">, с другой стороны, именуемые в дальнейшем «Стороны», в соответствии с пунктом </w:t>
      </w:r>
      <w:r>
        <w:t xml:space="preserve">4</w:t>
      </w:r>
      <w:r>
        <w:t xml:space="preserve"> части</w:t>
      </w:r>
      <w:r>
        <w:t xml:space="preserve"> </w:t>
      </w:r>
      <w:r>
        <w:t xml:space="preserve">1 </w:t>
      </w:r>
      <w:r>
        <w:t xml:space="preserve">статьи 93 Федерального закона от 05.04.2013 № 44-ФЗ «О контрактной системе в сф</w:t>
      </w:r>
      <w:r>
        <w:t xml:space="preserve">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t xml:space="preserve"> </w:t>
      </w:r>
      <w:r/>
    </w:p>
    <w:p>
      <w:pPr>
        <w:pStyle w:val="924"/>
        <w:rPr>
          <w:b/>
          <w:bCs/>
        </w:rPr>
      </w:pPr>
      <w:r>
        <w:rPr>
          <w:b/>
          <w:bCs/>
        </w:rPr>
      </w:r>
      <w:r>
        <w:rPr>
          <w:b/>
          <w:bCs/>
        </w:rPr>
      </w:r>
      <w:r>
        <w:rPr>
          <w:b/>
          <w:bCs/>
        </w:rPr>
      </w:r>
    </w:p>
    <w:p>
      <w:pPr>
        <w:pStyle w:val="924"/>
        <w:numPr>
          <w:ilvl w:val="0"/>
          <w:numId w:val="26"/>
        </w:numPr>
        <w:jc w:val="center"/>
        <w:rPr>
          <w:b/>
          <w:bCs/>
        </w:rPr>
      </w:pPr>
      <w:r>
        <w:rPr>
          <w:b/>
          <w:bCs/>
        </w:rPr>
        <w:t xml:space="preserve">Предмет контракта</w:t>
      </w:r>
      <w:r>
        <w:rPr>
          <w:b/>
          <w:bCs/>
        </w:rPr>
      </w:r>
      <w:r>
        <w:rPr>
          <w:b/>
          <w:bCs/>
        </w:rPr>
      </w:r>
    </w:p>
    <w:p>
      <w:pPr>
        <w:pStyle w:val="1145"/>
        <w:numPr>
          <w:ilvl w:val="1"/>
          <w:numId w:val="26"/>
        </w:numPr>
        <w:ind w:left="0" w:firstLine="709"/>
        <w:jc w:val="both"/>
      </w:pPr>
      <w:r>
        <w:t xml:space="preserve">Предметом </w:t>
      </w:r>
      <w:r>
        <w:t xml:space="preserve">к</w:t>
      </w:r>
      <w:r>
        <w:t xml:space="preserve">онтракта явля</w:t>
      </w:r>
      <w:r>
        <w:t xml:space="preserve">ет</w:t>
      </w:r>
      <w:r>
        <w:t xml:space="preserve">ся</w:t>
      </w:r>
      <w:r>
        <w:t xml:space="preserve"> </w:t>
      </w:r>
      <w:r>
        <w:t xml:space="preserve">п</w:t>
      </w:r>
      <w:r>
        <w:t xml:space="preserve">оставка </w:t>
      </w:r>
      <w:r>
        <w:t xml:space="preserve">типографской продукции для обеспечения нужд Управления Федерального казначейства по Тамбовской области.</w:t>
      </w:r>
      <w:r/>
    </w:p>
    <w:p>
      <w:pPr>
        <w:pStyle w:val="1145"/>
        <w:numPr>
          <w:ilvl w:val="1"/>
          <w:numId w:val="26"/>
        </w:numPr>
        <w:jc w:val="both"/>
      </w:pPr>
      <w:r>
        <w:t xml:space="preserve">Количество поставляемого товара:</w:t>
      </w:r>
      <w:r>
        <w:t xml:space="preserve"> 140</w:t>
      </w:r>
      <w:r>
        <w:rPr>
          <w:bCs/>
        </w:rPr>
        <w:t xml:space="preserve"> (сто сорок) штук</w:t>
      </w:r>
      <w:r>
        <w:t xml:space="preserve">.</w:t>
      </w:r>
      <w:r/>
    </w:p>
    <w:p>
      <w:pPr>
        <w:pStyle w:val="924"/>
        <w:ind w:firstLine="709"/>
      </w:pPr>
      <w:r>
        <w:t xml:space="preserve">1.3. </w:t>
      </w:r>
      <w:r>
        <w:t xml:space="preserve">Характеристика и наименование </w:t>
      </w:r>
      <w:bookmarkStart w:id="0" w:name="_Hlt127685461"/>
      <w:r>
        <w:t xml:space="preserve">поставляемого товара указаны в </w:t>
      </w:r>
      <w:r>
        <w:t xml:space="preserve">Спецификации поставляемого товара</w:t>
      </w:r>
      <w:r>
        <w:t xml:space="preserve"> - Пр</w:t>
      </w:r>
      <w:r>
        <w:t xml:space="preserve">и</w:t>
      </w:r>
      <w:r>
        <w:t xml:space="preserve">ложение </w:t>
      </w:r>
      <w:bookmarkEnd w:id="0"/>
      <w:r>
        <w:t xml:space="preserve">к контракту.</w:t>
      </w:r>
      <w:r/>
    </w:p>
    <w:p>
      <w:pPr>
        <w:pStyle w:val="1134"/>
        <w:ind w:firstLine="708"/>
        <w:jc w:val="both"/>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Поставляемый товар должен быть новым товаром (това</w:t>
      </w:r>
      <w:r>
        <w:rPr>
          <w:rFonts w:ascii="Times New Roman" w:hAnsi="Times New Roman"/>
          <w:sz w:val="24"/>
          <w:szCs w:val="24"/>
        </w:rPr>
        <w:t xml:space="preserve">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1134"/>
        <w:ind w:firstLine="708"/>
        <w:jc w:val="both"/>
        <w:widowControl w:val="off"/>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t xml:space="preserve">.</w:t>
      </w:r>
      <w:r>
        <w:t xml:space="preserve"> </w:t>
      </w:r>
      <w:r>
        <w:rPr>
          <w:rFonts w:ascii="Times New Roman" w:hAnsi="Times New Roman"/>
          <w:sz w:val="24"/>
          <w:szCs w:val="24"/>
        </w:rPr>
        <w:t xml:space="preserve">Идент</w:t>
      </w:r>
      <w:r>
        <w:rPr>
          <w:rFonts w:ascii="Times New Roman" w:hAnsi="Times New Roman"/>
          <w:sz w:val="24"/>
          <w:szCs w:val="24"/>
        </w:rPr>
        <w:t xml:space="preserve">ификационный код закупки (ИКЗ) __</w:t>
      </w:r>
      <w:r>
        <w:rPr>
          <w:rFonts w:ascii="Times New Roman" w:hAnsi="Times New Roman"/>
          <w:sz w:val="24"/>
          <w:szCs w:val="24"/>
        </w:rPr>
        <w:t xml:space="preserve">_____________________________________</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4"/>
        <w:ind w:firstLine="708"/>
        <w:widowControl w:val="off"/>
      </w:pPr>
      <w:r/>
      <w:r/>
    </w:p>
    <w:p>
      <w:pPr>
        <w:pStyle w:val="924"/>
        <w:jc w:val="center"/>
        <w:widowControl w:val="off"/>
        <w:rPr>
          <w:b/>
          <w:bCs/>
        </w:rPr>
      </w:pPr>
      <w:r>
        <w:rPr>
          <w:b/>
          <w:bCs/>
        </w:rPr>
        <w:t xml:space="preserve">2. </w:t>
      </w:r>
      <w:r>
        <w:rPr>
          <w:b/>
          <w:bCs/>
        </w:rPr>
        <w:t xml:space="preserve">Цена контракта и порядок расчетов</w:t>
      </w:r>
      <w:r>
        <w:rPr>
          <w:b/>
          <w:bCs/>
        </w:rPr>
      </w:r>
      <w:r>
        <w:rPr>
          <w:b/>
          <w:bCs/>
        </w:rPr>
      </w:r>
    </w:p>
    <w:p>
      <w:pPr>
        <w:pStyle w:val="924"/>
        <w:ind w:firstLine="720"/>
      </w:pPr>
      <w:r>
        <w:t xml:space="preserve">2.1. Цена контракта составляет ___________</w:t>
      </w:r>
      <w:r>
        <w:t xml:space="preserve">(</w:t>
      </w:r>
      <w:r>
        <w:t xml:space="preserve">___________</w:t>
      </w:r>
      <w:r>
        <w:t xml:space="preserve">)</w:t>
      </w:r>
      <w:r>
        <w:t xml:space="preserve"> руб</w:t>
      </w:r>
      <w:r>
        <w:t xml:space="preserve">лей</w:t>
      </w:r>
      <w:r>
        <w:t xml:space="preserve"> ___ коп</w:t>
      </w:r>
      <w:r>
        <w:t xml:space="preserve">еек</w:t>
      </w:r>
      <w:r>
        <w:t xml:space="preserve">, в том числе НДС</w:t>
      </w:r>
      <w:r>
        <w:t xml:space="preserve">.</w:t>
      </w:r>
      <w:r/>
    </w:p>
    <w:p>
      <w:pPr>
        <w:pStyle w:val="924"/>
        <w:ind w:firstLine="720"/>
      </w:pPr>
      <w:r>
        <w:rPr>
          <w:i/>
        </w:rPr>
        <w:t xml:space="preserve">(если Поставщик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924"/>
        <w:ind w:firstLine="720"/>
        <w:rPr>
          <w:i/>
        </w:rPr>
      </w:pPr>
      <w:r>
        <w:t xml:space="preserve">Сумма, подлежащая уплате</w:t>
      </w:r>
      <w:r>
        <w:rPr>
          <w:iCs/>
        </w:rPr>
        <w:t xml:space="preserve"> </w:t>
      </w:r>
      <w:r>
        <w:rPr>
          <w:iCs/>
        </w:rPr>
        <w:t xml:space="preserve">З</w:t>
      </w:r>
      <w:r>
        <w:rPr>
          <w:iCs/>
        </w:rPr>
        <w:t xml:space="preserve">аказчиком Поставщику</w:t>
      </w:r>
      <w:r>
        <w:rPr>
          <w:i/>
          <w:iCs/>
        </w:rPr>
        <w:t xml:space="preserve">,</w:t>
      </w:r>
      <w:r>
        <w:t xml:space="preserve"> будет уменьшена на размер налогов, сборов и иных обязательных платежей в бюджеты бюджетно</w:t>
      </w:r>
      <w:r>
        <w:t xml:space="preserve">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t xml:space="preserve">З</w:t>
      </w:r>
      <w:r>
        <w:t xml:space="preserve">аказчиком.</w:t>
      </w:r>
      <w:r>
        <w:rPr>
          <w:i/>
        </w:rPr>
      </w:r>
      <w:r>
        <w:rPr>
          <w:i/>
        </w:rPr>
      </w:r>
    </w:p>
    <w:p>
      <w:pPr>
        <w:pStyle w:val="924"/>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 xml:space="preserve">«Сумма,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w:t>
      </w:r>
      <w:r>
        <w:t xml:space="preserve">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r>
        <w:rPr>
          <w:i/>
        </w:rPr>
      </w:r>
      <w:r>
        <w:rPr>
          <w:i/>
        </w:rPr>
      </w:r>
    </w:p>
    <w:p>
      <w:pPr>
        <w:pStyle w:val="924"/>
        <w:ind w:firstLine="708"/>
        <w:rPr>
          <w:bCs/>
        </w:rPr>
      </w:pP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r>
        <w:rPr>
          <w:bCs/>
        </w:rPr>
      </w:r>
      <w:r>
        <w:rPr>
          <w:bCs/>
        </w:rPr>
      </w:r>
    </w:p>
    <w:p>
      <w:pPr>
        <w:pStyle w:val="924"/>
        <w:ind w:firstLine="708"/>
        <w:rPr>
          <w:bCs/>
        </w:rPr>
      </w:pPr>
      <w:r>
        <w:rPr>
          <w:bCs/>
        </w:rP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r>
        <w:rPr>
          <w:bCs/>
        </w:rPr>
      </w:r>
    </w:p>
    <w:p>
      <w:pPr>
        <w:pStyle w:val="924"/>
        <w:ind w:firstLine="709"/>
        <w:widowControl w:val="off"/>
        <w:tabs>
          <w:tab w:val="left" w:pos="1418" w:leader="none"/>
        </w:tabs>
        <w:rPr>
          <w:bCs/>
        </w:rPr>
      </w:pPr>
      <w:r>
        <w:rPr>
          <w:bCs/>
        </w:rPr>
        <w:t xml:space="preserve">2.4</w:t>
      </w:r>
      <w:r>
        <w:rPr>
          <w:bCs/>
        </w:rPr>
        <w:t xml:space="preserve">. Форма оплаты – безналичный расчет, путем перечисления денежных средств на расчетный счет Поставщика. </w:t>
      </w:r>
      <w:r>
        <w:rPr>
          <w:bCs/>
        </w:rPr>
        <w:t xml:space="preserve">О</w:t>
      </w:r>
      <w:r>
        <w:rPr>
          <w:bCs/>
        </w:rPr>
        <w:t xml:space="preserve">плата производится </w:t>
      </w:r>
      <w:r>
        <w:rPr>
          <w:bCs/>
        </w:rPr>
        <w:t xml:space="preserve">за фактически поставленный товар в течение </w:t>
      </w:r>
      <w:r>
        <w:rPr>
          <w:bCs/>
        </w:rPr>
        <w:t xml:space="preserve">7</w:t>
      </w:r>
      <w:r>
        <w:rPr>
          <w:bCs/>
        </w:rPr>
        <w:t xml:space="preserve"> (</w:t>
      </w:r>
      <w:r>
        <w:rPr>
          <w:bCs/>
        </w:rPr>
        <w:t xml:space="preserve">семи</w:t>
      </w:r>
      <w:r>
        <w:rPr>
          <w:bCs/>
        </w:rPr>
        <w:t xml:space="preserve">)</w:t>
      </w:r>
      <w:r>
        <w:rPr>
          <w:bCs/>
        </w:rPr>
        <w:t xml:space="preserve"> рабочих дней на основании </w:t>
      </w:r>
      <w:r>
        <w:t xml:space="preserve">акта приемки товаров, работ, услуг (код формы по ОКУД 0510452), подписанного сторонами контракта.</w:t>
      </w:r>
      <w:r>
        <w:rPr>
          <w:bCs/>
        </w:rPr>
      </w:r>
      <w:r>
        <w:rPr>
          <w:bCs/>
        </w:rPr>
      </w:r>
    </w:p>
    <w:p>
      <w:pPr>
        <w:pStyle w:val="924"/>
        <w:ind w:firstLine="709"/>
        <w:widowControl w:val="off"/>
        <w:tabs>
          <w:tab w:val="left" w:pos="1418" w:leader="none"/>
        </w:tabs>
        <w:rPr>
          <w:bCs/>
        </w:rPr>
      </w:pPr>
      <w:r>
        <w:rPr>
          <w:bCs/>
        </w:rPr>
      </w:r>
      <w:r>
        <w:rPr>
          <w:bCs/>
        </w:rPr>
      </w:r>
      <w:r>
        <w:rPr>
          <w:bCs/>
        </w:rPr>
      </w:r>
    </w:p>
    <w:p>
      <w:pPr>
        <w:pStyle w:val="924"/>
        <w:ind w:firstLine="708"/>
      </w:pPr>
      <w:r>
        <w:rPr>
          <w:bCs/>
        </w:rPr>
        <w:t xml:space="preserve">2.5. </w:t>
      </w:r>
      <w:r>
        <w:rPr>
          <w:bCs/>
        </w:rPr>
        <w:t xml:space="preserve">Оплата осуществляется по виду расходов классификации расходов бюджетов</w:t>
      </w:r>
      <w:r>
        <w:rPr>
          <w:bCs/>
        </w:rPr>
        <w:t xml:space="preserve"> </w:t>
      </w:r>
      <w:r>
        <w:rPr>
          <w:bCs/>
        </w:rPr>
        <w:t xml:space="preserve">244 «Прочая закупка товаров, работ и услуг для обеспечения государственных (муниципальных) нужд</w:t>
      </w:r>
      <w:r>
        <w:rPr>
          <w:bCs/>
        </w:rPr>
        <w:t xml:space="preserve">»</w:t>
      </w:r>
      <w:r>
        <w:rPr>
          <w:bCs/>
        </w:rPr>
        <w:t xml:space="preserve">.</w:t>
      </w:r>
      <w:r/>
    </w:p>
    <w:p>
      <w:pPr>
        <w:pStyle w:val="924"/>
        <w:ind w:firstLine="708"/>
      </w:pPr>
      <w:r>
        <w:t xml:space="preserve">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r/>
    </w:p>
    <w:p>
      <w:pPr>
        <w:pStyle w:val="924"/>
        <w:ind w:firstLine="709"/>
        <w:widowControl w:val="off"/>
        <w:tabs>
          <w:tab w:val="left" w:pos="1418" w:leader="none"/>
        </w:tabs>
        <w:rPr>
          <w:bCs/>
        </w:rPr>
      </w:pPr>
      <w:r>
        <w:rPr>
          <w:bCs/>
        </w:rPr>
      </w:r>
      <w:r>
        <w:rPr>
          <w:bCs/>
        </w:rPr>
      </w:r>
      <w:r>
        <w:rPr>
          <w:bCs/>
        </w:rPr>
      </w:r>
    </w:p>
    <w:p>
      <w:pPr>
        <w:pStyle w:val="924"/>
        <w:jc w:val="center"/>
        <w:rPr>
          <w:b/>
          <w:bCs/>
        </w:rPr>
        <w:outlineLvl w:val="0"/>
      </w:pPr>
      <w:r>
        <w:rPr>
          <w:b/>
          <w:bCs/>
        </w:rPr>
        <w:t xml:space="preserve">3. Место, сроки и условия поставки товара</w:t>
      </w:r>
      <w:r>
        <w:rPr>
          <w:b/>
          <w:bCs/>
        </w:rPr>
      </w:r>
      <w:r>
        <w:rPr>
          <w:b/>
          <w:bCs/>
        </w:rPr>
      </w:r>
    </w:p>
    <w:p>
      <w:pPr>
        <w:pStyle w:val="924"/>
        <w:ind w:firstLine="709"/>
      </w:pPr>
      <w:r>
        <w:t xml:space="preserve">3.1. Место поставки товара:</w:t>
      </w:r>
      <w:r>
        <w:t xml:space="preserve"> </w:t>
      </w:r>
      <w:r/>
    </w:p>
    <w:p>
      <w:pPr>
        <w:pStyle w:val="924"/>
        <w:rPr>
          <w:bCs/>
        </w:rPr>
      </w:pPr>
      <w:r>
        <w:rPr>
          <w:bCs/>
        </w:rPr>
        <w:t xml:space="preserve">обл Тамбовская, г.о. город Тамбов, г Тамбов, ул Карла Маркса, дом 132.</w:t>
      </w:r>
      <w:r>
        <w:rPr>
          <w:bCs/>
        </w:rPr>
      </w:r>
      <w:r>
        <w:rPr>
          <w:bCs/>
        </w:rPr>
      </w:r>
    </w:p>
    <w:p>
      <w:pPr>
        <w:pStyle w:val="924"/>
        <w:rPr>
          <w:b/>
          <w:bCs/>
        </w:rPr>
      </w:pPr>
      <w:r>
        <w:rPr>
          <w:b/>
          <w:bCs/>
        </w:rPr>
      </w:r>
      <w:r>
        <w:rPr>
          <w:b/>
          <w:bCs/>
        </w:rPr>
      </w:r>
      <w:r>
        <w:rPr>
          <w:b/>
          <w:bCs/>
        </w:rPr>
      </w:r>
    </w:p>
    <w:p>
      <w:pPr>
        <w:pStyle w:val="924"/>
        <w:ind w:firstLine="709"/>
        <w:rPr>
          <w:bCs/>
        </w:rPr>
      </w:pPr>
      <w:r>
        <w:t xml:space="preserve">3.2</w:t>
      </w:r>
      <w:r>
        <w:t xml:space="preserve"> </w:t>
      </w:r>
      <w:r>
        <w:t xml:space="preserve">Сроки и условия поставки товара: </w:t>
      </w:r>
      <w:r>
        <w:rPr>
          <w:bCs/>
        </w:rPr>
        <w:t xml:space="preserve">Поставка товара осуществляется в течении 15 (пятнадцати) рабочих дней с даты заключения контракта.</w:t>
      </w:r>
      <w:r>
        <w:rPr>
          <w:bCs/>
        </w:rPr>
      </w:r>
      <w:r>
        <w:rPr>
          <w:bCs/>
        </w:rPr>
      </w:r>
    </w:p>
    <w:p>
      <w:pPr>
        <w:pStyle w:val="924"/>
        <w:ind w:firstLine="708"/>
        <w:rPr>
          <w:bCs/>
        </w:rPr>
      </w:pPr>
      <w:r>
        <w:rPr>
          <w:bCs/>
        </w:rPr>
        <w:t xml:space="preserve">Поставка товара выполняется Поставщиком с 9-00 до 16-00 (время московское) в рабочие дни Заказчика. Время поставки согласовывается с Заказчиком.</w:t>
      </w:r>
      <w:r>
        <w:rPr>
          <w:bCs/>
        </w:rPr>
      </w:r>
      <w:r>
        <w:rPr>
          <w:bCs/>
        </w:rPr>
      </w:r>
    </w:p>
    <w:p>
      <w:pPr>
        <w:pStyle w:val="924"/>
        <w:ind w:firstLine="567"/>
        <w:rPr>
          <w:b/>
          <w:bCs/>
        </w:rPr>
      </w:pPr>
      <w:r>
        <w:rPr>
          <w:b/>
          <w:bCs/>
        </w:rPr>
      </w:r>
      <w:r>
        <w:rPr>
          <w:b/>
          <w:bCs/>
        </w:rPr>
      </w:r>
      <w:r>
        <w:rPr>
          <w:b/>
          <w:bCs/>
        </w:rPr>
      </w:r>
    </w:p>
    <w:p>
      <w:pPr>
        <w:pStyle w:val="924"/>
        <w:ind w:firstLine="709"/>
        <w:rPr>
          <w:b/>
          <w:bCs/>
        </w:rPr>
      </w:pPr>
      <w:r>
        <w:rPr>
          <w:b/>
          <w:bCs/>
        </w:rPr>
        <w:t xml:space="preserve">4. Права и обязанности Сторон</w:t>
      </w:r>
      <w:r>
        <w:rPr>
          <w:b/>
          <w:bCs/>
        </w:rPr>
      </w:r>
      <w:r>
        <w:rPr>
          <w:b/>
          <w:bCs/>
        </w:rPr>
      </w:r>
    </w:p>
    <w:p>
      <w:pPr>
        <w:pStyle w:val="924"/>
        <w:ind w:firstLine="720"/>
        <w:widowControl w:val="off"/>
      </w:pPr>
      <w:r>
        <w:t xml:space="preserve">4.1. Поставщик обязуется: </w:t>
      </w:r>
      <w:r/>
    </w:p>
    <w:p>
      <w:pPr>
        <w:pStyle w:val="924"/>
        <w:ind w:firstLine="720"/>
        <w:widowControl w:val="off"/>
      </w:pPr>
      <w:r>
        <w:t xml:space="preserve">4.1.1. Осуществлять поставку товара в соответствии с требованиями законодательства Российской Федерации и контрактом.</w:t>
      </w:r>
      <w:r/>
    </w:p>
    <w:p>
      <w:pPr>
        <w:pStyle w:val="924"/>
        <w:ind w:firstLine="720"/>
        <w:widowControl w:val="off"/>
      </w:pPr>
      <w:r>
        <w:t xml:space="preserve">4.1.2. Осуществлять поставку товара в объеме и в сроки, предусмотренные контрактом.</w:t>
      </w:r>
      <w:r/>
    </w:p>
    <w:p>
      <w:pPr>
        <w:pStyle w:val="924"/>
        <w:ind w:firstLine="720"/>
        <w:widowControl w:val="off"/>
      </w:pPr>
      <w:r>
        <w:t xml:space="preserve">4.1.3. Доставить товар на склад </w:t>
      </w:r>
      <w:r>
        <w:t xml:space="preserve">Заказчика</w:t>
      </w:r>
      <w:r>
        <w:t xml:space="preserve"> </w:t>
      </w:r>
      <w:r>
        <w:t xml:space="preserve">своими силами и средствами.</w:t>
      </w:r>
      <w:r/>
    </w:p>
    <w:p>
      <w:pPr>
        <w:pStyle w:val="924"/>
        <w:ind w:firstLine="720"/>
        <w:widowControl w:val="off"/>
      </w:pPr>
      <w:r>
        <w:t xml:space="preserve">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r/>
    </w:p>
    <w:p>
      <w:pPr>
        <w:pStyle w:val="924"/>
        <w:ind w:firstLine="720"/>
        <w:widowControl w:val="off"/>
      </w:pPr>
      <w:r>
        <w:t xml:space="preserve">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p>
    <w:p>
      <w:pPr>
        <w:pStyle w:val="924"/>
        <w:ind w:firstLine="720"/>
        <w:widowControl w:val="off"/>
      </w:pPr>
      <w:r>
        <w:t xml:space="preserve">4.1.6. Устранять недостатки товара и его некомплектность в течение 5 (пяти) календарных дней с момента заявления о них Заказчиком.</w:t>
      </w:r>
      <w:r/>
    </w:p>
    <w:p>
      <w:pPr>
        <w:pStyle w:val="924"/>
        <w:ind w:firstLine="720"/>
        <w:widowControl w:val="off"/>
      </w:pPr>
      <w:r>
        <w:t xml:space="preserve">Расходы, связанные с устранением недостатков товара и некомплектности, несет Поставщик.</w:t>
      </w:r>
      <w:r/>
    </w:p>
    <w:p>
      <w:pPr>
        <w:pStyle w:val="924"/>
        <w:ind w:firstLine="720"/>
        <w:widowControl w:val="off"/>
      </w:pPr>
      <w:r>
        <w:t xml:space="preserve">4.1.7. Участвовать в приемке-передаче товара в соответствии с разделом 5 контракта.</w:t>
      </w:r>
      <w:r/>
    </w:p>
    <w:p>
      <w:pPr>
        <w:pStyle w:val="924"/>
        <w:ind w:firstLine="720"/>
        <w:widowControl w:val="off"/>
      </w:pPr>
      <w:r>
        <w:t xml:space="preserve">4.1.8. В случае если при поставке товара персоналом Поставщика нанесены поврежде</w:t>
      </w:r>
      <w:r>
        <w:t xml:space="preserve">ния </w:t>
      </w:r>
      <w:r>
        <w:t xml:space="preserve">объекту(ам), </w:t>
      </w:r>
      <w:r>
        <w:t xml:space="preserve">ответственность и устранение нанесенного ущерба возложить на </w:t>
      </w:r>
      <w:r>
        <w:t xml:space="preserve">Поставщика</w:t>
      </w:r>
      <w:r>
        <w:t xml:space="preserve">.</w:t>
      </w:r>
      <w:r/>
    </w:p>
    <w:p>
      <w:pPr>
        <w:pStyle w:val="924"/>
        <w:ind w:firstLine="720"/>
        <w:widowControl w:val="off"/>
      </w:pPr>
      <w:r>
        <w:t xml:space="preserve">4.1.9. Осуществлять поставку товара без остановки рабочего процесса Заказчика</w:t>
      </w:r>
      <w:r>
        <w:t xml:space="preserve">/</w:t>
      </w:r>
      <w:r>
        <w:t xml:space="preserve"> Управления Федерального казн</w:t>
      </w:r>
      <w:r>
        <w:t xml:space="preserve">ачейства по </w:t>
      </w:r>
      <w:r>
        <w:t xml:space="preserve">Тамбовской</w:t>
      </w:r>
      <w:r>
        <w:t xml:space="preserve"> области (далее – Получатель).</w:t>
      </w:r>
      <w:r/>
    </w:p>
    <w:p>
      <w:pPr>
        <w:pStyle w:val="924"/>
        <w:ind w:firstLine="720"/>
        <w:widowControl w:val="off"/>
      </w:pPr>
      <w:r>
        <w:t xml:space="preserve">4.1.10. Осуществлять пост</w:t>
      </w:r>
      <w:r>
        <w:t xml:space="preserve">авку товара</w:t>
      </w:r>
      <w:r>
        <w:t xml:space="preserve"> за свой риск, своими силами и техническими средствами, а также силами и техническими средствами привлеченных им с</w:t>
      </w:r>
      <w:r>
        <w:t xml:space="preserve">оисполнителей</w:t>
      </w:r>
      <w:r>
        <w:t xml:space="preserve"> на условиях, установленных контрактом;</w:t>
      </w:r>
      <w:r/>
    </w:p>
    <w:p>
      <w:pPr>
        <w:pStyle w:val="924"/>
        <w:ind w:firstLine="720"/>
        <w:widowControl w:val="off"/>
      </w:pPr>
      <w:r>
        <w:t xml:space="preserve">4.1.11. Не разглашать сведения, полученные о Заказчике</w:t>
      </w:r>
      <w:r>
        <w:t xml:space="preserve"> и Получателе</w:t>
      </w:r>
      <w:r>
        <w:t xml:space="preserve"> в ходе исполнения контракта.</w:t>
      </w:r>
      <w:r/>
    </w:p>
    <w:p>
      <w:pPr>
        <w:pStyle w:val="924"/>
        <w:ind w:firstLine="720"/>
        <w:widowControl w:val="off"/>
      </w:pPr>
      <w:r>
        <w:t xml:space="preserve">4.1.12. По требованию Заказчика заменить товар на товар, соответствующий по качеств</w:t>
      </w:r>
      <w:r>
        <w:t xml:space="preserve">у</w:t>
      </w:r>
      <w:r>
        <w:t xml:space="preserve">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w:t>
      </w:r>
      <w:r>
        <w:t xml:space="preserve">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r/>
    </w:p>
    <w:p>
      <w:pPr>
        <w:pStyle w:val="924"/>
        <w:ind w:firstLine="720"/>
        <w:widowControl w:val="off"/>
      </w:pPr>
      <w:r>
        <w:t xml:space="preserve">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r/>
    </w:p>
    <w:p>
      <w:pPr>
        <w:pStyle w:val="924"/>
        <w:ind w:firstLine="720"/>
        <w:widowControl w:val="off"/>
      </w:pPr>
      <w:r>
        <w:t xml:space="preserve">4.2. Поставщик имеет право:</w:t>
      </w:r>
      <w:r/>
    </w:p>
    <w:p>
      <w:pPr>
        <w:pStyle w:val="924"/>
        <w:ind w:firstLine="720"/>
        <w:widowControl w:val="off"/>
      </w:pPr>
      <w:r>
        <w:t xml:space="preserve">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r/>
    </w:p>
    <w:p>
      <w:pPr>
        <w:pStyle w:val="924"/>
        <w:ind w:firstLine="720"/>
        <w:widowControl w:val="off"/>
      </w:pPr>
      <w:r>
        <w:t xml:space="preserve">4.3. Заказчик обязуется:</w:t>
      </w:r>
      <w:r/>
    </w:p>
    <w:p>
      <w:pPr>
        <w:pStyle w:val="924"/>
        <w:ind w:firstLine="720"/>
        <w:widowControl w:val="off"/>
      </w:pPr>
      <w:r>
        <w:t xml:space="preserve">4.3.1. Обеспечить условия для осуществления поставки товара, обеспечить доступ на </w:t>
      </w:r>
      <w:r>
        <w:t xml:space="preserve">объект(ы)</w:t>
      </w:r>
      <w:r>
        <w:t xml:space="preserve">.</w:t>
      </w:r>
      <w:r/>
    </w:p>
    <w:p>
      <w:pPr>
        <w:pStyle w:val="924"/>
        <w:ind w:firstLine="720"/>
        <w:widowControl w:val="off"/>
      </w:pPr>
      <w:r>
        <w:t xml:space="preserve">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r/>
    </w:p>
    <w:p>
      <w:pPr>
        <w:pStyle w:val="924"/>
        <w:ind w:firstLine="720"/>
        <w:widowControl w:val="off"/>
      </w:pPr>
      <w:r>
        <w:t xml:space="preserve">4.3.3. Оплатить поставку товара в соответствии с условиями контракта.</w:t>
      </w:r>
      <w:r/>
    </w:p>
    <w:p>
      <w:pPr>
        <w:pStyle w:val="924"/>
        <w:ind w:firstLine="720"/>
        <w:widowControl w:val="off"/>
      </w:pPr>
      <w:r>
        <w:t xml:space="preserve">4.4. Заказчик имеет право: </w:t>
      </w:r>
      <w:r/>
    </w:p>
    <w:p>
      <w:pPr>
        <w:pStyle w:val="924"/>
        <w:ind w:firstLine="720"/>
        <w:widowControl w:val="off"/>
      </w:pPr>
      <w:r>
        <w:t xml:space="preserve">4.4.1. Требовать от Поставщика надлежащего исполнения обязательств по контракту;</w:t>
      </w:r>
      <w:r/>
    </w:p>
    <w:p>
      <w:pPr>
        <w:pStyle w:val="924"/>
        <w:ind w:firstLine="720"/>
        <w:widowControl w:val="off"/>
      </w:pPr>
      <w:r>
        <w:t xml:space="preserve">4.4.2. Предъявлять претензии по расчетам и к качеству поставляемого товара.</w:t>
      </w:r>
      <w:r/>
    </w:p>
    <w:p>
      <w:pPr>
        <w:pStyle w:val="924"/>
        <w:ind w:firstLine="720"/>
        <w:widowControl w:val="off"/>
      </w:pPr>
      <w:r>
        <w:t xml:space="preserve">4.4.3. Выполнить иные обязательства, предусмотренные контрактом и действующим законодательством Российской Федерации.</w:t>
      </w:r>
      <w:r/>
    </w:p>
    <w:p>
      <w:pPr>
        <w:pStyle w:val="924"/>
        <w:ind w:firstLine="720"/>
        <w:widowControl w:val="off"/>
        <w:rPr>
          <w:b/>
          <w:bCs/>
        </w:rPr>
      </w:pPr>
      <w:r>
        <w:rPr>
          <w:b/>
          <w:bCs/>
        </w:rPr>
      </w:r>
      <w:r>
        <w:rPr>
          <w:b/>
          <w:bCs/>
        </w:rPr>
      </w:r>
      <w:r>
        <w:rPr>
          <w:b/>
          <w:bCs/>
        </w:rPr>
      </w:r>
    </w:p>
    <w:p>
      <w:pPr>
        <w:pStyle w:val="924"/>
        <w:ind w:firstLine="720"/>
        <w:jc w:val="center"/>
        <w:widowControl w:val="off"/>
        <w:rPr>
          <w:b/>
          <w:bCs/>
        </w:rPr>
      </w:pPr>
      <w:r>
        <w:rPr>
          <w:b/>
          <w:bCs/>
        </w:rPr>
        <w:t xml:space="preserve">5. Порядок приемки и сроки осуществления приемки товара</w:t>
      </w:r>
      <w:r>
        <w:rPr>
          <w:b/>
          <w:bCs/>
        </w:rPr>
      </w:r>
      <w:r>
        <w:rPr>
          <w:b/>
          <w:bCs/>
        </w:rPr>
      </w:r>
    </w:p>
    <w:p>
      <w:pPr>
        <w:pStyle w:val="924"/>
        <w:ind w:firstLine="709"/>
        <w:widowControl w:val="off"/>
        <w:tabs>
          <w:tab w:val="right" w:pos="9900" w:leader="none"/>
        </w:tabs>
      </w:pPr>
      <w:r>
        <w:t xml:space="preserve">5.</w:t>
      </w:r>
      <w:r>
        <w:t xml:space="preserve">1. Приемка поставленного товара осуществляется Заказчиком </w:t>
      </w:r>
      <w:r>
        <w:t xml:space="preserve">по акту приемки товаров, работ, услуг (код формы по ОКУД 0510452) в течение </w:t>
      </w:r>
      <w:r>
        <w:t xml:space="preserve">1</w:t>
      </w:r>
      <w:r>
        <w:t xml:space="preserve">5</w:t>
      </w:r>
      <w:r>
        <w:t xml:space="preserve"> (</w:t>
      </w:r>
      <w:r>
        <w:t xml:space="preserve">пятнадцати</w:t>
      </w:r>
      <w:r>
        <w:t xml:space="preserve">) рабочих дней с момента поставки и включает в себя следующие этапы:</w:t>
      </w:r>
      <w:r/>
    </w:p>
    <w:p>
      <w:pPr>
        <w:pStyle w:val="924"/>
        <w:ind w:firstLine="709"/>
        <w:widowControl w:val="off"/>
        <w:tabs>
          <w:tab w:val="right" w:pos="9900" w:leader="none"/>
        </w:tabs>
        <w:rPr>
          <w:rFonts w:eastAsia="Calibri"/>
          <w:lang w:eastAsia="en-US"/>
        </w:rPr>
      </w:pPr>
      <w:r>
        <w:rPr>
          <w:rFonts w:eastAsia="Calibri"/>
          <w:lang w:eastAsia="en-US"/>
        </w:rPr>
        <w:t xml:space="preserve">а</w:t>
      </w:r>
      <w:r>
        <w:rPr>
          <w:rFonts w:eastAsia="Calibri"/>
          <w:lang w:eastAsia="en-US"/>
        </w:rPr>
        <w:t xml:space="preserve">) проверка комплектности и номенклатуры поставляемого товара на соответствие контракту;</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б</w:t>
      </w:r>
      <w:r>
        <w:rPr>
          <w:rFonts w:eastAsia="Calibri"/>
          <w:lang w:eastAsia="en-US"/>
        </w:rPr>
        <w:t xml:space="preserve">) проверка соответствия наименования и характеристик товара, требованиям, указанным в контракте; </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в</w:t>
      </w:r>
      <w:r>
        <w:rPr>
          <w:rFonts w:eastAsia="Calibri"/>
          <w:lang w:eastAsia="en-US"/>
        </w:rPr>
        <w:t xml:space="preserve">) проверка полноты и правильности оформления комплекта документов по передаче товара, в соответствии с условиями контракта;</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г</w:t>
      </w:r>
      <w:r>
        <w:rPr>
          <w:rFonts w:eastAsia="Calibri"/>
          <w:lang w:eastAsia="en-US"/>
        </w:rPr>
        <w:t xml:space="preserve">) контроль наличия/отсутствия внешних повреждений.</w:t>
      </w:r>
      <w:r>
        <w:rPr>
          <w:rFonts w:eastAsia="Calibri"/>
          <w:lang w:eastAsia="en-US"/>
        </w:rPr>
      </w:r>
      <w:r>
        <w:rPr>
          <w:rFonts w:eastAsia="Calibri"/>
          <w:lang w:eastAsia="en-US"/>
        </w:rPr>
      </w:r>
    </w:p>
    <w:p>
      <w:pPr>
        <w:pStyle w:val="924"/>
        <w:ind w:firstLine="709"/>
        <w:rPr>
          <w:sz w:val="22"/>
          <w:szCs w:val="22"/>
        </w:rPr>
      </w:pPr>
      <w:r>
        <w:t xml:space="preserve">5.2. </w:t>
      </w:r>
      <w:r>
        <w:t xml:space="preserve">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w:t>
      </w:r>
      <w:r>
        <w:t xml:space="preserve">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Приложением к контракту.</w:t>
      </w:r>
      <w:r>
        <w:rPr>
          <w:sz w:val="22"/>
          <w:szCs w:val="22"/>
        </w:rPr>
      </w:r>
      <w:r>
        <w:rPr>
          <w:sz w:val="22"/>
          <w:szCs w:val="22"/>
        </w:rPr>
      </w:r>
    </w:p>
    <w:p>
      <w:pPr>
        <w:pStyle w:val="924"/>
        <w:ind w:firstLine="709"/>
        <w:widowControl w:val="off"/>
        <w:tabs>
          <w:tab w:val="right" w:pos="9900" w:leader="none"/>
        </w:tabs>
      </w:pPr>
      <w: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w:t>
      </w:r>
      <w:r>
        <w:t xml:space="preserve">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pStyle w:val="924"/>
        <w:widowControl w:val="off"/>
      </w:pPr>
      <w:r>
        <w:t xml:space="preserve">           5.3.1. </w:t>
      </w:r>
      <w:r>
        <w:rPr>
          <w:color w:val="000000"/>
        </w:rPr>
        <w:t xml:space="preserve">Заказчик в течение </w:t>
      </w:r>
      <w:r>
        <w:rPr>
          <w:color w:val="000000"/>
        </w:rPr>
        <w:t xml:space="preserve">10</w:t>
      </w:r>
      <w:r>
        <w:rPr>
          <w:color w:val="000000"/>
        </w:rPr>
        <w:t xml:space="preserve"> (</w:t>
      </w:r>
      <w:r>
        <w:rPr>
          <w:color w:val="000000"/>
        </w:rPr>
        <w:t xml:space="preserve">десяти</w:t>
      </w:r>
      <w:r>
        <w:rPr>
          <w:color w:val="000000"/>
        </w:rPr>
        <w:t xml:space="preserve">) рабочих дней, следующих за днем поставки товара</w:t>
      </w:r>
      <w:r>
        <w:rPr>
          <w:rFonts w:eastAsia="Calibri"/>
        </w:rPr>
        <w:t xml:space="preserve">,</w:t>
      </w:r>
      <w:r>
        <w:rPr>
          <w:color w:val="000000"/>
        </w:rPr>
        <w:t xml:space="preserve"> формирует проект акта </w:t>
      </w:r>
      <w:r>
        <w:t xml:space="preserve">приемки товаров, работ, услуг (код формы по ОКУД 0510452) </w:t>
      </w:r>
      <w:r>
        <w:rPr>
          <w:color w:val="000000"/>
        </w:rPr>
        <w:t xml:space="preserve">и направляет его </w:t>
      </w:r>
      <w:r>
        <w:t xml:space="preserve">Поставщику</w:t>
      </w:r>
      <w:r>
        <w:rPr>
          <w:color w:val="000000"/>
        </w:rPr>
        <w:t xml:space="preserve">. В случае отказа от приемки Заказчик к проекту акта </w:t>
      </w:r>
      <w:r>
        <w:t xml:space="preserve">приемки товаров, работ, услуг (код формы по ОКУД 0510452)</w:t>
      </w:r>
      <w:r>
        <w:rPr>
          <w:color w:val="000000"/>
        </w:rPr>
        <w:t xml:space="preserve"> прикладывает </w:t>
      </w:r>
      <w:r>
        <w:t xml:space="preserve">мотивированный отказ от приемки товара.</w:t>
      </w:r>
      <w:r/>
    </w:p>
    <w:p>
      <w:pPr>
        <w:pStyle w:val="924"/>
        <w:ind w:firstLine="708"/>
        <w:widowControl w:val="off"/>
      </w:pPr>
      <w:r>
        <w:rPr>
          <w:color w:val="000000"/>
        </w:rPr>
        <w:t xml:space="preserve">5.3.2. </w:t>
      </w:r>
      <w:r>
        <w:t xml:space="preserve">Поставщик </w:t>
      </w:r>
      <w:r>
        <w:rPr>
          <w:color w:val="000000"/>
        </w:rPr>
        <w:t xml:space="preserve">в течение 3 (трех) рабочих дней, следующих за днем поступления проекта акта </w:t>
      </w:r>
      <w:r>
        <w:t xml:space="preserve">приемки товаров, работ, услуг (код формы по ОКУД 0510452), </w:t>
      </w:r>
      <w:r>
        <w:rPr>
          <w:color w:val="000000"/>
        </w:rPr>
        <w:t xml:space="preserve">подписывает его и направляет Заказчику.</w:t>
      </w:r>
      <w:r>
        <w:t xml:space="preserve"> </w:t>
      </w:r>
      <w:r/>
    </w:p>
    <w:p>
      <w:pPr>
        <w:pStyle w:val="924"/>
        <w:ind w:firstLine="708"/>
        <w:widowControl w:val="off"/>
      </w:pPr>
      <w:r>
        <w:t xml:space="preserve">5.3.3. Заказчик </w:t>
      </w:r>
      <w:r>
        <w:rPr>
          <w:color w:val="000000"/>
        </w:rPr>
        <w:t xml:space="preserve">в течение 2 (двух) рабочих дней, следующих за днем поступления </w:t>
      </w:r>
      <w:r>
        <w:t xml:space="preserve">подписанного Поставщиком </w:t>
      </w:r>
      <w:r>
        <w:rPr>
          <w:color w:val="000000"/>
        </w:rPr>
        <w:t xml:space="preserve">акта </w:t>
      </w:r>
      <w:r>
        <w:t xml:space="preserve">приемки товаров, работ, услуг (код формы по ОКУД 0510452), утверждает его.</w:t>
      </w:r>
      <w:r/>
    </w:p>
    <w:p>
      <w:pPr>
        <w:pStyle w:val="924"/>
        <w:ind w:firstLine="708"/>
        <w:widowControl w:val="off"/>
        <w:rPr>
          <w:color w:val="000000"/>
        </w:rPr>
      </w:pPr>
      <w:r>
        <w:t xml:space="preserve">5.3.4. Датой приемки поставленного товара считается дата утверждения Заказчиком подписанного Поставщиком </w:t>
      </w:r>
      <w:r>
        <w:rPr>
          <w:color w:val="000000"/>
        </w:rPr>
        <w:t xml:space="preserve">акта </w:t>
      </w:r>
      <w:r>
        <w:t xml:space="preserve">приемки товаров, работ, услуг (код формы по ОКУД 0510452).</w:t>
      </w:r>
      <w:r>
        <w:rPr>
          <w:color w:val="000000"/>
        </w:rPr>
      </w:r>
      <w:r>
        <w:rPr>
          <w:color w:val="000000"/>
        </w:rPr>
      </w:r>
    </w:p>
    <w:p>
      <w:pPr>
        <w:pStyle w:val="924"/>
        <w:ind w:firstLine="709"/>
        <w:widowControl w:val="off"/>
        <w:tabs>
          <w:tab w:val="right" w:pos="9900" w:leader="none"/>
        </w:tabs>
      </w:pPr>
      <w:r>
        <w:t xml:space="preserve">5.4. Переход права собственн</w:t>
      </w:r>
      <w:r>
        <w:t xml:space="preserve">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r/>
    </w:p>
    <w:p>
      <w:pPr>
        <w:pStyle w:val="924"/>
        <w:ind w:firstLine="709"/>
      </w:pPr>
      <w:r>
        <w:t xml:space="preserve">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w:t>
      </w:r>
      <w:r>
        <w:t xml:space="preserve">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pStyle w:val="924"/>
        <w:ind w:firstLine="709"/>
      </w:pPr>
      <w:r>
        <w:t xml:space="preserve">5.6. По</w:t>
      </w:r>
      <w:r>
        <w:t xml:space="preserve"> решению Заказчика</w:t>
      </w:r>
      <w:r>
        <w:t xml:space="preserve"> для приемки товара может создаваться приемочная комиссия, которая состоит не менее чем из пяти человек.</w:t>
      </w:r>
      <w:r/>
    </w:p>
    <w:p>
      <w:pPr>
        <w:pStyle w:val="924"/>
        <w:ind w:firstLine="720"/>
      </w:pPr>
      <w:r>
        <w:t xml:space="preserve">5.7. </w:t>
      </w:r>
      <w:r>
        <w:t xml:space="preserve">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color w:val="000000"/>
          <w:spacing w:val="-2"/>
        </w:rPr>
        <w:t xml:space="preserve">,</w:t>
      </w:r>
      <w:r>
        <w:t xml:space="preserve"> и передать </w:t>
      </w:r>
      <w:r>
        <w:t xml:space="preserve">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5.3.1 - 5.3.4 контракта.</w:t>
      </w:r>
      <w:r/>
    </w:p>
    <w:p>
      <w:pPr>
        <w:pStyle w:val="924"/>
        <w:ind w:firstLine="720"/>
      </w:pPr>
      <w:r>
        <w:t xml:space="preserve">5.8. В случае направления Поставщику повторно</w:t>
      </w:r>
      <w:r>
        <w:t xml:space="preserve">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r/>
    </w:p>
    <w:p>
      <w:pPr>
        <w:pStyle w:val="1149"/>
        <w:jc w:val="center"/>
        <w:spacing w:before="0" w:after="0"/>
        <w:rPr>
          <w:sz w:val="24"/>
          <w:szCs w:val="24"/>
        </w:rPr>
      </w:pPr>
      <w:r>
        <w:rPr>
          <w:sz w:val="24"/>
          <w:szCs w:val="24"/>
        </w:rPr>
      </w:r>
      <w:r>
        <w:rPr>
          <w:sz w:val="24"/>
          <w:szCs w:val="24"/>
        </w:rPr>
      </w:r>
      <w:r>
        <w:rPr>
          <w:sz w:val="24"/>
          <w:szCs w:val="24"/>
        </w:rPr>
      </w:r>
    </w:p>
    <w:p>
      <w:pPr>
        <w:pStyle w:val="1149"/>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w:t>
      </w:r>
      <w:r>
        <w:rPr>
          <w:sz w:val="24"/>
          <w:szCs w:val="24"/>
        </w:rPr>
        <w:t xml:space="preserve">дусмотренных контрактом</w:t>
      </w:r>
      <w:r>
        <w:rPr>
          <w:sz w:val="24"/>
          <w:szCs w:val="24"/>
        </w:rPr>
      </w:r>
      <w:r>
        <w:rPr>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 Заказчик и По</w:t>
      </w:r>
      <w:r>
        <w:rPr>
          <w:rFonts w:ascii="Times New Roman" w:hAnsi="Times New Roman"/>
          <w:sz w:val="24"/>
          <w:szCs w:val="24"/>
        </w:rPr>
        <w:t xml:space="preserve">ставщ</w:t>
      </w:r>
      <w:r>
        <w:rPr>
          <w:rFonts w:ascii="Times New Roman" w:hAnsi="Times New Roman"/>
          <w:sz w:val="24"/>
          <w:szCs w:val="24"/>
        </w:rPr>
        <w:t xml:space="preserve">ик несут ответственность за неисполнение или ненадлежащее исполнение обязательств, предусмотренных контрактом.</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4"/>
          <w:szCs w:val="24"/>
        </w:rPr>
        <w:t xml:space="preserve">Поставщик</w:t>
      </w:r>
      <w:r>
        <w:rPr>
          <w:rFonts w:ascii="Times New Roman" w:hAnsi="Times New Roman"/>
          <w:sz w:val="24"/>
          <w:szCs w:val="24"/>
        </w:rPr>
        <w:t xml:space="preserve"> вправе потребовать уплаты неустоек (штрафов, пеней). </w:t>
      </w:r>
      <w:r>
        <w:rPr>
          <w:rFonts w:ascii="Times New Roman" w:hAnsi="Times New Roman"/>
          <w:sz w:val="24"/>
          <w:szCs w:val="24"/>
        </w:rPr>
      </w:r>
      <w:r>
        <w:rPr>
          <w:rFonts w:ascii="Times New Roman" w:hAnsi="Times New Roman"/>
          <w:sz w:val="24"/>
          <w:szCs w:val="24"/>
        </w:rPr>
      </w:r>
    </w:p>
    <w:p>
      <w:pPr>
        <w:pStyle w:val="924"/>
        <w:ind w:firstLine="708"/>
      </w:pPr>
      <w: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w:t>
      </w:r>
      <w: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924"/>
        <w:ind w:firstLine="540"/>
        <w:rPr>
          <w:color w:val="000000"/>
        </w:rPr>
      </w:pPr>
      <w: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составляет </w:t>
      </w:r>
      <w:r>
        <w:rPr>
          <w:color w:val="000000"/>
        </w:rPr>
        <w:t xml:space="preserve">1000 </w:t>
      </w:r>
      <w:r>
        <w:rPr>
          <w:color w:val="000000"/>
        </w:rPr>
        <w:t xml:space="preserve">рублей.</w:t>
      </w:r>
      <w:r>
        <w:rPr>
          <w:color w:val="000000"/>
        </w:rPr>
      </w:r>
      <w:r>
        <w:rPr>
          <w:color w:val="000000"/>
        </w:rPr>
      </w:r>
    </w:p>
    <w:p>
      <w:pPr>
        <w:pStyle w:val="1134"/>
        <w:jc w:val="both"/>
        <w:rPr>
          <w:rFonts w:ascii="Times New Roman" w:hAnsi="Times New Roman"/>
          <w:sz w:val="24"/>
          <w:szCs w:val="24"/>
        </w:rPr>
      </w:pPr>
      <w:r>
        <w:rPr>
          <w:rFonts w:ascii="Times New Roman" w:hAnsi="Times New Roman"/>
          <w:i/>
          <w:sz w:val="24"/>
          <w:szCs w:val="24"/>
        </w:rPr>
        <w:t xml:space="preserve"> </w:t>
        <w:tab/>
      </w:r>
      <w:r>
        <w:rPr>
          <w:rFonts w:ascii="Times New Roman" w:hAnsi="Times New Roman"/>
          <w:sz w:val="24"/>
          <w:szCs w:val="24"/>
        </w:rPr>
        <w:t xml:space="preserve">6.5. В случае просрочки исполнения </w:t>
      </w:r>
      <w:r>
        <w:rPr>
          <w:rFonts w:ascii="Times New Roman" w:hAnsi="Times New Roman"/>
          <w:sz w:val="24"/>
          <w:szCs w:val="24"/>
        </w:rPr>
        <w:t xml:space="preserve">Поставщи</w:t>
      </w:r>
      <w:r>
        <w:rPr>
          <w:rFonts w:ascii="Times New Roman" w:hAnsi="Times New Roman"/>
          <w:sz w:val="24"/>
          <w:szCs w:val="24"/>
        </w:rPr>
        <w:t xml:space="preserve">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Заказчик направляет </w:t>
      </w:r>
      <w:r>
        <w:rPr>
          <w:rFonts w:ascii="Times New Roman" w:hAnsi="Times New Roman"/>
          <w:sz w:val="24"/>
          <w:szCs w:val="24"/>
        </w:rPr>
        <w:t xml:space="preserve">Поставщик</w:t>
      </w:r>
      <w:r>
        <w:rPr>
          <w:rFonts w:ascii="Times New Roman" w:hAnsi="Times New Roman"/>
          <w:sz w:val="24"/>
          <w:szCs w:val="24"/>
        </w:rPr>
        <w:t xml:space="preserve">у требование об уплате неустоек (штрафов, пеней).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w:t>
      </w:r>
      <w:r>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 </w:t>
      </w:r>
      <w:r>
        <w:rPr>
          <w:rFonts w:ascii="Times New Roman" w:hAnsi="Times New Roman"/>
          <w:sz w:val="24"/>
          <w:szCs w:val="24"/>
        </w:rPr>
        <w:t xml:space="preserve">в размере одной трехсотой действующей на дату уплаты пени ключевой ставки Центрального банка Российской Федерации</w:t>
      </w:r>
      <w:r>
        <w:rPr>
          <w:color w:val="ff0000"/>
        </w:rPr>
        <w:t xml:space="preserve"> </w:t>
      </w:r>
      <w:r>
        <w:rPr>
          <w:rFonts w:ascii="Times New Roman" w:hAnsi="Times New Roman"/>
          <w:sz w:val="24"/>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4"/>
          <w:szCs w:val="24"/>
        </w:rPr>
        <w:t xml:space="preserve">Поставщик</w:t>
      </w:r>
      <w:r>
        <w:rPr>
          <w:rFonts w:ascii="Times New Roman" w:hAnsi="Times New Roman"/>
          <w:sz w:val="24"/>
          <w:szCs w:val="24"/>
        </w:rPr>
        <w:t xml:space="preserve">ом.</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6.7. Штраф за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955"/>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 и составляет ________рублей.</w:t>
      </w:r>
      <w:r>
        <w:rPr>
          <w:rFonts w:ascii="Times New Roman" w:hAnsi="Times New Roman"/>
          <w:sz w:val="24"/>
          <w:szCs w:val="24"/>
        </w:rPr>
      </w:r>
      <w:r>
        <w:rPr>
          <w:rFonts w:ascii="Times New Roman" w:hAnsi="Times New Roman"/>
          <w:sz w:val="24"/>
          <w:szCs w:val="24"/>
        </w:rPr>
      </w:r>
    </w:p>
    <w:p>
      <w:pPr>
        <w:pStyle w:val="924"/>
        <w:ind w:firstLine="540"/>
        <w:rPr>
          <w:i/>
          <w:iCs/>
          <w:color w:val="000000"/>
        </w:rPr>
      </w:pPr>
      <w:r>
        <w:rPr>
          <w:i/>
          <w:iCs/>
          <w:color w:val="000000"/>
        </w:rPr>
        <w:t xml:space="preserve">10 процентов цены контракта (этапа) в случае, если цена контракта (этапа) не превышает 3 млн. рублей;</w:t>
      </w:r>
      <w:r>
        <w:rPr>
          <w:i/>
          <w:iCs/>
          <w:color w:val="000000"/>
        </w:rPr>
      </w:r>
      <w:r>
        <w:rPr>
          <w:i/>
          <w:iCs/>
          <w:color w:val="000000"/>
        </w:rPr>
      </w:r>
    </w:p>
    <w:p>
      <w:pPr>
        <w:pStyle w:val="1134"/>
        <w:ind w:firstLine="708"/>
        <w:jc w:val="both"/>
        <w:rPr>
          <w:rFonts w:ascii="Times New Roman" w:hAnsi="Times New Roman"/>
          <w:sz w:val="24"/>
          <w:szCs w:val="24"/>
        </w:rPr>
      </w:pPr>
      <w:r>
        <w:rPr>
          <w:rFonts w:ascii="Times New Roman" w:hAnsi="Times New Roman"/>
          <w:color w:val="000000"/>
          <w:sz w:val="24"/>
          <w:szCs w:val="24"/>
        </w:rPr>
        <w:t xml:space="preserve">6.8. Штраф з</w:t>
      </w:r>
      <w:r>
        <w:rPr>
          <w:rFonts w:ascii="Times New Roman" w:hAnsi="Times New Roman"/>
          <w:sz w:val="24"/>
          <w:szCs w:val="24"/>
        </w:rPr>
        <w:t xml:space="preserve">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которое не имеет стоимостного выражения</w:t>
      </w:r>
      <w:r>
        <w:rPr>
          <w:rFonts w:ascii="Times New Roman" w:hAnsi="Times New Roman"/>
          <w:sz w:val="24"/>
          <w:szCs w:val="24"/>
        </w:rPr>
        <w:t xml:space="preserve">,</w:t>
      </w:r>
      <w:r>
        <w:rPr>
          <w:rFonts w:ascii="Times New Roman" w:hAnsi="Times New Roman"/>
          <w:sz w:val="24"/>
          <w:szCs w:val="24"/>
        </w:rPr>
        <w:t xml:space="preserve"> составляет</w:t>
      </w:r>
      <w:r>
        <w:rPr>
          <w:rFonts w:ascii="Times New Roman" w:hAnsi="Times New Roman"/>
          <w:sz w:val="24"/>
          <w:szCs w:val="24"/>
        </w:rPr>
        <w:t xml:space="preserve"> 1000</w:t>
      </w:r>
      <w:r>
        <w:rPr>
          <w:rFonts w:ascii="Times New Roman" w:hAnsi="Times New Roman"/>
          <w:sz w:val="24"/>
          <w:szCs w:val="24"/>
        </w:rPr>
        <w:t xml:space="preserve"> рублей.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6.10. В случае принятия решения о взыскании с </w:t>
      </w:r>
      <w:r>
        <w:rPr>
          <w:rFonts w:ascii="Times New Roman" w:hAnsi="Times New Roman"/>
          <w:sz w:val="24"/>
          <w:szCs w:val="24"/>
        </w:rPr>
        <w:t xml:space="preserve">Поставщик</w:t>
      </w:r>
      <w:r>
        <w:rPr>
          <w:rFonts w:ascii="Times New Roman" w:hAnsi="Times New Roman"/>
          <w:sz w:val="24"/>
          <w:szCs w:val="24"/>
        </w:rPr>
        <w:t xml:space="preserve">а неустоек (штрафов, пеней), предусмотренных контрактом, Заказчиком в соответствии с пунктом 6.5. контракта выставляется </w:t>
      </w:r>
      <w:r>
        <w:rPr>
          <w:rFonts w:ascii="Times New Roman" w:hAnsi="Times New Roman"/>
          <w:sz w:val="24"/>
          <w:szCs w:val="24"/>
        </w:rPr>
        <w:t xml:space="preserve">Поставщик</w:t>
      </w:r>
      <w:r>
        <w:rPr>
          <w:rFonts w:ascii="Times New Roman" w:hAnsi="Times New Roman"/>
          <w:sz w:val="24"/>
          <w:szCs w:val="24"/>
        </w:rPr>
        <w:t xml:space="preserve">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w:t>
      </w:r>
      <w:r>
        <w:rPr>
          <w:rFonts w:ascii="Times New Roman" w:hAnsi="Times New Roman"/>
          <w:sz w:val="24"/>
          <w:szCs w:val="24"/>
        </w:rPr>
        <w:t xml:space="preserve">Поставщик</w:t>
      </w:r>
      <w:r>
        <w:rPr>
          <w:rFonts w:ascii="Times New Roman" w:hAnsi="Times New Roman"/>
          <w:sz w:val="24"/>
          <w:szCs w:val="24"/>
        </w:rPr>
        <w:t xml:space="preserve"> должен перечислить денежные средства в уплату такой неустойки (штрафа, пеней), и сроки перечисления неустойки (штрафа, пеней).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6.11. Выплата неустоек (штрафов, пеней), предусмотренных контрактом, не освобождает Стороны от исполнения обязательств по контракту.</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6.12.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неисполнение или ненадлежащее исполнение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6.13.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4"/>
        <w:jc w:val="center"/>
        <w:rPr>
          <w:b/>
        </w:rPr>
      </w:pPr>
      <w:r>
        <w:rPr>
          <w:b/>
        </w:rPr>
        <w:t xml:space="preserve">7. Обстоятельства непреодолимой силы</w:t>
      </w:r>
      <w:r>
        <w:rPr>
          <w:b/>
        </w:rPr>
      </w:r>
      <w:r>
        <w:rPr>
          <w:b/>
        </w:rPr>
      </w:r>
    </w:p>
    <w:p>
      <w:pPr>
        <w:pStyle w:val="997"/>
        <w:ind w:firstLine="720"/>
        <w:spacing w:after="0"/>
        <w:rPr>
          <w:spacing w:val="-2"/>
        </w:rPr>
      </w:pPr>
      <w:r>
        <w:rPr>
          <w:lang w:val="ru-RU"/>
        </w:rPr>
        <w:t xml:space="preserve">7</w:t>
      </w:r>
      <w:r>
        <w:t xml:space="preserve">.1. Ни одна из Сторон не будет нести ответственность за полное или частичное неисполнение обязательств по контракту, если оно явилось</w:t>
      </w:r>
      <w:r>
        <w:rPr>
          <w:spacing w:val="-2"/>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rPr>
          <w:spacing w:val="-2"/>
        </w:rPr>
      </w:r>
      <w:r>
        <w:rPr>
          <w:spacing w:val="-2"/>
        </w:rPr>
      </w:r>
    </w:p>
    <w:p>
      <w:pPr>
        <w:pStyle w:val="997"/>
        <w:ind w:firstLine="720"/>
        <w:spacing w:after="0"/>
      </w:pPr>
      <w:r>
        <w:rPr>
          <w:lang w:val="ru-RU"/>
        </w:rPr>
        <w:t xml:space="preserve">7</w:t>
      </w:r>
      <w: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w:t>
      </w:r>
      <w:r>
        <w:t xml:space="preserve">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pStyle w:val="997"/>
        <w:ind w:firstLine="720"/>
        <w:spacing w:after="0"/>
      </w:pPr>
      <w:r>
        <w:rPr>
          <w:lang w:val="ru-RU"/>
        </w:rPr>
        <w:t xml:space="preserve">7</w:t>
      </w:r>
      <w:r>
        <w:t xml:space="preserve">.3. Несвоевременное извещение об обстоятельствах непреодолимой силы лишает соответствующую Сторону права ссылаться на них в будущем.</w:t>
      </w:r>
      <w:r/>
    </w:p>
    <w:p>
      <w:pPr>
        <w:pStyle w:val="997"/>
        <w:ind w:firstLine="720"/>
        <w:spacing w:after="0"/>
      </w:pPr>
      <w:r>
        <w:rPr>
          <w:lang w:val="ru-RU"/>
        </w:rPr>
        <w:t xml:space="preserve">7</w:t>
      </w:r>
      <w:r>
        <w:t xml:space="preserve">.4.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p>
    <w:p>
      <w:pPr>
        <w:pStyle w:val="997"/>
        <w:ind w:firstLine="720"/>
        <w:spacing w:after="0"/>
        <w:rPr>
          <w:lang w:val="ru-RU"/>
        </w:rPr>
      </w:pPr>
      <w:r>
        <w:rPr>
          <w:lang w:val="ru-RU"/>
        </w:rPr>
      </w:r>
      <w:r>
        <w:rPr>
          <w:lang w:val="ru-RU"/>
        </w:rPr>
      </w:r>
      <w:r>
        <w:rPr>
          <w:lang w:val="ru-RU"/>
        </w:rPr>
      </w:r>
    </w:p>
    <w:p>
      <w:pPr>
        <w:pStyle w:val="997"/>
        <w:jc w:val="center"/>
        <w:spacing w:after="0"/>
        <w:rPr>
          <w:b/>
          <w:lang w:val="ru-RU"/>
        </w:rPr>
      </w:pPr>
      <w:r>
        <w:rPr>
          <w:b/>
          <w:lang w:val="ru-RU"/>
        </w:rPr>
        <w:t xml:space="preserve">8</w:t>
      </w:r>
      <w:r>
        <w:rPr>
          <w:b/>
          <w:lang w:val="ru-RU"/>
        </w:rPr>
        <w:t xml:space="preserve">. Срок действия контракта</w:t>
      </w:r>
      <w:r>
        <w:rPr>
          <w:b/>
          <w:lang w:val="ru-RU"/>
        </w:rPr>
      </w:r>
      <w:r>
        <w:rPr>
          <w:b/>
          <w:lang w:val="ru-RU"/>
        </w:rPr>
      </w:r>
    </w:p>
    <w:p>
      <w:pPr>
        <w:pStyle w:val="997"/>
        <w:ind w:firstLine="709"/>
        <w:spacing w:after="0"/>
        <w:widowControl w:val="off"/>
      </w:pPr>
      <w:r>
        <w:t xml:space="preserve">8.1. </w:t>
      </w:r>
      <w:r>
        <w:t xml:space="preserve">Контракт вступает в силу с момента заключения и действует до полного выполнения Сторонами всех обязательств по контракту</w:t>
      </w:r>
      <w:r>
        <w:rPr>
          <w:lang w:val="ru-RU"/>
        </w:rPr>
        <w:t xml:space="preserve">.</w:t>
      </w: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firstLine="708"/>
        <w:jc w:val="center"/>
        <w:rPr>
          <w:b/>
        </w:rPr>
      </w:pPr>
      <w:r>
        <w:rPr>
          <w:b/>
        </w:rPr>
        <w:t xml:space="preserve">9. Порядок и условия изменения (расторжения) контракта</w:t>
      </w:r>
      <w:r>
        <w:rPr>
          <w:b/>
        </w:rPr>
      </w:r>
      <w:r>
        <w:rPr>
          <w:b/>
        </w:rPr>
      </w:r>
    </w:p>
    <w:p>
      <w:pPr>
        <w:pStyle w:val="924"/>
        <w:ind w:firstLine="709"/>
      </w:pPr>
      <w:r>
        <w:t xml:space="preserve">9.1. Изменение существенных условий контракта при его исполнении не допускается, за исключением случаев, предусмотренных </w:t>
      </w:r>
      <w:r>
        <w:t xml:space="preserve">Федеральным законом </w:t>
      </w:r>
      <w:r>
        <w:t xml:space="preserve">от 05.04.2013 № 44-ФЗ.</w:t>
      </w:r>
      <w:r/>
    </w:p>
    <w:p>
      <w:pPr>
        <w:pStyle w:val="924"/>
        <w:ind w:firstLine="709"/>
      </w:pPr>
      <w:r>
        <w:t xml:space="preserve">9.2. При исполнении контракта не допускается перемена </w:t>
      </w:r>
      <w:r>
        <w:t xml:space="preserve">Поставщика</w:t>
      </w:r>
      <w:r>
        <w:t xml:space="preserve">, за исключением случая, если новый </w:t>
      </w:r>
      <w:r>
        <w:t xml:space="preserve">Поставщик</w:t>
      </w:r>
      <w:r>
        <w:t xml:space="preserve"> является правопреемником </w:t>
      </w:r>
      <w:r>
        <w:t xml:space="preserve">Поставщика</w:t>
      </w:r>
      <w:r>
        <w:t xml:space="preserve"> по контракту вследствие реорганизации юридического лица в форме преобразования, слияния или присоединения.</w:t>
      </w:r>
      <w:r/>
    </w:p>
    <w:p>
      <w:pPr>
        <w:pStyle w:val="924"/>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924"/>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r>
        <w:rPr>
          <w:bCs/>
        </w:rPr>
      </w:r>
    </w:p>
    <w:p>
      <w:pPr>
        <w:pStyle w:val="924"/>
        <w:ind w:firstLine="708"/>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9.6. </w:t>
      </w:r>
      <w:r>
        <w:t xml:space="preserve">Поставщик</w:t>
      </w:r>
      <w: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997"/>
        <w:jc w:val="center"/>
        <w:spacing w:after="0"/>
        <w:widowControl w:val="off"/>
        <w:rPr>
          <w:b/>
          <w:bCs/>
          <w:lang w:val="ru-RU"/>
        </w:rPr>
      </w:pPr>
      <w:r>
        <w:rPr>
          <w:b/>
          <w:bCs/>
          <w:lang w:val="ru-RU"/>
        </w:rPr>
        <w:t xml:space="preserve">10</w:t>
      </w:r>
      <w:r>
        <w:rPr>
          <w:b/>
          <w:bCs/>
        </w:rPr>
        <w:t xml:space="preserve">. Разрешение споров</w:t>
      </w:r>
      <w:r>
        <w:rPr>
          <w:b/>
          <w:bCs/>
          <w:lang w:val="ru-RU"/>
        </w:rPr>
      </w:r>
      <w:r>
        <w:rPr>
          <w:b/>
          <w:bCs/>
          <w:lang w:val="ru-RU"/>
        </w:rPr>
      </w:r>
    </w:p>
    <w:p>
      <w:pPr>
        <w:pStyle w:val="997"/>
        <w:ind w:firstLine="708"/>
        <w:spacing w:after="0"/>
        <w:widowControl w:val="off"/>
      </w:pPr>
      <w:r>
        <w:rPr>
          <w:lang w:val="ru-RU"/>
        </w:rPr>
        <w:t xml:space="preserve">10</w:t>
      </w:r>
      <w:r>
        <w:t xml:space="preserve">.</w:t>
      </w:r>
      <w:r>
        <w:rPr>
          <w:lang w:val="ru-RU"/>
        </w:rPr>
        <w:t xml:space="preserve">1</w:t>
      </w:r>
      <w:r>
        <w:t xml:space="preserve">.</w:t>
      </w:r>
      <w:r>
        <w:t xml:space="preserve"> </w:t>
      </w:r>
      <w:r>
        <w:t xml:space="preserve">Все споры и разногласия, связанные с </w:t>
      </w:r>
      <w:r>
        <w:t xml:space="preserve">к</w:t>
      </w:r>
      <w:r>
        <w:t xml:space="preserve">онтрактом, Стороны обязуются разрешать путем переговоров. </w:t>
      </w:r>
      <w:r/>
    </w:p>
    <w:p>
      <w:pPr>
        <w:pStyle w:val="997"/>
        <w:ind w:firstLine="708"/>
        <w:spacing w:after="0"/>
        <w:widowControl w:val="off"/>
      </w:pPr>
      <w:r>
        <w:rPr>
          <w:lang w:val="ru-RU"/>
        </w:rPr>
        <w:t xml:space="preserve">10</w:t>
      </w:r>
      <w:r>
        <w:t xml:space="preserve">.</w:t>
      </w:r>
      <w:r>
        <w:rPr>
          <w:lang w:val="ru-RU"/>
        </w:rPr>
        <w:t xml:space="preserve">2</w:t>
      </w:r>
      <w:r>
        <w:t xml:space="preserve">.</w:t>
      </w:r>
      <w:r>
        <w:t xml:space="preserve"> </w:t>
      </w:r>
      <w:r>
        <w:t xml:space="preserve">В случае если Стороны не смогут прийти к соглашению, все споры и разногласия по выполнению </w:t>
      </w:r>
      <w:r>
        <w:t xml:space="preserve">к</w:t>
      </w:r>
      <w:r>
        <w:t xml:space="preserve">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w:t>
      </w:r>
      <w:r>
        <w:rPr>
          <w:lang w:val="ru-RU"/>
        </w:rPr>
        <w:t xml:space="preserve"> </w:t>
      </w:r>
      <w:r>
        <w:t xml:space="preserve">(в случае, если контракт заключается с физическим лицом – в суде в соответствии с законодательством Российской Федерации).</w:t>
      </w:r>
      <w:r/>
    </w:p>
    <w:p>
      <w:pPr>
        <w:pStyle w:val="997"/>
        <w:spacing w:after="0"/>
        <w:widowControl w:val="off"/>
        <w:rPr>
          <w:b/>
          <w:bCs/>
          <w:lang w:val="ru-RU"/>
        </w:rPr>
      </w:pPr>
      <w:r>
        <w:rPr>
          <w:b/>
          <w:bCs/>
          <w:lang w:val="ru-RU"/>
        </w:rPr>
      </w:r>
      <w:r>
        <w:rPr>
          <w:b/>
          <w:bCs/>
          <w:lang w:val="ru-RU"/>
        </w:rPr>
      </w:r>
      <w:r>
        <w:rPr>
          <w:b/>
          <w:bCs/>
          <w:lang w:val="ru-RU"/>
        </w:rPr>
      </w:r>
    </w:p>
    <w:p>
      <w:pPr>
        <w:pStyle w:val="997"/>
        <w:jc w:val="center"/>
        <w:spacing w:after="0"/>
        <w:widowControl w:val="off"/>
        <w:rPr>
          <w:b/>
          <w:bCs/>
          <w:lang w:val="ru-RU"/>
        </w:rPr>
      </w:pPr>
      <w:r>
        <w:rPr>
          <w:b/>
          <w:bCs/>
          <w:lang w:val="ru-RU"/>
        </w:rPr>
        <w:t xml:space="preserve">11</w:t>
      </w:r>
      <w:r>
        <w:rPr>
          <w:b/>
          <w:bCs/>
        </w:rPr>
        <w:t xml:space="preserve">. Дополнительные условия</w:t>
      </w:r>
      <w:r>
        <w:rPr>
          <w:b/>
          <w:bCs/>
          <w:lang w:val="ru-RU"/>
        </w:rPr>
      </w:r>
      <w:r>
        <w:rPr>
          <w:b/>
          <w:bCs/>
          <w:lang w:val="ru-RU"/>
        </w:rPr>
      </w:r>
    </w:p>
    <w:p>
      <w:pPr>
        <w:pStyle w:val="924"/>
        <w:ind w:firstLine="708"/>
        <w:widowControl w:val="off"/>
      </w:pPr>
      <w:r>
        <w:t xml:space="preserve">11.1. Контракт составлен в 2-х экземплярах по одному для каждой из Сторон. Каждый экземпляр имеет равную юридическую силу.</w:t>
      </w:r>
      <w:r/>
    </w:p>
    <w:p>
      <w:pPr>
        <w:pStyle w:val="924"/>
        <w:ind w:firstLine="708"/>
        <w:widowControl w:val="off"/>
      </w:pPr>
      <w:r>
        <w:t xml:space="preserve">11.2. Изменение и доп</w:t>
      </w:r>
      <w:r>
        <w:t xml:space="preserve">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r/>
    </w:p>
    <w:p>
      <w:pPr>
        <w:pStyle w:val="924"/>
        <w:ind w:firstLine="708"/>
        <w:widowControl w:val="off"/>
      </w:pPr>
      <w:r>
        <w:t xml:space="preserve">11.3. Все уведомления в рамках контракта должны направляться Сторонами по электронной почте, либо факсом, либо почтовой связью.</w:t>
      </w:r>
      <w:r/>
    </w:p>
    <w:p>
      <w:pPr>
        <w:pStyle w:val="997"/>
        <w:ind w:firstLine="708"/>
        <w:spacing w:after="0"/>
      </w:pPr>
      <w:r>
        <w:t xml:space="preserve">11.4. </w:t>
      </w:r>
      <w:r>
        <w:t xml:space="preserve">Стороны обязаны в течение 5 (пяти) рабочих дней письменно уведомлять друг друга об изменении наименования, местонахождения и банковских реквизитов.</w:t>
      </w:r>
      <w:r/>
    </w:p>
    <w:p>
      <w:pPr>
        <w:pStyle w:val="997"/>
        <w:ind w:firstLine="708"/>
        <w:spacing w:after="0"/>
        <w:rPr>
          <w:lang w:val="ru-RU"/>
        </w:rPr>
      </w:pPr>
      <w:r>
        <w:rPr>
          <w:lang w:val="ru-RU"/>
        </w:rPr>
        <w:t xml:space="preserve">11.5. В случае изменения</w:t>
      </w:r>
      <w:r>
        <w:t xml:space="preserve"> </w:t>
      </w:r>
      <w:r>
        <w:rPr>
          <w:lang w:val="ru-RU"/>
        </w:rPr>
        <w:t xml:space="preserve">наименования, местонахождения или банковских реквизитов Сторон заключение дополнительного соглашения не требуется.</w:t>
      </w:r>
      <w:r>
        <w:rPr>
          <w:lang w:val="ru-RU"/>
        </w:rPr>
      </w:r>
      <w:r>
        <w:rPr>
          <w:lang w:val="ru-RU"/>
        </w:rPr>
      </w:r>
    </w:p>
    <w:p>
      <w:pPr>
        <w:pStyle w:val="924"/>
        <w:rPr>
          <w:b/>
        </w:rPr>
      </w:pPr>
      <w:r>
        <w:rPr>
          <w:b/>
        </w:rPr>
      </w:r>
      <w:r>
        <w:rPr>
          <w:b/>
        </w:rPr>
      </w:r>
      <w:r>
        <w:rPr>
          <w:b/>
        </w:rPr>
      </w:r>
    </w:p>
    <w:p>
      <w:pPr>
        <w:pStyle w:val="924"/>
        <w:ind w:firstLine="708"/>
        <w:jc w:val="center"/>
        <w:rPr>
          <w:b/>
        </w:rPr>
      </w:pPr>
      <w:r>
        <w:rPr>
          <w:b/>
        </w:rPr>
        <w:t xml:space="preserve">1</w:t>
      </w:r>
      <w:r>
        <w:rPr>
          <w:b/>
        </w:rPr>
        <w:t xml:space="preserve">2</w:t>
      </w:r>
      <w:r>
        <w:rPr>
          <w:b/>
        </w:rPr>
        <w:t xml:space="preserve">. Приложения</w:t>
      </w:r>
      <w:r>
        <w:rPr>
          <w:b/>
        </w:rPr>
      </w:r>
      <w:r>
        <w:rPr>
          <w:b/>
        </w:rPr>
      </w:r>
    </w:p>
    <w:p>
      <w:pPr>
        <w:pStyle w:val="924"/>
        <w:ind w:firstLine="709"/>
        <w:jc w:val="left"/>
        <w:widowControl w:val="off"/>
        <w:tabs>
          <w:tab w:val="left" w:pos="709" w:leader="none"/>
        </w:tabs>
      </w:pPr>
      <w:r>
        <w:rPr>
          <w:bCs/>
        </w:rPr>
        <w:t xml:space="preserve">1</w:t>
      </w:r>
      <w:r>
        <w:rPr>
          <w:bCs/>
        </w:rPr>
        <w:t xml:space="preserve">2</w:t>
      </w:r>
      <w:r>
        <w:rPr>
          <w:bCs/>
        </w:rPr>
        <w:t xml:space="preserve">.1. </w:t>
      </w:r>
      <w:r>
        <w:rPr>
          <w:bCs/>
        </w:rPr>
        <w:t xml:space="preserve">Приложение - </w:t>
      </w:r>
      <w:r>
        <w:t xml:space="preserve">Спецификация поставляемого товара</w:t>
      </w:r>
      <w:r>
        <w:t xml:space="preserve">.</w:t>
      </w:r>
      <w:r/>
    </w:p>
    <w:p>
      <w:pPr>
        <w:pStyle w:val="924"/>
        <w:ind w:firstLine="709"/>
        <w:jc w:val="left"/>
        <w:widowControl w:val="off"/>
        <w:tabs>
          <w:tab w:val="left" w:pos="709" w:leader="none"/>
        </w:tabs>
      </w:pPr>
      <w:r>
        <w:t xml:space="preserve">Приложение</w:t>
      </w:r>
      <w:r>
        <w:t xml:space="preserve"> </w:t>
      </w:r>
      <w:r>
        <w:t xml:space="preserve">к контракту является</w:t>
      </w:r>
      <w:r>
        <w:t xml:space="preserve"> </w:t>
      </w:r>
      <w:r>
        <w:t xml:space="preserve">его неотъемлемой частью.</w:t>
      </w:r>
      <w:r/>
    </w:p>
    <w:p>
      <w:pPr>
        <w:pStyle w:val="924"/>
        <w:ind w:firstLine="709"/>
        <w:jc w:val="left"/>
        <w:widowControl w:val="off"/>
        <w:tabs>
          <w:tab w:val="left" w:pos="709" w:leader="none"/>
        </w:tabs>
        <w:rPr>
          <w:b/>
        </w:rPr>
      </w:pPr>
      <w:r>
        <w:rPr>
          <w:b/>
        </w:rPr>
      </w:r>
      <w:r>
        <w:rPr>
          <w:b/>
        </w:rPr>
      </w:r>
      <w:r>
        <w:rPr>
          <w:b/>
        </w:rPr>
      </w:r>
    </w:p>
    <w:p>
      <w:pPr>
        <w:pStyle w:val="924"/>
        <w:ind w:firstLine="709"/>
        <w:jc w:val="left"/>
        <w:widowControl w:val="off"/>
        <w:tabs>
          <w:tab w:val="left" w:pos="709" w:leader="none"/>
        </w:tabs>
        <w:rPr>
          <w:b/>
        </w:rPr>
      </w:pPr>
      <w:r>
        <w:rPr>
          <w:b/>
        </w:rPr>
      </w:r>
      <w:r>
        <w:rPr>
          <w:b/>
        </w:rPr>
      </w:r>
      <w:r>
        <w:rPr>
          <w:b/>
        </w:rPr>
      </w:r>
    </w:p>
    <w:p>
      <w:pPr>
        <w:pStyle w:val="924"/>
        <w:ind w:firstLine="709"/>
        <w:jc w:val="left"/>
        <w:widowControl w:val="off"/>
        <w:tabs>
          <w:tab w:val="left" w:pos="709" w:leader="none"/>
        </w:tabs>
        <w:rPr>
          <w:b/>
        </w:rPr>
      </w:pPr>
      <w:r>
        <w:rPr>
          <w:b/>
        </w:rPr>
      </w:r>
      <w:r>
        <w:rPr>
          <w:b/>
        </w:rPr>
      </w:r>
      <w:r>
        <w:rPr>
          <w:b/>
        </w:rPr>
      </w:r>
    </w:p>
    <w:p>
      <w:pPr>
        <w:pStyle w:val="997"/>
        <w:ind w:firstLine="709"/>
        <w:jc w:val="center"/>
        <w:spacing w:after="0"/>
        <w:widowControl w:val="off"/>
        <w:rPr>
          <w:b/>
        </w:rPr>
      </w:pPr>
      <w:r>
        <w:rPr>
          <w:b/>
          <w:lang w:val="ru-RU"/>
        </w:rPr>
        <w:t xml:space="preserve">1</w:t>
      </w:r>
      <w:r>
        <w:rPr>
          <w:b/>
          <w:lang w:val="ru-RU"/>
        </w:rPr>
        <w:t xml:space="preserve">3</w:t>
      </w:r>
      <w:r>
        <w:rPr>
          <w:b/>
        </w:rPr>
        <w:t xml:space="preserve">. Адреса, банковские реквизиты и подписи сторон</w:t>
      </w:r>
      <w:r>
        <w:rPr>
          <w:b/>
        </w:rPr>
      </w:r>
      <w:r>
        <w:rPr>
          <w:b/>
        </w:rP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101"/>
        <w:gridCol w:w="4102"/>
      </w:tblGrid>
      <w:tr>
        <w:tblPrEx/>
        <w:trPr>
          <w:trHeight w:val="11291"/>
        </w:trPr>
        <w:tc>
          <w:tcPr>
            <w:tcBorders>
              <w:top w:val="none" w:color="000000" w:sz="0" w:space="0"/>
              <w:left w:val="none" w:color="000000" w:sz="0" w:space="0"/>
              <w:bottom w:val="none" w:color="000000" w:sz="0" w:space="0"/>
              <w:right w:val="none" w:color="000000" w:sz="0" w:space="0"/>
            </w:tcBorders>
            <w:tcW w:w="4101" w:type="dxa"/>
            <w:vAlign w:val="top"/>
            <w:textDirection w:val="lrTb"/>
            <w:noWrap w:val="false"/>
          </w:tcPr>
          <w:p>
            <w:pPr>
              <w:pStyle w:val="924"/>
              <w:jc w:val="center"/>
              <w:widowControl w:val="off"/>
              <w:rPr>
                <w:b/>
              </w:rPr>
            </w:pPr>
            <w:r>
              <w:rPr>
                <w:b/>
              </w:rPr>
              <w:t xml:space="preserve">Заказчик:</w:t>
            </w:r>
            <w:r>
              <w:rPr>
                <w:b/>
              </w:rPr>
            </w:r>
            <w:r>
              <w:rPr>
                <w:b/>
              </w:rPr>
            </w:r>
          </w:p>
          <w:p>
            <w:pPr>
              <w:pStyle w:val="924"/>
              <w:jc w:val="left"/>
              <w:widowControl w:val="off"/>
            </w:pPr>
            <w:r/>
            <w:r/>
          </w:p>
          <w:p>
            <w:pPr>
              <w:pStyle w:val="924"/>
              <w:jc w:val="left"/>
              <w:widowControl w:val="off"/>
            </w:pPr>
            <w:r>
              <w:t xml:space="preserve">Федеральное казенное учреждение «Центр по обеспечению деятельности Казначейства России»  (ФКУ «ЦОКР»)</w:t>
            </w:r>
            <w:r/>
          </w:p>
          <w:p>
            <w:pPr>
              <w:pStyle w:val="924"/>
              <w:jc w:val="left"/>
              <w:widowControl w:val="off"/>
            </w:pPr>
            <w:r>
              <w:t xml:space="preserve">Адрес (место нахождения): </w:t>
            </w:r>
            <w:r>
              <w:t xml:space="preserve">109012, г.Москва, Площадь Славянская, д. 4, стр. 1, эт. 4, ком. 2-8, 10, 12-19, 23-28, 109-117, 119-122, </w:t>
            </w:r>
            <w:r>
              <w:t xml:space="preserve">122А</w:t>
            </w:r>
            <w:r/>
          </w:p>
          <w:p>
            <w:pPr>
              <w:pStyle w:val="924"/>
              <w:jc w:val="left"/>
              <w:widowControl w:val="off"/>
            </w:pPr>
            <w:r>
              <w:t xml:space="preserve">Фактический адрес: 103132, г. Москва, Ипатьевский пер., д. 12, стр. 1</w:t>
            </w:r>
            <w:r/>
          </w:p>
          <w:p>
            <w:pPr>
              <w:pStyle w:val="924"/>
              <w:jc w:val="left"/>
              <w:widowControl w:val="off"/>
            </w:pPr>
            <w:r>
              <w:t xml:space="preserve">ИНН 7709895509 / КПП 770901001</w:t>
            </w:r>
            <w:r/>
          </w:p>
          <w:p>
            <w:pPr>
              <w:pStyle w:val="924"/>
              <w:jc w:val="left"/>
              <w:widowControl w:val="off"/>
            </w:pPr>
            <w:r>
              <w:t xml:space="preserve">Адрес и наименование филиала:</w:t>
            </w:r>
            <w:r/>
          </w:p>
          <w:p>
            <w:pPr>
              <w:pStyle w:val="924"/>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924"/>
              <w:jc w:val="left"/>
              <w:widowControl w:val="off"/>
            </w:pPr>
            <w:r>
              <w:t xml:space="preserve">(Межрегиональный филиал ФКУ «ЦОКР» в г. Владимире)</w:t>
            </w:r>
            <w:r/>
          </w:p>
          <w:p>
            <w:pPr>
              <w:pStyle w:val="924"/>
              <w:jc w:val="left"/>
              <w:widowControl w:val="off"/>
            </w:pPr>
            <w:r>
              <w:t xml:space="preserve">600017, Владимирская область,                          г. Владимир, ул. Кирова, д. 7.</w:t>
            </w:r>
            <w:r/>
          </w:p>
          <w:p>
            <w:pPr>
              <w:pStyle w:val="924"/>
              <w:widowControl w:val="off"/>
            </w:pPr>
            <w:r>
              <w:t xml:space="preserve">Плательщик: УФК по Владимирской области (МЕЖРЕГИОНАЛЬНЫЙ ФИЛИАЛ ФКУ "ЦОКР" В Г.ВЛАДИМИРЕ)</w:t>
              <w:tab/>
            </w:r>
            <w:r/>
          </w:p>
          <w:p>
            <w:pPr>
              <w:pStyle w:val="924"/>
              <w:widowControl w:val="off"/>
            </w:pPr>
            <w:r>
              <w:t xml:space="preserve">л/с 03281D00040</w:t>
            </w:r>
            <w:r/>
          </w:p>
          <w:p>
            <w:pPr>
              <w:pStyle w:val="924"/>
              <w:widowControl w:val="off"/>
            </w:pPr>
            <w:r>
              <w:t xml:space="preserve">ИНН 7709895509 / КПП 332843001</w:t>
            </w:r>
            <w:r/>
          </w:p>
          <w:p>
            <w:pPr>
              <w:pStyle w:val="924"/>
              <w:widowControl w:val="off"/>
            </w:pPr>
            <w:r>
              <w:t xml:space="preserve">Номер казначейского счета 03211643000000013236</w:t>
            </w:r>
            <w:r/>
          </w:p>
          <w:p>
            <w:pPr>
              <w:pStyle w:val="924"/>
              <w:widowControl w:val="off"/>
            </w:pPr>
            <w:r>
              <w:t xml:space="preserve">Номер банковского счета, входящего в состав ЕКС: 40102810745370000024</w:t>
            </w:r>
            <w:r/>
          </w:p>
          <w:p>
            <w:pPr>
              <w:pStyle w:val="924"/>
              <w:widowControl w:val="off"/>
            </w:pPr>
            <w:r>
              <w:t xml:space="preserve">БИК: 012202102</w:t>
            </w:r>
            <w:r/>
          </w:p>
          <w:p>
            <w:pPr>
              <w:pStyle w:val="924"/>
              <w:widowControl w:val="off"/>
            </w:pPr>
            <w:r>
              <w:t xml:space="preserve">Наименование Банка – </w:t>
            </w:r>
            <w:r>
              <w:t xml:space="preserve">ОКЦ № 1 ВВГУ Банка России//УФК по Нижегородской области,            г. Нижний Новгород</w:t>
            </w:r>
            <w:r/>
          </w:p>
          <w:p>
            <w:pPr>
              <w:pStyle w:val="924"/>
              <w:widowControl w:val="off"/>
            </w:pPr>
            <w:r>
              <w:t xml:space="preserve">Тел.</w:t>
            </w:r>
            <w:r>
              <w:t xml:space="preserve">8 (4922) 77-12-26</w:t>
            </w:r>
            <w:r/>
          </w:p>
          <w:p>
            <w:pPr>
              <w:pStyle w:val="924"/>
              <w:widowControl w:val="off"/>
            </w:pPr>
            <w:r>
              <w:t xml:space="preserve">эл. почта: </w:t>
            </w:r>
            <w:r>
              <w:t xml:space="preserve">cokr_vladimir@roskazna.ru</w:t>
            </w:r>
            <w:r/>
          </w:p>
          <w:p>
            <w:pPr>
              <w:pStyle w:val="924"/>
              <w:widowControl w:val="off"/>
            </w:pPr>
            <w:r>
              <w:t xml:space="preserve">Код по ОКТМО 17701000</w:t>
            </w:r>
            <w:r/>
          </w:p>
          <w:p>
            <w:pPr>
              <w:pStyle w:val="924"/>
              <w:widowControl w:val="off"/>
            </w:pPr>
            <w:r>
              <w:t xml:space="preserve">Код по ОКПО 32915652</w:t>
            </w:r>
            <w:r/>
          </w:p>
          <w:p>
            <w:pPr>
              <w:pStyle w:val="997"/>
              <w:jc w:val="left"/>
              <w:spacing w:after="0"/>
              <w:widowControl w:val="off"/>
              <w:rPr>
                <w:lang w:val="ru-RU"/>
              </w:rPr>
            </w:pPr>
            <w:r>
              <w:t xml:space="preserve">______________</w:t>
            </w:r>
            <w:r>
              <w:rPr>
                <w:lang w:val="ru-RU"/>
              </w:rPr>
              <w:t xml:space="preserve">В.В. Ханбабаева</w:t>
            </w:r>
            <w:r>
              <w:rPr>
                <w:lang w:val="ru-RU"/>
              </w:rPr>
            </w:r>
            <w:r>
              <w:rPr>
                <w:lang w:val="ru-RU"/>
              </w:rPr>
            </w:r>
          </w:p>
          <w:p>
            <w:pPr>
              <w:pStyle w:val="997"/>
              <w:jc w:val="left"/>
              <w:spacing w:after="0"/>
              <w:widowControl w:val="off"/>
              <w:rPr>
                <w:lang w:val="ru-RU"/>
              </w:rPr>
            </w:pPr>
            <w:r>
              <w:rPr>
                <w:lang w:val="ru-RU"/>
              </w:rPr>
            </w:r>
            <w:r>
              <w:rPr>
                <w:lang w:val="ru-RU"/>
              </w:rPr>
            </w:r>
            <w:r>
              <w:rPr>
                <w:lang w:val="ru-RU"/>
              </w:rPr>
            </w:r>
          </w:p>
          <w:p>
            <w:pPr>
              <w:pStyle w:val="997"/>
              <w:jc w:val="left"/>
              <w:spacing w:after="0"/>
              <w:widowControl w:val="off"/>
              <w:rPr>
                <w:lang w:val="ru-RU"/>
              </w:rPr>
            </w:pPr>
            <w:r>
              <w:rPr>
                <w:lang w:val="ru-RU"/>
              </w:rPr>
            </w:r>
            <w:r>
              <w:rPr>
                <w:lang w:val="ru-RU"/>
              </w:rPr>
            </w:r>
            <w:r>
              <w:rPr>
                <w:lang w:val="ru-RU"/>
              </w:rPr>
            </w:r>
          </w:p>
          <w:p>
            <w:pPr>
              <w:pStyle w:val="997"/>
              <w:jc w:val="left"/>
              <w:spacing w:after="0"/>
              <w:widowControl w:val="off"/>
              <w:rPr>
                <w:b/>
                <w:lang w:val="ru-RU"/>
              </w:rPr>
            </w:pPr>
            <w:r>
              <w:rPr>
                <w:b/>
                <w:lang w:val="ru-RU"/>
              </w:rPr>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4102" w:type="dxa"/>
            <w:vAlign w:val="top"/>
            <w:textDirection w:val="lrTb"/>
            <w:noWrap w:val="false"/>
          </w:tcPr>
          <w:p>
            <w:pPr>
              <w:pStyle w:val="924"/>
              <w:ind w:left="720" w:hanging="720"/>
              <w:jc w:val="center"/>
              <w:widowControl w:val="off"/>
              <w:rPr>
                <w:b/>
              </w:rPr>
            </w:pPr>
            <w:r>
              <w:rPr>
                <w:b/>
              </w:rPr>
              <w:t xml:space="preserve">Поставщик:</w:t>
            </w:r>
            <w:r>
              <w:rPr>
                <w:b/>
              </w:rPr>
            </w:r>
            <w:r>
              <w:rPr>
                <w:b/>
              </w:rP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97"/>
              <w:jc w:val="center"/>
              <w:spacing w:after="0"/>
              <w:widowControl w:val="off"/>
              <w:rPr>
                <w:b/>
                <w:lang w:val="ru-RU"/>
              </w:rPr>
            </w:pPr>
            <w:r>
              <w:rPr>
                <w:b/>
                <w:lang w:val="ru-RU"/>
              </w:rPr>
            </w:r>
            <w:r>
              <w:rPr>
                <w:b/>
                <w:lang w:val="ru-RU"/>
              </w:rPr>
            </w:r>
            <w:r>
              <w:rPr>
                <w:b/>
                <w:lang w:val="ru-RU"/>
              </w:rPr>
            </w:r>
          </w:p>
        </w:tc>
      </w:tr>
    </w:tbl>
    <w:p>
      <w:pPr>
        <w:pStyle w:val="924"/>
        <w:jc w:val="right"/>
        <w:sectPr>
          <w:footerReference w:type="default" r:id="rId9"/>
          <w:footerReference w:type="even" r:id="rId10"/>
          <w:footnotePr/>
          <w:endnotePr/>
          <w:type w:val="nextPage"/>
          <w:pgSz w:w="11906" w:h="16838" w:orient="portrait"/>
          <w:pgMar w:top="1134" w:right="567" w:bottom="1134" w:left="1134" w:header="709" w:footer="408" w:gutter="0"/>
          <w:cols w:num="1" w:sep="0" w:space="708" w:equalWidth="1"/>
          <w:docGrid w:linePitch="360"/>
        </w:sectPr>
      </w:pPr>
      <w:r/>
      <w:r/>
    </w:p>
    <w:p>
      <w:pPr>
        <w:pStyle w:val="924"/>
        <w:ind w:firstLine="708"/>
        <w:jc w:val="right"/>
        <w:rPr>
          <w:lang w:eastAsia="en-US"/>
        </w:rPr>
      </w:pPr>
      <w:r>
        <w:rPr>
          <w:lang w:eastAsia="en-US"/>
        </w:rPr>
        <w:t xml:space="preserve">Приложение</w:t>
      </w:r>
      <w:r>
        <w:rPr>
          <w:lang w:eastAsia="en-US"/>
        </w:rPr>
      </w:r>
      <w:r>
        <w:rPr>
          <w:lang w:eastAsia="en-US"/>
        </w:rPr>
      </w:r>
    </w:p>
    <w:p>
      <w:pPr>
        <w:pStyle w:val="924"/>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r>
        <w:rPr>
          <w:lang w:eastAsia="en-US"/>
        </w:rPr>
      </w:r>
    </w:p>
    <w:p>
      <w:pPr>
        <w:pStyle w:val="924"/>
        <w:jc w:val="right"/>
      </w:pPr>
      <w:r/>
      <w:r/>
    </w:p>
    <w:p>
      <w:pPr>
        <w:pStyle w:val="924"/>
        <w:jc w:val="center"/>
        <w:rPr>
          <w:bCs/>
        </w:rPr>
      </w:pPr>
      <w:r>
        <w:rPr>
          <w:bCs/>
        </w:rPr>
        <w:t xml:space="preserve">Спецификация поставляемого товара</w:t>
      </w:r>
      <w:r>
        <w:rPr>
          <w:bCs/>
        </w:rPr>
      </w:r>
      <w:r>
        <w:rPr>
          <w:bCs/>
        </w:rPr>
      </w:r>
    </w:p>
    <w:p>
      <w:pPr>
        <w:pStyle w:val="924"/>
        <w:jc w:val="right"/>
      </w:pPr>
      <w:r/>
      <w:r/>
    </w:p>
    <w:p>
      <w:pPr>
        <w:pStyle w:val="924"/>
        <w:ind w:firstLine="709"/>
        <w:jc w:val="left"/>
        <w:rPr>
          <w:rFonts w:eastAsia="Calibri"/>
          <w:b/>
          <w:lang w:eastAsia="en-US"/>
        </w:rPr>
      </w:pPr>
      <w:r>
        <w:rPr>
          <w:rFonts w:eastAsia="Calibri"/>
          <w:b/>
          <w:lang w:eastAsia="en-US"/>
        </w:rPr>
        <w:t xml:space="preserve">Наименование объекта закупки (предмет государственного контракта): </w:t>
      </w:r>
      <w:r>
        <w:rPr>
          <w:rFonts w:eastAsia="Calibri"/>
          <w:b/>
          <w:lang w:eastAsia="en-US"/>
        </w:rPr>
      </w:r>
      <w:r>
        <w:rPr>
          <w:rFonts w:eastAsia="Calibri"/>
          <w:b/>
          <w:lang w:eastAsia="en-US"/>
        </w:rPr>
      </w:r>
    </w:p>
    <w:p>
      <w:pPr>
        <w:pStyle w:val="924"/>
        <w:ind w:firstLine="708"/>
        <w:rPr>
          <w:rFonts w:eastAsia="Calibri"/>
          <w:lang w:eastAsia="en-US"/>
        </w:rPr>
      </w:pPr>
      <w:r>
        <w:rPr>
          <w:rFonts w:eastAsia="Calibri"/>
          <w:lang w:eastAsia="en-US"/>
        </w:rPr>
        <w:t xml:space="preserve">Поставка  типографской продукции для обеспечения нужд Управления Федерального казначейства по Тамбовской области.</w:t>
      </w:r>
      <w:r>
        <w:rPr>
          <w:rFonts w:eastAsia="Calibri"/>
          <w:lang w:eastAsia="en-US"/>
        </w:rPr>
      </w:r>
      <w:r>
        <w:rPr>
          <w:rFonts w:eastAsia="Calibri"/>
          <w:lang w:eastAsia="en-US"/>
        </w:rPr>
      </w:r>
    </w:p>
    <w:p>
      <w:pPr>
        <w:pStyle w:val="924"/>
        <w:jc w:val="left"/>
      </w:pPr>
      <w:r/>
      <w:r/>
    </w:p>
    <w:p>
      <w:pPr>
        <w:pStyle w:val="924"/>
        <w:ind w:firstLine="708"/>
        <w:rPr>
          <w:rFonts w:eastAsia="Calibri"/>
          <w:lang w:eastAsia="en-US"/>
        </w:rPr>
      </w:pPr>
      <w:r>
        <w:rPr>
          <w:rFonts w:eastAsia="Calibri"/>
          <w:b/>
          <w:lang w:eastAsia="en-US"/>
        </w:rPr>
        <w:t xml:space="preserve">Описание объекта закупки: </w:t>
      </w:r>
      <w:r>
        <w:rPr>
          <w:rFonts w:eastAsia="Calibri"/>
          <w:lang w:eastAsia="en-US"/>
        </w:rPr>
        <w:t xml:space="preserve">Количество поставляемого товара – 140 (сто сорок) штук.</w:t>
      </w:r>
      <w:r>
        <w:rPr>
          <w:rFonts w:eastAsia="Calibri"/>
          <w:lang w:eastAsia="en-US"/>
        </w:rPr>
      </w:r>
      <w:r>
        <w:rPr>
          <w:rFonts w:eastAsia="Calibri"/>
          <w:lang w:eastAsia="en-US"/>
        </w:rPr>
      </w:r>
    </w:p>
    <w:p>
      <w:pPr>
        <w:pStyle w:val="924"/>
        <w:ind w:firstLine="708"/>
        <w:rPr>
          <w:rFonts w:eastAsia="Calibri"/>
          <w:lang w:eastAsia="en-US"/>
        </w:rPr>
      </w:pPr>
      <w:r>
        <w:rPr>
          <w:rFonts w:eastAsia="Calibri"/>
          <w:lang w:eastAsia="en-US"/>
        </w:rPr>
        <w:t xml:space="preserve">Поставка типографской продукции осуществляется для обеспечения нужд Получателя.</w:t>
      </w:r>
      <w:r>
        <w:rPr>
          <w:rFonts w:eastAsia="Calibri"/>
          <w:lang w:eastAsia="en-US"/>
        </w:rPr>
      </w:r>
    </w:p>
    <w:p>
      <w:pPr>
        <w:pStyle w:val="924"/>
        <w:jc w:val="left"/>
        <w:rPr>
          <w:rFonts w:eastAsia="Calibri"/>
          <w:lang w:eastAsia="en-US"/>
        </w:rPr>
      </w:pPr>
      <w:r>
        <w:rPr>
          <w:rFonts w:eastAsia="Calibri"/>
          <w:lang w:eastAsia="en-US"/>
        </w:rPr>
      </w:r>
      <w:r>
        <w:rPr>
          <w:rFonts w:eastAsia="Calibri"/>
          <w:lang w:eastAsia="en-US"/>
        </w:rPr>
      </w:r>
      <w:r>
        <w:rPr>
          <w:rFonts w:eastAsia="Calibri"/>
          <w:lang w:eastAsia="en-US"/>
        </w:rPr>
      </w:r>
    </w:p>
    <w:p>
      <w:pPr>
        <w:pStyle w:val="924"/>
        <w:ind w:firstLine="708"/>
        <w:jc w:val="left"/>
        <w:rPr>
          <w:rFonts w:eastAsia="Calibri"/>
          <w:b/>
          <w:bCs/>
          <w:lang w:eastAsia="en-US"/>
        </w:rPr>
      </w:pPr>
      <w:r>
        <w:rPr>
          <w:rFonts w:eastAsia="Calibri"/>
          <w:b/>
          <w:bCs/>
          <w:lang w:eastAsia="en-US"/>
        </w:rPr>
        <w:t xml:space="preserve">Функциональные, технические и качественные характеристики, эксплуатационные характеристики объекта закупки:</w:t>
      </w:r>
      <w:r>
        <w:rPr>
          <w:rFonts w:eastAsia="Calibri"/>
          <w:b/>
          <w:bCs/>
          <w:lang w:eastAsia="en-US"/>
        </w:rPr>
      </w:r>
      <w:r>
        <w:rPr>
          <w:rFonts w:eastAsia="Calibri"/>
          <w:b/>
          <w:bCs/>
          <w:lang w:eastAsia="en-US"/>
        </w:rPr>
      </w:r>
    </w:p>
    <w:p>
      <w:pPr>
        <w:pStyle w:val="924"/>
        <w:ind w:firstLine="709"/>
      </w:pPr>
      <w:r>
        <w:t xml:space="preserve">Поставляемый товар должен быть новым товаром (товаром, который не был в употребл</w:t>
      </w:r>
      <w:r>
        <w:t xml:space="preserve">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следов коррозии или окисления).</w:t>
      </w:r>
      <w:r/>
    </w:p>
    <w:p>
      <w:pPr>
        <w:pStyle w:val="924"/>
        <w:ind w:firstLine="709"/>
        <w:jc w:val="center"/>
        <w:rPr>
          <w:b/>
          <w:shd w:val="clear" w:color="auto" w:fill="ffffff"/>
        </w:rPr>
      </w:pPr>
      <w:r>
        <w:rPr>
          <w:b/>
          <w:shd w:val="clear" w:color="auto" w:fill="ffffff"/>
        </w:rPr>
      </w:r>
      <w:r>
        <w:rPr>
          <w:b/>
          <w:shd w:val="clear" w:color="auto" w:fill="ffffff"/>
        </w:rPr>
      </w:r>
      <w:r>
        <w:rPr>
          <w:b/>
          <w:shd w:val="clear" w:color="auto" w:fill="ffffff"/>
        </w:rPr>
      </w:r>
    </w:p>
    <w:p>
      <w:pPr>
        <w:pStyle w:val="924"/>
        <w:ind w:firstLine="709"/>
        <w:jc w:val="center"/>
        <w:rPr>
          <w:b/>
          <w:shd w:val="clear" w:color="auto" w:fill="ffffff"/>
        </w:rPr>
      </w:pPr>
      <w:r>
        <w:rPr>
          <w:b/>
          <w:shd w:val="clear" w:color="auto" w:fill="ffffff"/>
        </w:rPr>
        <w:t xml:space="preserve">Спецификация поставляемого товара</w:t>
      </w:r>
      <w:r>
        <w:rPr>
          <w:b/>
          <w:shd w:val="clear" w:color="auto" w:fill="ffffff"/>
        </w:rPr>
      </w:r>
      <w:r>
        <w:rPr>
          <w:b/>
          <w:shd w:val="clear" w:color="auto" w:fill="ffffff"/>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jc w:val="center"/>
        <w:rPr>
          <w:color w:val="000000"/>
          <w:shd w:val="clear" w:color="auto" w:fill="ffffff"/>
        </w:rPr>
      </w:pPr>
      <w:r>
        <w:rPr>
          <w:color w:val="000000"/>
          <w:shd w:val="clear" w:color="auto" w:fill="ffffff"/>
        </w:rPr>
      </w:r>
      <w:r>
        <w:rPr>
          <w:color w:val="000000"/>
          <w:shd w:val="clear" w:color="auto" w:fill="ffffff"/>
        </w:rPr>
      </w:r>
      <w:r>
        <w:rPr>
          <w:color w:val="000000"/>
          <w:shd w:val="clear" w:color="auto" w:fill="ffffff"/>
        </w:rPr>
      </w:r>
    </w:p>
    <w:tbl>
      <w:tblPr>
        <w:tblW w:w="14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505"/>
        <w:gridCol w:w="1843"/>
        <w:gridCol w:w="1985"/>
        <w:gridCol w:w="1559"/>
        <w:gridCol w:w="1134"/>
        <w:gridCol w:w="1134"/>
        <w:gridCol w:w="1276"/>
        <w:gridCol w:w="1559"/>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84"/>
        </w:trPr>
        <w:tc>
          <w:tcPr>
            <w:tcW w:w="763" w:type="dxa"/>
            <w:vAlign w:val="center"/>
            <w:textDirection w:val="lrTb"/>
            <w:noWrap w:val="false"/>
          </w:tcPr>
          <w:p>
            <w:pPr>
              <w:pStyle w:val="924"/>
              <w:jc w:val="center"/>
              <w:rPr>
                <w:sz w:val="22"/>
                <w:szCs w:val="22"/>
              </w:rPr>
            </w:pPr>
            <w:r>
              <w:rPr>
                <w:sz w:val="22"/>
                <w:szCs w:val="22"/>
              </w:rPr>
              <w:t xml:space="preserve">№</w:t>
              <w:br w:type="textWrapping" w:clear="all"/>
              <w:t xml:space="preserve">п/п</w:t>
            </w:r>
            <w:r>
              <w:rPr>
                <w:sz w:val="22"/>
                <w:szCs w:val="22"/>
              </w:rPr>
            </w:r>
            <w:r>
              <w:rPr>
                <w:sz w:val="22"/>
                <w:szCs w:val="22"/>
              </w:rPr>
            </w:r>
          </w:p>
        </w:tc>
        <w:tc>
          <w:tcPr>
            <w:tcW w:w="1505" w:type="dxa"/>
            <w:vAlign w:val="center"/>
            <w:textDirection w:val="lrTb"/>
            <w:noWrap w:val="false"/>
          </w:tcPr>
          <w:p>
            <w:pPr>
              <w:pStyle w:val="924"/>
              <w:jc w:val="center"/>
              <w:rPr>
                <w:sz w:val="22"/>
                <w:szCs w:val="22"/>
              </w:rPr>
            </w:pPr>
            <w:r>
              <w:rPr>
                <w:sz w:val="22"/>
                <w:szCs w:val="22"/>
              </w:rPr>
              <w:t xml:space="preserve">Наименование поставляемого товара</w:t>
            </w:r>
            <w:r>
              <w:rPr>
                <w:sz w:val="22"/>
                <w:szCs w:val="22"/>
              </w:rPr>
            </w:r>
            <w:r>
              <w:rPr>
                <w:sz w:val="22"/>
                <w:szCs w:val="22"/>
              </w:rPr>
            </w:r>
          </w:p>
        </w:tc>
        <w:tc>
          <w:tcPr>
            <w:tcW w:w="1843" w:type="dxa"/>
            <w:vAlign w:val="center"/>
            <w:textDirection w:val="lrTb"/>
            <w:noWrap w:val="false"/>
          </w:tcPr>
          <w:p>
            <w:pPr>
              <w:pStyle w:val="924"/>
              <w:jc w:val="center"/>
              <w:rPr>
                <w:sz w:val="22"/>
                <w:szCs w:val="22"/>
              </w:rPr>
            </w:pPr>
            <w:r>
              <w:rPr>
                <w:sz w:val="22"/>
                <w:szCs w:val="22"/>
              </w:rPr>
              <w:t xml:space="preserve">Наименование характеристики</w:t>
            </w:r>
            <w:r>
              <w:rPr>
                <w:sz w:val="22"/>
                <w:szCs w:val="22"/>
              </w:rPr>
            </w:r>
            <w:r>
              <w:rPr>
                <w:sz w:val="22"/>
                <w:szCs w:val="22"/>
              </w:rPr>
            </w:r>
          </w:p>
        </w:tc>
        <w:tc>
          <w:tcPr>
            <w:tcW w:w="1985" w:type="dxa"/>
            <w:vAlign w:val="center"/>
            <w:textDirection w:val="lrTb"/>
            <w:noWrap w:val="false"/>
          </w:tcPr>
          <w:p>
            <w:pPr>
              <w:pStyle w:val="924"/>
              <w:jc w:val="center"/>
              <w:rPr>
                <w:sz w:val="22"/>
                <w:szCs w:val="22"/>
              </w:rPr>
            </w:pPr>
            <w:r>
              <w:rPr>
                <w:sz w:val="22"/>
                <w:szCs w:val="22"/>
              </w:rPr>
              <w:t xml:space="preserve">Значение характеристики</w:t>
            </w:r>
            <w:r>
              <w:rPr>
                <w:sz w:val="22"/>
                <w:szCs w:val="22"/>
              </w:rPr>
            </w:r>
            <w:r>
              <w:rPr>
                <w:sz w:val="22"/>
                <w:szCs w:val="22"/>
              </w:rPr>
            </w:r>
          </w:p>
        </w:tc>
        <w:tc>
          <w:tcPr>
            <w:tcW w:w="1559" w:type="dxa"/>
            <w:vAlign w:val="center"/>
            <w:textDirection w:val="lrTb"/>
            <w:noWrap w:val="false"/>
          </w:tcPr>
          <w:p>
            <w:pPr>
              <w:pStyle w:val="924"/>
              <w:jc w:val="center"/>
              <w:rPr>
                <w:sz w:val="22"/>
                <w:szCs w:val="22"/>
              </w:rPr>
            </w:pPr>
            <w:r>
              <w:rPr>
                <w:sz w:val="22"/>
                <w:szCs w:val="22"/>
              </w:rPr>
              <w:t xml:space="preserve">Единица измерения</w:t>
            </w:r>
            <w:r>
              <w:rPr>
                <w:sz w:val="22"/>
                <w:szCs w:val="22"/>
              </w:rPr>
            </w:r>
            <w:r>
              <w:rPr>
                <w:sz w:val="22"/>
                <w:szCs w:val="22"/>
              </w:rPr>
            </w:r>
          </w:p>
          <w:p>
            <w:pPr>
              <w:pStyle w:val="924"/>
              <w:jc w:val="center"/>
              <w:rPr>
                <w:sz w:val="22"/>
                <w:szCs w:val="22"/>
              </w:rPr>
            </w:pPr>
            <w:r>
              <w:rPr>
                <w:sz w:val="22"/>
                <w:szCs w:val="22"/>
              </w:rPr>
              <w:t xml:space="preserve">хар-ки </w:t>
            </w:r>
            <w:r>
              <w:rPr>
                <w:sz w:val="22"/>
                <w:szCs w:val="22"/>
              </w:rPr>
            </w:r>
            <w:r>
              <w:rPr>
                <w:sz w:val="22"/>
                <w:szCs w:val="22"/>
              </w:rPr>
            </w:r>
          </w:p>
        </w:tc>
        <w:tc>
          <w:tcPr>
            <w:tcW w:w="1134" w:type="dxa"/>
            <w:vAlign w:val="center"/>
            <w:textDirection w:val="lrTb"/>
            <w:noWrap w:val="false"/>
          </w:tcPr>
          <w:p>
            <w:pPr>
              <w:pStyle w:val="924"/>
              <w:jc w:val="center"/>
              <w:rPr>
                <w:sz w:val="22"/>
                <w:szCs w:val="22"/>
              </w:rPr>
            </w:pPr>
            <w:r>
              <w:rPr>
                <w:sz w:val="22"/>
                <w:szCs w:val="22"/>
              </w:rPr>
              <w:t xml:space="preserve">Единица</w:t>
            </w:r>
            <w:r>
              <w:rPr>
                <w:sz w:val="22"/>
                <w:szCs w:val="22"/>
              </w:rPr>
            </w:r>
            <w:r>
              <w:rPr>
                <w:sz w:val="22"/>
                <w:szCs w:val="22"/>
              </w:rPr>
            </w:r>
          </w:p>
          <w:p>
            <w:pPr>
              <w:pStyle w:val="924"/>
              <w:jc w:val="center"/>
              <w:rPr>
                <w:sz w:val="22"/>
                <w:szCs w:val="22"/>
              </w:rPr>
            </w:pPr>
            <w:r>
              <w:rPr>
                <w:sz w:val="22"/>
                <w:szCs w:val="22"/>
              </w:rPr>
              <w:t xml:space="preserve">измерения поставляемого товара</w:t>
            </w:r>
            <w:r>
              <w:rPr>
                <w:sz w:val="22"/>
                <w:szCs w:val="22"/>
              </w:rPr>
            </w:r>
            <w:r>
              <w:rPr>
                <w:sz w:val="22"/>
                <w:szCs w:val="22"/>
              </w:rPr>
            </w:r>
          </w:p>
        </w:tc>
        <w:tc>
          <w:tcPr>
            <w:tcW w:w="1134" w:type="dxa"/>
            <w:vAlign w:val="center"/>
            <w:textDirection w:val="lrTb"/>
            <w:noWrap w:val="false"/>
          </w:tcPr>
          <w:p>
            <w:pPr>
              <w:pStyle w:val="924"/>
              <w:ind w:right="143"/>
              <w:jc w:val="center"/>
              <w:rPr>
                <w:sz w:val="22"/>
                <w:szCs w:val="22"/>
              </w:rPr>
            </w:pPr>
            <w:r>
              <w:rPr>
                <w:sz w:val="22"/>
                <w:szCs w:val="22"/>
              </w:rPr>
              <w:t xml:space="preserve">Количество</w:t>
            </w:r>
            <w:r>
              <w:rPr>
                <w:sz w:val="22"/>
                <w:szCs w:val="22"/>
              </w:rPr>
            </w:r>
            <w:r>
              <w:rPr>
                <w:sz w:val="22"/>
                <w:szCs w:val="22"/>
              </w:rPr>
            </w:r>
          </w:p>
        </w:tc>
        <w:tc>
          <w:tcPr>
            <w:tcW w:w="1276" w:type="dxa"/>
            <w:vAlign w:val="center"/>
            <w:textDirection w:val="lrTb"/>
            <w:noWrap w:val="false"/>
          </w:tcPr>
          <w:p>
            <w:pPr>
              <w:pStyle w:val="924"/>
              <w:ind w:right="143"/>
              <w:jc w:val="center"/>
              <w:rPr>
                <w:sz w:val="22"/>
                <w:szCs w:val="22"/>
              </w:rPr>
            </w:pPr>
            <w:r>
              <w:rPr>
                <w:sz w:val="22"/>
                <w:szCs w:val="22"/>
              </w:rPr>
              <w:t xml:space="preserve">Цена за ед. товара, руб.</w:t>
            </w:r>
            <w:r>
              <w:rPr>
                <w:sz w:val="22"/>
                <w:szCs w:val="22"/>
              </w:rPr>
            </w:r>
            <w:r>
              <w:rPr>
                <w:sz w:val="22"/>
                <w:szCs w:val="22"/>
              </w:rPr>
            </w:r>
          </w:p>
        </w:tc>
        <w:tc>
          <w:tcPr>
            <w:tcW w:w="1559" w:type="dxa"/>
            <w:vAlign w:val="center"/>
            <w:textDirection w:val="lrTb"/>
            <w:noWrap w:val="false"/>
          </w:tcPr>
          <w:p>
            <w:pPr>
              <w:pStyle w:val="924"/>
              <w:ind w:right="143"/>
              <w:jc w:val="center"/>
              <w:rPr>
                <w:sz w:val="22"/>
                <w:szCs w:val="22"/>
              </w:rPr>
            </w:pPr>
            <w:r>
              <w:rPr>
                <w:sz w:val="22"/>
                <w:szCs w:val="22"/>
              </w:rPr>
              <w:t xml:space="preserve">Сумма, руб.</w:t>
            </w:r>
            <w:r>
              <w:rPr>
                <w:sz w:val="22"/>
                <w:szCs w:val="22"/>
              </w:rPr>
            </w:r>
            <w:r>
              <w:rPr>
                <w:sz w:val="22"/>
                <w:szCs w:val="22"/>
              </w:rPr>
            </w:r>
          </w:p>
        </w:tc>
        <w:tc>
          <w:tcPr>
            <w:tcW w:w="1843" w:type="dxa"/>
            <w:vAlign w:val="center"/>
            <w:textDirection w:val="lrTb"/>
            <w:noWrap w:val="false"/>
          </w:tcPr>
          <w:p>
            <w:pPr>
              <w:pStyle w:val="924"/>
              <w:ind w:right="143"/>
              <w:jc w:val="center"/>
              <w:rPr>
                <w:sz w:val="22"/>
                <w:szCs w:val="22"/>
              </w:rPr>
            </w:pPr>
            <w:r>
              <w:rPr>
                <w:sz w:val="22"/>
                <w:szCs w:val="22"/>
              </w:rPr>
              <w:t xml:space="preserve">Страна происхождения товара</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trPr>
        <w:tc>
          <w:tcPr>
            <w:tcW w:w="763" w:type="dxa"/>
            <w:vAlign w:val="center"/>
            <w:textDirection w:val="lrTb"/>
            <w:noWrap w:val="false"/>
          </w:tcPr>
          <w:p>
            <w:pPr>
              <w:pStyle w:val="924"/>
              <w:jc w:val="center"/>
              <w:rPr>
                <w:sz w:val="22"/>
                <w:szCs w:val="22"/>
              </w:rPr>
            </w:pPr>
            <w:r>
              <w:rPr>
                <w:sz w:val="22"/>
                <w:szCs w:val="22"/>
              </w:rPr>
              <w:t xml:space="preserve">1</w:t>
            </w:r>
            <w:r>
              <w:rPr>
                <w:sz w:val="22"/>
                <w:szCs w:val="22"/>
              </w:rPr>
            </w:r>
            <w:r>
              <w:rPr>
                <w:sz w:val="22"/>
                <w:szCs w:val="22"/>
              </w:rPr>
            </w:r>
          </w:p>
        </w:tc>
        <w:tc>
          <w:tcPr>
            <w:tcW w:w="1505" w:type="dxa"/>
            <w:vAlign w:val="center"/>
            <w:textDirection w:val="lrTb"/>
            <w:noWrap w:val="false"/>
          </w:tcPr>
          <w:p>
            <w:pPr>
              <w:pStyle w:val="924"/>
              <w:ind w:left="34"/>
              <w:jc w:val="center"/>
              <w:widowControl w:val="off"/>
              <w:rPr>
                <w:sz w:val="22"/>
                <w:szCs w:val="22"/>
              </w:rPr>
            </w:pPr>
            <w:r>
              <w:rPr>
                <w:sz w:val="22"/>
                <w:szCs w:val="22"/>
              </w:rPr>
              <w:t xml:space="preserve">2</w:t>
            </w:r>
            <w:r>
              <w:rPr>
                <w:sz w:val="22"/>
                <w:szCs w:val="22"/>
              </w:rPr>
            </w:r>
            <w:r>
              <w:rPr>
                <w:sz w:val="22"/>
                <w:szCs w:val="22"/>
              </w:rPr>
            </w:r>
          </w:p>
        </w:tc>
        <w:tc>
          <w:tcPr>
            <w:tcW w:w="1843" w:type="dxa"/>
            <w:vAlign w:val="center"/>
            <w:textDirection w:val="lrTb"/>
            <w:noWrap w:val="false"/>
          </w:tcPr>
          <w:p>
            <w:pPr>
              <w:pStyle w:val="924"/>
              <w:ind w:left="11"/>
              <w:jc w:val="center"/>
              <w:rPr>
                <w:sz w:val="22"/>
                <w:szCs w:val="22"/>
              </w:rPr>
            </w:pPr>
            <w:r>
              <w:rPr>
                <w:sz w:val="22"/>
                <w:szCs w:val="22"/>
              </w:rPr>
              <w:t xml:space="preserve">3</w:t>
            </w:r>
            <w:r>
              <w:rPr>
                <w:sz w:val="22"/>
                <w:szCs w:val="22"/>
              </w:rPr>
            </w:r>
            <w:r>
              <w:rPr>
                <w:sz w:val="22"/>
                <w:szCs w:val="22"/>
              </w:rPr>
            </w:r>
          </w:p>
        </w:tc>
        <w:tc>
          <w:tcPr>
            <w:tcW w:w="1985" w:type="dxa"/>
            <w:vAlign w:val="center"/>
            <w:textDirection w:val="lrTb"/>
            <w:noWrap w:val="false"/>
          </w:tcPr>
          <w:p>
            <w:pPr>
              <w:pStyle w:val="924"/>
              <w:ind w:left="142"/>
              <w:jc w:val="center"/>
              <w:rPr>
                <w:sz w:val="22"/>
                <w:szCs w:val="22"/>
              </w:rPr>
            </w:pPr>
            <w:r>
              <w:rPr>
                <w:sz w:val="22"/>
                <w:szCs w:val="22"/>
              </w:rPr>
              <w:t xml:space="preserve">4</w:t>
            </w:r>
            <w:r>
              <w:rPr>
                <w:sz w:val="22"/>
                <w:szCs w:val="22"/>
              </w:rPr>
            </w:r>
            <w:r>
              <w:rPr>
                <w:sz w:val="22"/>
                <w:szCs w:val="22"/>
              </w:rPr>
            </w:r>
          </w:p>
        </w:tc>
        <w:tc>
          <w:tcPr>
            <w:tcW w:w="1559" w:type="dxa"/>
            <w:vAlign w:val="center"/>
            <w:textDirection w:val="lrTb"/>
            <w:noWrap w:val="false"/>
          </w:tcPr>
          <w:p>
            <w:pPr>
              <w:pStyle w:val="924"/>
              <w:jc w:val="center"/>
              <w:rPr>
                <w:sz w:val="22"/>
                <w:szCs w:val="22"/>
              </w:rPr>
            </w:pPr>
            <w:r>
              <w:rPr>
                <w:sz w:val="22"/>
                <w:szCs w:val="22"/>
              </w:rPr>
              <w:t xml:space="preserve">5</w:t>
            </w:r>
            <w:r>
              <w:rPr>
                <w:sz w:val="22"/>
                <w:szCs w:val="22"/>
              </w:rPr>
            </w:r>
            <w:r>
              <w:rPr>
                <w:sz w:val="22"/>
                <w:szCs w:val="22"/>
              </w:rPr>
            </w:r>
          </w:p>
        </w:tc>
        <w:tc>
          <w:tcPr>
            <w:tcW w:w="1134" w:type="dxa"/>
            <w:vAlign w:val="center"/>
            <w:textDirection w:val="lrTb"/>
            <w:noWrap w:val="false"/>
          </w:tcPr>
          <w:p>
            <w:pPr>
              <w:pStyle w:val="924"/>
              <w:jc w:val="center"/>
              <w:rPr>
                <w:sz w:val="22"/>
                <w:szCs w:val="22"/>
              </w:rPr>
            </w:pPr>
            <w:r>
              <w:rPr>
                <w:sz w:val="22"/>
                <w:szCs w:val="22"/>
              </w:rPr>
              <w:t xml:space="preserve">6</w:t>
            </w:r>
            <w:r>
              <w:rPr>
                <w:sz w:val="22"/>
                <w:szCs w:val="22"/>
              </w:rPr>
            </w:r>
            <w:r>
              <w:rPr>
                <w:sz w:val="22"/>
                <w:szCs w:val="22"/>
              </w:rPr>
            </w:r>
          </w:p>
        </w:tc>
        <w:tc>
          <w:tcPr>
            <w:tcW w:w="1134" w:type="dxa"/>
            <w:vAlign w:val="center"/>
            <w:textDirection w:val="lrTb"/>
            <w:noWrap w:val="false"/>
          </w:tcPr>
          <w:p>
            <w:pPr>
              <w:pStyle w:val="924"/>
              <w:jc w:val="center"/>
              <w:rPr>
                <w:sz w:val="22"/>
                <w:szCs w:val="22"/>
              </w:rPr>
            </w:pPr>
            <w:r>
              <w:rPr>
                <w:sz w:val="22"/>
                <w:szCs w:val="22"/>
              </w:rPr>
              <w:t xml:space="preserve">7</w:t>
            </w:r>
            <w:r>
              <w:rPr>
                <w:sz w:val="22"/>
                <w:szCs w:val="22"/>
              </w:rPr>
            </w:r>
            <w:r>
              <w:rPr>
                <w:sz w:val="22"/>
                <w:szCs w:val="22"/>
              </w:rPr>
            </w:r>
          </w:p>
        </w:tc>
        <w:tc>
          <w:tcPr>
            <w:tcW w:w="1276" w:type="dxa"/>
            <w:vAlign w:val="top"/>
            <w:textDirection w:val="lrTb"/>
            <w:noWrap w:val="false"/>
          </w:tcPr>
          <w:p>
            <w:pPr>
              <w:pStyle w:val="924"/>
              <w:jc w:val="center"/>
              <w:rPr>
                <w:sz w:val="22"/>
                <w:szCs w:val="22"/>
              </w:rPr>
            </w:pPr>
            <w:r>
              <w:rPr>
                <w:sz w:val="22"/>
                <w:szCs w:val="22"/>
              </w:rPr>
              <w:t xml:space="preserve">8</w:t>
            </w:r>
            <w:r>
              <w:rPr>
                <w:sz w:val="22"/>
                <w:szCs w:val="22"/>
              </w:rPr>
            </w:r>
            <w:r>
              <w:rPr>
                <w:sz w:val="22"/>
                <w:szCs w:val="22"/>
              </w:rPr>
            </w:r>
          </w:p>
        </w:tc>
        <w:tc>
          <w:tcPr>
            <w:tcW w:w="1559" w:type="dxa"/>
            <w:vAlign w:val="top"/>
            <w:textDirection w:val="lrTb"/>
            <w:noWrap w:val="false"/>
          </w:tcPr>
          <w:p>
            <w:pPr>
              <w:pStyle w:val="924"/>
              <w:jc w:val="center"/>
              <w:rPr>
                <w:sz w:val="22"/>
                <w:szCs w:val="22"/>
              </w:rPr>
            </w:pPr>
            <w:r>
              <w:rPr>
                <w:sz w:val="22"/>
                <w:szCs w:val="22"/>
              </w:rPr>
              <w:t xml:space="preserve">9</w:t>
            </w:r>
            <w:r>
              <w:rPr>
                <w:sz w:val="22"/>
                <w:szCs w:val="22"/>
              </w:rPr>
            </w:r>
            <w:r>
              <w:rPr>
                <w:sz w:val="22"/>
                <w:szCs w:val="22"/>
              </w:rPr>
            </w:r>
          </w:p>
        </w:tc>
        <w:tc>
          <w:tcPr>
            <w:tcW w:w="1843" w:type="dxa"/>
            <w:vAlign w:val="top"/>
            <w:textDirection w:val="lrTb"/>
            <w:noWrap w:val="false"/>
          </w:tcPr>
          <w:p>
            <w:pPr>
              <w:pStyle w:val="924"/>
              <w:jc w:val="center"/>
              <w:rPr>
                <w:sz w:val="22"/>
                <w:szCs w:val="22"/>
              </w:rPr>
            </w:pPr>
            <w:r>
              <w:rPr>
                <w:sz w:val="22"/>
                <w:szCs w:val="22"/>
              </w:rPr>
              <w:t xml:space="preserve">10</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center"/>
            <w:vMerge w:val="restart"/>
            <w:textDirection w:val="lrTb"/>
            <w:noWrap w:val="false"/>
          </w:tcPr>
          <w:p>
            <w:pPr>
              <w:pStyle w:val="924"/>
              <w:jc w:val="center"/>
              <w:rPr>
                <w:sz w:val="22"/>
                <w:szCs w:val="22"/>
              </w:rPr>
            </w:pPr>
            <w:r>
              <w:rPr>
                <w:sz w:val="22"/>
                <w:szCs w:val="22"/>
              </w:rPr>
              <w:t xml:space="preserve">1</w:t>
            </w:r>
            <w:r>
              <w:rPr>
                <w:sz w:val="22"/>
                <w:szCs w:val="22"/>
              </w:rPr>
            </w:r>
            <w:r>
              <w:rPr>
                <w:sz w:val="22"/>
                <w:szCs w:val="22"/>
              </w:rPr>
            </w:r>
          </w:p>
        </w:tc>
        <w:tc>
          <w:tcPr>
            <w:tcW w:w="1505" w:type="dxa"/>
            <w:vAlign w:val="center"/>
            <w:vMerge w:val="restart"/>
            <w:textDirection w:val="lrTb"/>
            <w:noWrap w:val="false"/>
          </w:tcPr>
          <w:p>
            <w:pPr>
              <w:pStyle w:val="924"/>
              <w:contextualSpacing/>
              <w:jc w:val="center"/>
              <w:rPr>
                <w:sz w:val="22"/>
                <w:szCs w:val="22"/>
              </w:rPr>
            </w:pPr>
            <w:r>
              <w:rPr>
                <w:sz w:val="22"/>
                <w:szCs w:val="22"/>
              </w:rPr>
              <w:t xml:space="preserve">Папка адресная</w:t>
            </w:r>
            <w:r>
              <w:rPr>
                <w:sz w:val="22"/>
                <w:szCs w:val="22"/>
              </w:rPr>
            </w:r>
            <w:r>
              <w:rPr>
                <w:sz w:val="22"/>
                <w:szCs w:val="22"/>
              </w:rPr>
            </w:r>
          </w:p>
          <w:p>
            <w:pPr>
              <w:pStyle w:val="924"/>
              <w:contextualSpacing/>
              <w:jc w:val="center"/>
              <w:rPr>
                <w:sz w:val="22"/>
                <w:szCs w:val="22"/>
              </w:rPr>
            </w:pPr>
            <w:r>
              <w:rPr>
                <w:sz w:val="22"/>
                <w:szCs w:val="22"/>
              </w:rPr>
              <w:t xml:space="preserve">ОКПД2: 17.29.19.190</w:t>
            </w:r>
            <w:r>
              <w:rPr>
                <w:sz w:val="22"/>
                <w:szCs w:val="22"/>
              </w:rPr>
            </w:r>
            <w:r>
              <w:rPr>
                <w:sz w:val="22"/>
                <w:szCs w:val="22"/>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Тип </w:t>
            </w:r>
            <w:r>
              <w:rPr>
                <w:rFonts w:eastAsia="Calibri"/>
                <w:sz w:val="22"/>
                <w:szCs w:val="22"/>
              </w:rPr>
            </w:r>
            <w:r>
              <w:rPr>
                <w:rFonts w:eastAsia="Calibri"/>
                <w:sz w:val="22"/>
                <w:szCs w:val="22"/>
              </w:rPr>
            </w:r>
          </w:p>
        </w:tc>
        <w:tc>
          <w:tcPr>
            <w:tcW w:w="1985" w:type="dxa"/>
            <w:vAlign w:val="center"/>
            <w:textDirection w:val="lrTb"/>
            <w:noWrap w:val="false"/>
          </w:tcPr>
          <w:p>
            <w:pPr>
              <w:pStyle w:val="924"/>
              <w:jc w:val="left"/>
              <w:rPr>
                <w:sz w:val="22"/>
                <w:szCs w:val="22"/>
              </w:rPr>
            </w:pPr>
            <w:r>
              <w:rPr>
                <w:sz w:val="22"/>
                <w:szCs w:val="22"/>
              </w:rPr>
              <w:t xml:space="preserve">Папка-обложка без скоросшивателя</w:t>
            </w:r>
            <w:r>
              <w:rPr>
                <w:sz w:val="22"/>
                <w:szCs w:val="22"/>
              </w:rPr>
            </w:r>
            <w:r>
              <w:rPr>
                <w:sz w:val="22"/>
                <w:szCs w:val="22"/>
              </w:rPr>
            </w:r>
          </w:p>
        </w:tc>
        <w:tc>
          <w:tcPr>
            <w:tcW w:w="1559" w:type="dxa"/>
            <w:vAlign w:val="center"/>
            <w:textDirection w:val="lrTb"/>
            <w:noWrap w:val="false"/>
          </w:tcPr>
          <w:p>
            <w:pPr>
              <w:pStyle w:val="924"/>
              <w:jc w:val="left"/>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restart"/>
            <w:textDirection w:val="lrTb"/>
            <w:noWrap w:val="false"/>
          </w:tcPr>
          <w:p>
            <w:pPr>
              <w:pStyle w:val="924"/>
              <w:jc w:val="center"/>
              <w:rPr>
                <w:sz w:val="22"/>
                <w:szCs w:val="22"/>
              </w:rPr>
            </w:pPr>
            <w:r>
              <w:rPr>
                <w:sz w:val="22"/>
                <w:szCs w:val="22"/>
              </w:rPr>
              <w:t xml:space="preserve">Штука</w:t>
            </w:r>
            <w:r>
              <w:rPr>
                <w:sz w:val="22"/>
                <w:szCs w:val="22"/>
              </w:rPr>
            </w:r>
            <w:r>
              <w:rPr>
                <w:sz w:val="22"/>
                <w:szCs w:val="22"/>
              </w:rPr>
            </w:r>
          </w:p>
        </w:tc>
        <w:tc>
          <w:tcPr>
            <w:tcW w:w="1134" w:type="dxa"/>
            <w:vAlign w:val="center"/>
            <w:vMerge w:val="restart"/>
            <w:textDirection w:val="lrTb"/>
            <w:noWrap w:val="false"/>
          </w:tcPr>
          <w:p>
            <w:pPr>
              <w:pStyle w:val="924"/>
              <w:jc w:val="center"/>
              <w:rPr>
                <w:sz w:val="22"/>
                <w:szCs w:val="22"/>
              </w:rPr>
            </w:pPr>
            <w:r>
              <w:rPr>
                <w:sz w:val="22"/>
                <w:szCs w:val="22"/>
              </w:rPr>
              <w:t xml:space="preserve">70</w:t>
            </w:r>
            <w:r>
              <w:rPr>
                <w:sz w:val="22"/>
                <w:szCs w:val="22"/>
              </w:rPr>
            </w:r>
            <w:r>
              <w:rPr>
                <w:sz w:val="22"/>
                <w:szCs w:val="22"/>
              </w:rPr>
            </w:r>
          </w:p>
        </w:tc>
        <w:tc>
          <w:tcPr>
            <w:tcW w:w="1276" w:type="dxa"/>
            <w:vAlign w:val="top"/>
            <w:vMerge w:val="restart"/>
            <w:textDirection w:val="lrTb"/>
            <w:noWrap w:val="false"/>
          </w:tcPr>
          <w:p>
            <w:pPr>
              <w:pStyle w:val="924"/>
              <w:jc w:val="center"/>
              <w:rPr>
                <w:sz w:val="22"/>
                <w:szCs w:val="22"/>
              </w:rPr>
            </w:pPr>
            <w:r>
              <w:rPr>
                <w:sz w:val="22"/>
                <w:szCs w:val="22"/>
              </w:rPr>
            </w:r>
            <w:r>
              <w:rPr>
                <w:sz w:val="22"/>
                <w:szCs w:val="22"/>
              </w:rPr>
            </w:r>
            <w:r>
              <w:rPr>
                <w:sz w:val="22"/>
                <w:szCs w:val="22"/>
              </w:rPr>
            </w:r>
          </w:p>
        </w:tc>
        <w:tc>
          <w:tcPr>
            <w:tcW w:w="1559" w:type="dxa"/>
            <w:vAlign w:val="top"/>
            <w:vMerge w:val="restart"/>
            <w:textDirection w:val="lrTb"/>
            <w:noWrap w:val="false"/>
          </w:tcPr>
          <w:p>
            <w:pPr>
              <w:pStyle w:val="924"/>
              <w:jc w:val="center"/>
              <w:rPr>
                <w:sz w:val="22"/>
                <w:szCs w:val="22"/>
              </w:rPr>
            </w:pPr>
            <w:r>
              <w:rPr>
                <w:sz w:val="22"/>
                <w:szCs w:val="22"/>
              </w:rPr>
            </w:r>
            <w:r>
              <w:rPr>
                <w:sz w:val="22"/>
                <w:szCs w:val="22"/>
              </w:rPr>
            </w:r>
            <w:r>
              <w:rPr>
                <w:sz w:val="22"/>
                <w:szCs w:val="22"/>
              </w:rPr>
            </w:r>
          </w:p>
        </w:tc>
        <w:tc>
          <w:tcPr>
            <w:tcW w:w="1843" w:type="dxa"/>
            <w:vAlign w:val="top"/>
            <w:vMerge w:val="restart"/>
            <w:textDirection w:val="lrTb"/>
            <w:noWrap w:val="false"/>
          </w:tcPr>
          <w:p>
            <w:pPr>
              <w:pStyle w:val="924"/>
              <w:jc w:val="center"/>
              <w:rPr>
                <w:sz w:val="22"/>
                <w:szCs w:val="22"/>
              </w:rPr>
            </w:pPr>
            <w:r>
              <w:rPr>
                <w:sz w:val="22"/>
                <w:szCs w:val="22"/>
              </w:rPr>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center"/>
              <w:rPr>
                <w:sz w:val="22"/>
                <w:szCs w:val="22"/>
              </w:rPr>
            </w:pPr>
            <w:r>
              <w:rPr>
                <w:sz w:val="22"/>
                <w:szCs w:val="22"/>
              </w:rPr>
            </w:r>
            <w:r>
              <w:rPr>
                <w:sz w:val="22"/>
                <w:szCs w:val="22"/>
              </w:rPr>
            </w:r>
            <w:r>
              <w:rPr>
                <w:sz w:val="22"/>
                <w:szCs w:val="22"/>
              </w:rPr>
            </w:r>
          </w:p>
        </w:tc>
        <w:tc>
          <w:tcPr>
            <w:tcW w:w="1505" w:type="dxa"/>
            <w:vAlign w:val="top"/>
            <w:vMerge w:val="continue"/>
            <w:textDirection w:val="lrTb"/>
            <w:noWrap w:val="false"/>
          </w:tcPr>
          <w:p>
            <w:pPr>
              <w:pStyle w:val="924"/>
              <w:contextualSpacing/>
              <w:jc w:val="left"/>
              <w:rPr>
                <w:sz w:val="22"/>
                <w:szCs w:val="22"/>
              </w:rPr>
            </w:pPr>
            <w:r>
              <w:rPr>
                <w:sz w:val="22"/>
                <w:szCs w:val="22"/>
              </w:rPr>
            </w:r>
            <w:r>
              <w:rPr>
                <w:sz w:val="22"/>
                <w:szCs w:val="22"/>
              </w:rPr>
            </w:r>
            <w:r>
              <w:rPr>
                <w:sz w:val="22"/>
                <w:szCs w:val="22"/>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Формат</w:t>
            </w:r>
            <w:r>
              <w:rPr>
                <w:rFonts w:eastAsia="Calibri"/>
                <w:sz w:val="22"/>
                <w:szCs w:val="22"/>
              </w:rPr>
            </w:r>
            <w:r>
              <w:rPr>
                <w:rFonts w:eastAsia="Calibri"/>
                <w:sz w:val="22"/>
                <w:szCs w:val="22"/>
              </w:rPr>
            </w:r>
          </w:p>
        </w:tc>
        <w:tc>
          <w:tcPr>
            <w:tcW w:w="1985" w:type="dxa"/>
            <w:vAlign w:val="center"/>
            <w:textDirection w:val="lrTb"/>
            <w:noWrap w:val="false"/>
          </w:tcPr>
          <w:p>
            <w:pPr>
              <w:pStyle w:val="924"/>
              <w:jc w:val="left"/>
              <w:rPr>
                <w:sz w:val="22"/>
                <w:szCs w:val="22"/>
              </w:rPr>
            </w:pPr>
            <w:r>
              <w:rPr>
                <w:sz w:val="22"/>
                <w:szCs w:val="22"/>
              </w:rPr>
              <w:t xml:space="preserve">А4+</w:t>
            </w:r>
            <w:r>
              <w:rPr>
                <w:sz w:val="22"/>
                <w:szCs w:val="22"/>
              </w:rPr>
            </w:r>
            <w:r>
              <w:rPr>
                <w:sz w:val="22"/>
                <w:szCs w:val="22"/>
              </w:rPr>
            </w:r>
          </w:p>
        </w:tc>
        <w:tc>
          <w:tcPr>
            <w:tcW w:w="1559" w:type="dxa"/>
            <w:vAlign w:val="center"/>
            <w:textDirection w:val="lrTb"/>
            <w:noWrap w:val="false"/>
          </w:tcPr>
          <w:p>
            <w:pPr>
              <w:pStyle w:val="924"/>
              <w:jc w:val="left"/>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rPr>
            </w:pPr>
            <w:r>
              <w:rPr>
                <w:sz w:val="22"/>
                <w:szCs w:val="22"/>
              </w:rPr>
            </w:r>
            <w:r>
              <w:rPr>
                <w:sz w:val="22"/>
                <w:szCs w:val="22"/>
              </w:rPr>
            </w:r>
            <w:r>
              <w:rPr>
                <w:sz w:val="22"/>
                <w:szCs w:val="22"/>
              </w:rPr>
            </w:r>
          </w:p>
        </w:tc>
        <w:tc>
          <w:tcPr>
            <w:tcW w:w="1134" w:type="dxa"/>
            <w:vAlign w:val="center"/>
            <w:vMerge w:val="continue"/>
            <w:textDirection w:val="lrTb"/>
            <w:noWrap w:val="false"/>
          </w:tcPr>
          <w:p>
            <w:pPr>
              <w:pStyle w:val="924"/>
              <w:jc w:val="center"/>
              <w:rPr>
                <w:sz w:val="22"/>
                <w:szCs w:val="22"/>
              </w:rPr>
            </w:pPr>
            <w:r>
              <w:rPr>
                <w:sz w:val="22"/>
                <w:szCs w:val="22"/>
              </w:rPr>
            </w:r>
            <w:r>
              <w:rPr>
                <w:sz w:val="22"/>
                <w:szCs w:val="22"/>
              </w:rPr>
            </w:r>
            <w:r>
              <w:rPr>
                <w:sz w:val="22"/>
                <w:szCs w:val="22"/>
              </w:rPr>
            </w:r>
          </w:p>
        </w:tc>
        <w:tc>
          <w:tcPr>
            <w:tcW w:w="1276" w:type="dxa"/>
            <w:vAlign w:val="top"/>
            <w:vMerge w:val="continue"/>
            <w:textDirection w:val="lrTb"/>
            <w:noWrap w:val="false"/>
          </w:tcPr>
          <w:p>
            <w:pPr>
              <w:pStyle w:val="924"/>
              <w:jc w:val="center"/>
              <w:rPr>
                <w:sz w:val="22"/>
                <w:szCs w:val="22"/>
              </w:rPr>
            </w:pPr>
            <w:r>
              <w:rPr>
                <w:sz w:val="22"/>
                <w:szCs w:val="22"/>
              </w:rPr>
            </w:r>
            <w:r>
              <w:rPr>
                <w:sz w:val="22"/>
                <w:szCs w:val="22"/>
              </w:rPr>
            </w:r>
            <w:r>
              <w:rPr>
                <w:sz w:val="22"/>
                <w:szCs w:val="22"/>
              </w:rPr>
            </w:r>
          </w:p>
        </w:tc>
        <w:tc>
          <w:tcPr>
            <w:tcW w:w="1559" w:type="dxa"/>
            <w:vAlign w:val="top"/>
            <w:vMerge w:val="continue"/>
            <w:textDirection w:val="lrTb"/>
            <w:noWrap w:val="false"/>
          </w:tcPr>
          <w:p>
            <w:pPr>
              <w:pStyle w:val="924"/>
              <w:jc w:val="center"/>
              <w:rPr>
                <w:sz w:val="22"/>
                <w:szCs w:val="22"/>
              </w:rPr>
            </w:pPr>
            <w:r>
              <w:rPr>
                <w:sz w:val="22"/>
                <w:szCs w:val="22"/>
              </w:rPr>
            </w:r>
            <w:r>
              <w:rPr>
                <w:sz w:val="22"/>
                <w:szCs w:val="22"/>
              </w:rPr>
            </w:r>
            <w:r>
              <w:rPr>
                <w:sz w:val="22"/>
                <w:szCs w:val="22"/>
              </w:rPr>
            </w:r>
          </w:p>
        </w:tc>
        <w:tc>
          <w:tcPr>
            <w:tcW w:w="1843" w:type="dxa"/>
            <w:vAlign w:val="top"/>
            <w:vMerge w:val="continue"/>
            <w:textDirection w:val="lrTb"/>
            <w:noWrap w:val="false"/>
          </w:tcPr>
          <w:p>
            <w:pPr>
              <w:pStyle w:val="924"/>
              <w:jc w:val="center"/>
              <w:rPr>
                <w:sz w:val="22"/>
                <w:szCs w:val="22"/>
              </w:rPr>
            </w:pPr>
            <w:r>
              <w:rPr>
                <w:sz w:val="22"/>
                <w:szCs w:val="22"/>
              </w:rPr>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Материал</w:t>
            </w:r>
            <w:r>
              <w:rPr>
                <w:rFonts w:eastAsia="Calibri"/>
                <w:sz w:val="22"/>
                <w:szCs w:val="22"/>
              </w:rPr>
            </w:r>
            <w:r>
              <w:rPr>
                <w:rFonts w:eastAsia="Calibri"/>
                <w:sz w:val="22"/>
                <w:szCs w:val="22"/>
              </w:rPr>
            </w:r>
          </w:p>
          <w:p>
            <w:pPr>
              <w:pStyle w:val="924"/>
              <w:jc w:val="left"/>
              <w:rPr>
                <w:rFonts w:eastAsia="Calibri"/>
                <w:sz w:val="22"/>
                <w:szCs w:val="22"/>
              </w:rPr>
            </w:pPr>
            <w:r>
              <w:rPr>
                <w:rFonts w:eastAsia="Calibri"/>
                <w:sz w:val="22"/>
                <w:szCs w:val="22"/>
              </w:rPr>
              <w:t xml:space="preserve">обложки</w:t>
            </w:r>
            <w:r>
              <w:rPr>
                <w:rFonts w:eastAsia="Calibri"/>
                <w:sz w:val="22"/>
                <w:szCs w:val="22"/>
              </w:rPr>
            </w:r>
            <w:r>
              <w:rPr>
                <w:rFonts w:eastAsia="Calibri"/>
                <w:sz w:val="22"/>
                <w:szCs w:val="22"/>
              </w:rPr>
            </w:r>
          </w:p>
        </w:tc>
        <w:tc>
          <w:tcPr>
            <w:tcW w:w="1985" w:type="dxa"/>
            <w:vAlign w:val="center"/>
            <w:textDirection w:val="lrTb"/>
            <w:noWrap w:val="false"/>
          </w:tcPr>
          <w:p>
            <w:pPr>
              <w:pStyle w:val="924"/>
              <w:jc w:val="left"/>
              <w:rPr>
                <w:rFonts w:eastAsia="Calibri"/>
                <w:sz w:val="22"/>
                <w:szCs w:val="22"/>
              </w:rPr>
            </w:pPr>
            <w:r>
              <w:rPr>
                <w:rFonts w:eastAsia="Calibri"/>
                <w:sz w:val="22"/>
                <w:szCs w:val="22"/>
              </w:rPr>
              <w:t xml:space="preserve">Бумвинил</w:t>
            </w:r>
            <w:r>
              <w:rPr>
                <w:rFonts w:eastAsia="Calibri"/>
                <w:sz w:val="22"/>
                <w:szCs w:val="22"/>
              </w:rPr>
            </w:r>
            <w:r>
              <w:rPr>
                <w:rFonts w:eastAsia="Calibri"/>
                <w:sz w:val="22"/>
                <w:szCs w:val="22"/>
              </w:rPr>
            </w:r>
          </w:p>
        </w:tc>
        <w:tc>
          <w:tcPr>
            <w:tcW w:w="1559" w:type="dxa"/>
            <w:vAlign w:val="center"/>
            <w:textDirection w:val="lrTb"/>
            <w:noWrap w:val="false"/>
          </w:tcPr>
          <w:p>
            <w:pPr>
              <w:pStyle w:val="924"/>
              <w:jc w:val="left"/>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Цвет</w:t>
            </w:r>
            <w:r>
              <w:rPr>
                <w:rFonts w:eastAsia="Calibri"/>
                <w:sz w:val="22"/>
                <w:szCs w:val="22"/>
              </w:rPr>
            </w:r>
            <w:r>
              <w:rPr>
                <w:rFonts w:eastAsia="Calibri"/>
                <w:sz w:val="22"/>
                <w:szCs w:val="22"/>
              </w:rPr>
            </w:r>
          </w:p>
        </w:tc>
        <w:tc>
          <w:tcPr>
            <w:tcW w:w="1985" w:type="dxa"/>
            <w:vAlign w:val="center"/>
            <w:textDirection w:val="lrTb"/>
            <w:noWrap w:val="false"/>
          </w:tcPr>
          <w:p>
            <w:pPr>
              <w:pStyle w:val="924"/>
              <w:jc w:val="left"/>
              <w:rPr>
                <w:rFonts w:eastAsia="Calibri"/>
                <w:sz w:val="22"/>
                <w:szCs w:val="22"/>
              </w:rPr>
            </w:pPr>
            <w:r>
              <w:rPr>
                <w:rFonts w:eastAsia="Calibri"/>
                <w:sz w:val="22"/>
                <w:szCs w:val="22"/>
              </w:rPr>
              <w:t xml:space="preserve">Бордовый</w:t>
            </w:r>
            <w:r>
              <w:rPr>
                <w:rFonts w:eastAsia="Calibri"/>
                <w:sz w:val="22"/>
                <w:szCs w:val="22"/>
              </w:rPr>
            </w:r>
            <w:r>
              <w:rPr>
                <w:rFonts w:eastAsia="Calibri"/>
                <w:sz w:val="22"/>
                <w:szCs w:val="22"/>
              </w:rPr>
            </w:r>
          </w:p>
        </w:tc>
        <w:tc>
          <w:tcPr>
            <w:tcW w:w="1559" w:type="dxa"/>
            <w:vAlign w:val="center"/>
            <w:textDirection w:val="lrTb"/>
            <w:noWrap w:val="false"/>
          </w:tcPr>
          <w:p>
            <w:pPr>
              <w:pStyle w:val="924"/>
              <w:jc w:val="left"/>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Ширина </w:t>
            </w:r>
            <w:r>
              <w:rPr>
                <w:rFonts w:eastAsia="Calibri"/>
                <w:sz w:val="22"/>
                <w:szCs w:val="22"/>
              </w:rPr>
            </w:r>
            <w:r>
              <w:rPr>
                <w:rFonts w:eastAsia="Calibri"/>
                <w:sz w:val="22"/>
                <w:szCs w:val="22"/>
              </w:rPr>
            </w:r>
          </w:p>
        </w:tc>
        <w:tc>
          <w:tcPr>
            <w:tcW w:w="1985" w:type="dxa"/>
            <w:vAlign w:val="center"/>
            <w:textDirection w:val="lrTb"/>
            <w:noWrap w:val="false"/>
          </w:tcPr>
          <w:p>
            <w:pPr>
              <w:pStyle w:val="924"/>
              <w:ind w:right="57"/>
              <w:jc w:val="left"/>
              <w:rPr>
                <w:rFonts w:eastAsia="Calibri"/>
                <w:sz w:val="22"/>
                <w:szCs w:val="22"/>
              </w:rPr>
            </w:pPr>
            <w:r>
              <w:rPr>
                <w:rFonts w:eastAsia="Calibri"/>
                <w:sz w:val="22"/>
                <w:szCs w:val="22"/>
              </w:rPr>
              <w:t xml:space="preserve">≥215 и ≤250</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t xml:space="preserve">миллиметр</w:t>
            </w:r>
            <w:r>
              <w:rPr>
                <w:rFonts w:eastAsia="Calibri"/>
                <w:sz w:val="22"/>
                <w:szCs w:val="22"/>
              </w:rPr>
            </w:r>
            <w:r>
              <w:rPr>
                <w:rFonts w:eastAsia="Calibri"/>
                <w:sz w:val="22"/>
                <w:szCs w:val="22"/>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ind w:right="57"/>
              <w:jc w:val="left"/>
              <w:rPr>
                <w:rFonts w:eastAsia="Calibri"/>
                <w:sz w:val="22"/>
                <w:szCs w:val="22"/>
              </w:rPr>
            </w:pPr>
            <w:r>
              <w:rPr>
                <w:rFonts w:eastAsia="Calibri"/>
                <w:sz w:val="22"/>
                <w:szCs w:val="22"/>
              </w:rPr>
              <w:t xml:space="preserve">Длина</w:t>
            </w:r>
            <w:r>
              <w:rPr>
                <w:rFonts w:eastAsia="Calibri"/>
                <w:sz w:val="22"/>
                <w:szCs w:val="22"/>
              </w:rPr>
            </w:r>
            <w:r>
              <w:rPr>
                <w:rFonts w:eastAsia="Calibri"/>
                <w:sz w:val="22"/>
                <w:szCs w:val="22"/>
              </w:rPr>
            </w:r>
          </w:p>
        </w:tc>
        <w:tc>
          <w:tcPr>
            <w:tcW w:w="1985" w:type="dxa"/>
            <w:vAlign w:val="center"/>
            <w:textDirection w:val="lrTb"/>
            <w:noWrap w:val="false"/>
          </w:tcPr>
          <w:p>
            <w:pPr>
              <w:pStyle w:val="924"/>
              <w:ind w:right="57"/>
              <w:jc w:val="left"/>
              <w:rPr>
                <w:rFonts w:eastAsia="Calibri"/>
                <w:sz w:val="22"/>
                <w:szCs w:val="22"/>
              </w:rPr>
            </w:pPr>
            <w:r>
              <w:rPr>
                <w:rFonts w:eastAsia="Calibri"/>
                <w:sz w:val="22"/>
                <w:szCs w:val="22"/>
              </w:rPr>
              <w:t xml:space="preserve">≥300 и ≤330</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t xml:space="preserve">миллиметр</w:t>
            </w:r>
            <w:r>
              <w:rPr>
                <w:rFonts w:eastAsia="Calibri"/>
                <w:sz w:val="22"/>
                <w:szCs w:val="22"/>
              </w:rPr>
            </w:r>
            <w:r>
              <w:rPr>
                <w:rFonts w:eastAsia="Calibri"/>
                <w:sz w:val="22"/>
                <w:szCs w:val="22"/>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134"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Ширина переплета</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≤20</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t xml:space="preserve">миллиметр</w:t>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Особенности </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С тиснением</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Цвет тиснения</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Золотистый</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Надпись на папке</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Поздравляем </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Способ фиксации вложений</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ляссе</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center"/>
            <w:vMerge w:val="restart"/>
            <w:textDirection w:val="lrTb"/>
            <w:noWrap w:val="false"/>
          </w:tcPr>
          <w:p>
            <w:pPr>
              <w:pStyle w:val="924"/>
              <w:jc w:val="center"/>
              <w:rPr>
                <w:sz w:val="22"/>
                <w:szCs w:val="22"/>
                <w:lang w:eastAsia="en-US"/>
              </w:rPr>
            </w:pPr>
            <w:r>
              <w:rPr>
                <w:sz w:val="22"/>
                <w:szCs w:val="22"/>
                <w:lang w:eastAsia="en-US"/>
              </w:rPr>
              <w:t xml:space="preserve">2</w:t>
            </w:r>
            <w:r>
              <w:rPr>
                <w:sz w:val="22"/>
                <w:szCs w:val="22"/>
                <w:lang w:eastAsia="en-US"/>
              </w:rPr>
            </w:r>
            <w:r>
              <w:rPr>
                <w:sz w:val="22"/>
                <w:szCs w:val="22"/>
                <w:lang w:eastAsia="en-US"/>
              </w:rPr>
            </w:r>
          </w:p>
        </w:tc>
        <w:tc>
          <w:tcPr>
            <w:tcW w:w="1505" w:type="dxa"/>
            <w:vAlign w:val="center"/>
            <w:vMerge w:val="restart"/>
            <w:textDirection w:val="lrTb"/>
            <w:noWrap w:val="false"/>
          </w:tcPr>
          <w:p>
            <w:pPr>
              <w:pStyle w:val="924"/>
              <w:contextualSpacing/>
              <w:jc w:val="center"/>
              <w:rPr>
                <w:rFonts w:eastAsia="Calibri"/>
                <w:sz w:val="22"/>
              </w:rPr>
            </w:pPr>
            <w:r>
              <w:rPr>
                <w:rFonts w:eastAsia="Calibri"/>
                <w:sz w:val="22"/>
              </w:rPr>
              <w:t xml:space="preserve">Бланк «Благодарности»</w:t>
            </w:r>
            <w:r>
              <w:rPr>
                <w:rFonts w:eastAsia="Calibri"/>
                <w:sz w:val="22"/>
              </w:rPr>
            </w:r>
            <w:r>
              <w:rPr>
                <w:rFonts w:eastAsia="Calibri"/>
                <w:sz w:val="22"/>
              </w:rPr>
            </w:r>
          </w:p>
          <w:p>
            <w:pPr>
              <w:pStyle w:val="924"/>
              <w:jc w:val="center"/>
              <w:rPr>
                <w:sz w:val="22"/>
                <w:szCs w:val="22"/>
                <w:lang w:eastAsia="en-US"/>
              </w:rPr>
            </w:pPr>
            <w:r>
              <w:rPr>
                <w:rFonts w:eastAsia="Calibri"/>
                <w:sz w:val="22"/>
              </w:rPr>
              <w:t xml:space="preserve">ОКПД2: 17.29.19.190</w:t>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Формат</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А4</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restart"/>
            <w:textDirection w:val="lrTb"/>
            <w:noWrap w:val="false"/>
          </w:tcPr>
          <w:p>
            <w:pPr>
              <w:pStyle w:val="924"/>
              <w:jc w:val="center"/>
              <w:rPr>
                <w:rFonts w:eastAsia="Calibri"/>
                <w:sz w:val="22"/>
                <w:szCs w:val="22"/>
              </w:rPr>
            </w:pPr>
            <w:r>
              <w:rPr>
                <w:rFonts w:eastAsia="Calibri"/>
                <w:sz w:val="22"/>
                <w:szCs w:val="22"/>
              </w:rPr>
              <w:t xml:space="preserve">Штука </w:t>
            </w:r>
            <w:r>
              <w:rPr>
                <w:rFonts w:eastAsia="Calibri"/>
                <w:sz w:val="22"/>
                <w:szCs w:val="22"/>
              </w:rPr>
            </w:r>
            <w:r>
              <w:rPr>
                <w:rFonts w:eastAsia="Calibri"/>
                <w:sz w:val="22"/>
                <w:szCs w:val="22"/>
              </w:rPr>
            </w:r>
          </w:p>
        </w:tc>
        <w:tc>
          <w:tcPr>
            <w:tcW w:w="1134" w:type="dxa"/>
            <w:vAlign w:val="center"/>
            <w:vMerge w:val="restart"/>
            <w:textDirection w:val="lrTb"/>
            <w:noWrap w:val="false"/>
          </w:tcPr>
          <w:p>
            <w:pPr>
              <w:pStyle w:val="924"/>
              <w:jc w:val="center"/>
              <w:rPr>
                <w:sz w:val="22"/>
                <w:szCs w:val="22"/>
                <w:lang w:eastAsia="en-US"/>
              </w:rPr>
            </w:pPr>
            <w:r>
              <w:rPr>
                <w:sz w:val="22"/>
                <w:szCs w:val="22"/>
                <w:lang w:eastAsia="en-US"/>
              </w:rPr>
              <w:t xml:space="preserve">70</w:t>
            </w:r>
            <w:r>
              <w:rPr>
                <w:sz w:val="22"/>
                <w:szCs w:val="22"/>
                <w:lang w:eastAsia="en-US"/>
              </w:rPr>
            </w:r>
            <w:r>
              <w:rPr>
                <w:sz w:val="22"/>
                <w:szCs w:val="22"/>
                <w:lang w:eastAsia="en-US"/>
              </w:rPr>
            </w:r>
          </w:p>
        </w:tc>
        <w:tc>
          <w:tcPr>
            <w:tcW w:w="1276" w:type="dxa"/>
            <w:vAlign w:val="top"/>
            <w:vMerge w:val="restart"/>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restart"/>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restart"/>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Тип бумаги</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Мелованная</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vertAlign w:val="superscript"/>
              </w:rPr>
            </w:pPr>
            <w:r>
              <w:rPr>
                <w:rFonts w:eastAsia="Calibri"/>
                <w:sz w:val="22"/>
                <w:szCs w:val="22"/>
              </w:rPr>
              <w:t xml:space="preserve">Плотность бумаги, г/м</w:t>
            </w:r>
            <w:r>
              <w:rPr>
                <w:rFonts w:eastAsia="Calibri"/>
                <w:sz w:val="22"/>
                <w:szCs w:val="22"/>
                <w:vertAlign w:val="superscript"/>
              </w:rPr>
              <w:t xml:space="preserve">2</w:t>
            </w:r>
            <w:r>
              <w:rPr>
                <w:rFonts w:eastAsia="Calibri"/>
                <w:sz w:val="22"/>
                <w:szCs w:val="22"/>
                <w:vertAlign w:val="superscript"/>
              </w:rPr>
            </w:r>
            <w:r>
              <w:rPr>
                <w:rFonts w:eastAsia="Calibri"/>
                <w:sz w:val="22"/>
                <w:szCs w:val="22"/>
                <w:vertAlign w:val="superscript"/>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≥200</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Изображение Российской символики</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Да</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W w:w="763"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505" w:type="dxa"/>
            <w:vAlign w:val="top"/>
            <w:vMerge w:val="continue"/>
            <w:textDirection w:val="lrTb"/>
            <w:noWrap w:val="false"/>
          </w:tcPr>
          <w:p>
            <w:pPr>
              <w:pStyle w:val="924"/>
              <w:jc w:val="left"/>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center"/>
            <w:textDirection w:val="lrTb"/>
            <w:noWrap w:val="false"/>
          </w:tcPr>
          <w:p>
            <w:pPr>
              <w:pStyle w:val="924"/>
              <w:jc w:val="left"/>
              <w:rPr>
                <w:rFonts w:eastAsia="Calibri"/>
                <w:sz w:val="22"/>
                <w:szCs w:val="22"/>
              </w:rPr>
            </w:pPr>
            <w:r>
              <w:rPr>
                <w:rFonts w:eastAsia="Calibri"/>
                <w:sz w:val="22"/>
                <w:szCs w:val="22"/>
              </w:rPr>
              <w:t xml:space="preserve">Надпись </w:t>
            </w:r>
            <w:r>
              <w:rPr>
                <w:rFonts w:eastAsia="Calibri"/>
                <w:sz w:val="22"/>
                <w:szCs w:val="22"/>
              </w:rPr>
            </w:r>
            <w:r>
              <w:rPr>
                <w:rFonts w:eastAsia="Calibri"/>
                <w:sz w:val="22"/>
                <w:szCs w:val="22"/>
              </w:rPr>
            </w:r>
          </w:p>
        </w:tc>
        <w:tc>
          <w:tcPr>
            <w:tcW w:w="1985" w:type="dxa"/>
            <w:vAlign w:val="center"/>
            <w:textDirection w:val="lrTb"/>
            <w:noWrap w:val="false"/>
          </w:tcPr>
          <w:p>
            <w:pPr>
              <w:pStyle w:val="924"/>
              <w:ind w:left="101"/>
              <w:jc w:val="left"/>
              <w:rPr>
                <w:rFonts w:eastAsia="Calibri"/>
                <w:sz w:val="22"/>
                <w:szCs w:val="22"/>
              </w:rPr>
            </w:pPr>
            <w:r>
              <w:rPr>
                <w:rFonts w:eastAsia="Calibri"/>
                <w:sz w:val="22"/>
                <w:szCs w:val="22"/>
              </w:rPr>
              <w:t xml:space="preserve">БЛАГОДАРНОСТЬ</w:t>
            </w:r>
            <w:r>
              <w:rPr>
                <w:rFonts w:eastAsia="Calibri"/>
                <w:sz w:val="22"/>
                <w:szCs w:val="22"/>
              </w:rPr>
            </w:r>
            <w:r>
              <w:rPr>
                <w:rFonts w:eastAsia="Calibri"/>
                <w:sz w:val="22"/>
                <w:szCs w:val="22"/>
              </w:rPr>
            </w:r>
          </w:p>
        </w:tc>
        <w:tc>
          <w:tcPr>
            <w:tcW w:w="1559" w:type="dxa"/>
            <w:vAlign w:val="center"/>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rFonts w:eastAsia="Calibri"/>
                <w:sz w:val="22"/>
                <w:szCs w:val="22"/>
              </w:rPr>
            </w:pPr>
            <w:r>
              <w:rPr>
                <w:rFonts w:eastAsia="Calibri"/>
                <w:sz w:val="22"/>
                <w:szCs w:val="22"/>
              </w:rPr>
            </w:r>
            <w:r>
              <w:rPr>
                <w:rFonts w:eastAsia="Calibri"/>
                <w:sz w:val="22"/>
                <w:szCs w:val="22"/>
              </w:rPr>
            </w:r>
            <w:r>
              <w:rPr>
                <w:rFonts w:eastAsia="Calibri"/>
                <w:sz w:val="22"/>
                <w:szCs w:val="22"/>
              </w:rPr>
            </w:r>
          </w:p>
        </w:tc>
        <w:tc>
          <w:tcPr>
            <w:tcW w:w="1134" w:type="dxa"/>
            <w:vAlign w:val="center"/>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276"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559"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c>
          <w:tcPr>
            <w:tcW w:w="1843" w:type="dxa"/>
            <w:vAlign w:val="top"/>
            <w:vMerge w:val="continue"/>
            <w:textDirection w:val="lrTb"/>
            <w:noWrap w:val="false"/>
          </w:tcPr>
          <w:p>
            <w:pPr>
              <w:pStyle w:val="924"/>
              <w:jc w:val="center"/>
              <w:rPr>
                <w:sz w:val="22"/>
                <w:szCs w:val="22"/>
                <w:lang w:eastAsia="en-US"/>
              </w:rPr>
            </w:pPr>
            <w:r>
              <w:rPr>
                <w:sz w:val="22"/>
                <w:szCs w:val="22"/>
                <w:lang w:eastAsia="en-US"/>
              </w:rPr>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gridSpan w:val="5"/>
            <w:tcW w:w="7655" w:type="dxa"/>
            <w:vAlign w:val="center"/>
            <w:textDirection w:val="lrTb"/>
            <w:noWrap w:val="false"/>
          </w:tcPr>
          <w:p>
            <w:pPr>
              <w:pStyle w:val="924"/>
              <w:jc w:val="center"/>
              <w:rPr>
                <w:rFonts w:eastAsia="Calibri"/>
                <w:b/>
                <w:sz w:val="22"/>
                <w:szCs w:val="22"/>
              </w:rPr>
            </w:pPr>
            <w:r>
              <w:rPr>
                <w:rFonts w:eastAsia="Calibri"/>
                <w:b/>
                <w:sz w:val="22"/>
                <w:szCs w:val="22"/>
              </w:rPr>
              <w:t xml:space="preserve">Итого</w:t>
            </w:r>
            <w:r>
              <w:rPr>
                <w:rFonts w:eastAsia="Calibri"/>
                <w:b/>
                <w:sz w:val="22"/>
                <w:szCs w:val="22"/>
              </w:rPr>
            </w:r>
            <w:r>
              <w:rPr>
                <w:rFonts w:eastAsia="Calibri"/>
                <w:b/>
                <w:sz w:val="22"/>
                <w:szCs w:val="22"/>
              </w:rPr>
            </w:r>
          </w:p>
        </w:tc>
        <w:tc>
          <w:tcPr>
            <w:tcW w:w="1134" w:type="dxa"/>
            <w:vAlign w:val="center"/>
            <w:textDirection w:val="lrTb"/>
            <w:noWrap w:val="false"/>
          </w:tcPr>
          <w:p>
            <w:pPr>
              <w:pStyle w:val="924"/>
              <w:jc w:val="center"/>
              <w:rPr>
                <w:rFonts w:eastAsia="Calibri"/>
                <w:b/>
                <w:sz w:val="22"/>
                <w:szCs w:val="22"/>
              </w:rPr>
            </w:pPr>
            <w:r>
              <w:rPr>
                <w:rFonts w:eastAsia="Calibri"/>
                <w:b/>
                <w:sz w:val="22"/>
                <w:szCs w:val="22"/>
              </w:rPr>
              <w:t xml:space="preserve">Шт.</w:t>
            </w:r>
            <w:r>
              <w:rPr>
                <w:rFonts w:eastAsia="Calibri"/>
                <w:b/>
                <w:sz w:val="22"/>
                <w:szCs w:val="22"/>
              </w:rPr>
            </w:r>
            <w:r>
              <w:rPr>
                <w:rFonts w:eastAsia="Calibri"/>
                <w:b/>
                <w:sz w:val="22"/>
                <w:szCs w:val="22"/>
              </w:rPr>
            </w:r>
          </w:p>
        </w:tc>
        <w:tc>
          <w:tcPr>
            <w:tcW w:w="1134" w:type="dxa"/>
            <w:vAlign w:val="center"/>
            <w:textDirection w:val="lrTb"/>
            <w:noWrap w:val="false"/>
          </w:tcPr>
          <w:p>
            <w:pPr>
              <w:pStyle w:val="924"/>
              <w:jc w:val="center"/>
              <w:rPr>
                <w:b/>
                <w:sz w:val="22"/>
                <w:szCs w:val="22"/>
                <w:lang w:eastAsia="en-US"/>
              </w:rPr>
            </w:pPr>
            <w:r>
              <w:rPr>
                <w:b/>
                <w:sz w:val="22"/>
                <w:szCs w:val="22"/>
                <w:lang w:eastAsia="en-US"/>
              </w:rPr>
              <w:t xml:space="preserve">140</w:t>
            </w:r>
            <w:r>
              <w:rPr>
                <w:b/>
                <w:sz w:val="22"/>
                <w:szCs w:val="22"/>
                <w:lang w:eastAsia="en-US"/>
              </w:rPr>
            </w:r>
            <w:r>
              <w:rPr>
                <w:b/>
                <w:sz w:val="22"/>
                <w:szCs w:val="22"/>
                <w:lang w:eastAsia="en-US"/>
              </w:rPr>
            </w:r>
          </w:p>
        </w:tc>
        <w:tc>
          <w:tcPr>
            <w:tcW w:w="1276" w:type="dxa"/>
            <w:vAlign w:val="top"/>
            <w:textDirection w:val="lrTb"/>
            <w:noWrap w:val="false"/>
          </w:tcPr>
          <w:p>
            <w:pPr>
              <w:pStyle w:val="924"/>
              <w:jc w:val="center"/>
              <w:rPr>
                <w:b/>
                <w:sz w:val="22"/>
                <w:szCs w:val="22"/>
                <w:lang w:eastAsia="en-US"/>
              </w:rPr>
            </w:pPr>
            <w:r>
              <w:rPr>
                <w:b/>
                <w:sz w:val="22"/>
                <w:szCs w:val="22"/>
                <w:lang w:eastAsia="en-US"/>
              </w:rPr>
            </w:r>
            <w:r>
              <w:rPr>
                <w:b/>
                <w:sz w:val="22"/>
                <w:szCs w:val="22"/>
                <w:lang w:eastAsia="en-US"/>
              </w:rPr>
            </w:r>
            <w:r>
              <w:rPr>
                <w:b/>
                <w:sz w:val="22"/>
                <w:szCs w:val="22"/>
                <w:lang w:eastAsia="en-US"/>
              </w:rPr>
            </w:r>
          </w:p>
        </w:tc>
        <w:tc>
          <w:tcPr>
            <w:tcW w:w="1559" w:type="dxa"/>
            <w:vAlign w:val="top"/>
            <w:textDirection w:val="lrTb"/>
            <w:noWrap w:val="false"/>
          </w:tcPr>
          <w:p>
            <w:pPr>
              <w:pStyle w:val="924"/>
              <w:jc w:val="center"/>
              <w:rPr>
                <w:b/>
                <w:sz w:val="22"/>
                <w:szCs w:val="22"/>
                <w:lang w:eastAsia="en-US"/>
              </w:rPr>
            </w:pPr>
            <w:r>
              <w:rPr>
                <w:b/>
                <w:sz w:val="22"/>
                <w:szCs w:val="22"/>
                <w:lang w:eastAsia="en-US"/>
              </w:rPr>
            </w:r>
            <w:r>
              <w:rPr>
                <w:b/>
                <w:sz w:val="22"/>
                <w:szCs w:val="22"/>
                <w:lang w:eastAsia="en-US"/>
              </w:rPr>
            </w:r>
            <w:r>
              <w:rPr>
                <w:b/>
                <w:sz w:val="22"/>
                <w:szCs w:val="22"/>
                <w:lang w:eastAsia="en-US"/>
              </w:rPr>
            </w:r>
          </w:p>
        </w:tc>
        <w:tc>
          <w:tcPr>
            <w:tcW w:w="1843" w:type="dxa"/>
            <w:vAlign w:val="top"/>
            <w:textDirection w:val="lrTb"/>
            <w:noWrap w:val="false"/>
          </w:tcPr>
          <w:p>
            <w:pPr>
              <w:pStyle w:val="924"/>
              <w:jc w:val="center"/>
              <w:rPr>
                <w:b/>
                <w:sz w:val="22"/>
                <w:szCs w:val="22"/>
                <w:lang w:eastAsia="en-US"/>
              </w:rPr>
            </w:pPr>
            <w:r>
              <w:rPr>
                <w:b/>
                <w:sz w:val="22"/>
                <w:szCs w:val="22"/>
                <w:lang w:eastAsia="en-US"/>
              </w:rPr>
            </w:r>
            <w:r>
              <w:rPr>
                <w:b/>
                <w:sz w:val="22"/>
                <w:szCs w:val="22"/>
                <w:lang w:eastAsia="en-US"/>
              </w:rPr>
            </w:r>
            <w:r>
              <w:rPr>
                <w:b/>
                <w:sz w:val="22"/>
                <w:szCs w:val="22"/>
                <w:lang w:eastAsia="en-US"/>
              </w:rPr>
            </w:r>
          </w:p>
        </w:tc>
      </w:tr>
    </w:tbl>
    <w:p>
      <w:pPr>
        <w:pStyle w:val="924"/>
        <w:ind w:firstLine="708"/>
      </w:pPr>
      <w:r>
        <w:tab/>
      </w:r>
      <w:r>
        <w:rPr>
          <w:b/>
        </w:rPr>
        <w:t xml:space="preserve">Требования к упаковке</w:t>
      </w:r>
      <w:r>
        <w:t xml:space="preserve">: товар должен поставляться в упаковке, обеспечивающей защиту от повреждения, порчи во время транспортировки, погрузочно-разгрузочных работ и хранения.</w:t>
      </w:r>
      <w:r/>
    </w:p>
    <w:p>
      <w:pPr>
        <w:pStyle w:val="924"/>
      </w:pPr>
      <w:r/>
      <w:r/>
    </w:p>
    <w:p>
      <w:pPr>
        <w:pStyle w:val="924"/>
        <w:ind w:firstLine="708"/>
      </w:pPr>
      <w:r>
        <w:t xml:space="preserve">Образцы оформления обложек и бланков благодарности (далее – Образец) не менее 2 (двух) штук предоставляются Заказчику на выбор и утверждаются в течение 2 (двух) рабочих дней с даты заключения контракта.</w:t>
      </w:r>
      <w:r/>
    </w:p>
    <w:p>
      <w:pPr>
        <w:pStyle w:val="924"/>
        <w:ind w:firstLine="708"/>
      </w:pPr>
      <w:r>
        <w:t xml:space="preserve">Образцы предоставляются Заказчику в форме электронного документа в формате PDF, в цветном изображении, посредством, компьютерной или иной электронной связи, позволяющей идентифицировать сторону - отправителя сообщения.</w:t>
      </w:r>
      <w:r/>
    </w:p>
    <w:p>
      <w:pPr>
        <w:pStyle w:val="924"/>
        <w:ind w:firstLine="708"/>
        <w:rPr>
          <w:b/>
        </w:rPr>
      </w:pPr>
      <w:r>
        <w:t xml:space="preserve">Образцы согласовываются и утверждаются Заказчиком совместно с Получателем в течение 2 (двух) рабочих дней со дня предоставления.</w:t>
      </w:r>
      <w:r>
        <w:rPr>
          <w:b/>
        </w:rPr>
      </w:r>
      <w:r>
        <w:rPr>
          <w:b/>
        </w:rPr>
      </w:r>
    </w:p>
    <w:p>
      <w:pPr>
        <w:pStyle w:val="924"/>
        <w:ind w:firstLine="567"/>
        <w:tabs>
          <w:tab w:val="left" w:pos="1972" w:leader="none"/>
        </w:tabs>
      </w:pPr>
      <w: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r>
        <w:rPr>
          <w:vanish/>
        </w:rPr>
      </w:r>
    </w:p>
    <w:sectPr>
      <w:footnotePr/>
      <w:endnotePr/>
      <w:type w:val="nextPage"/>
      <w:pgSz w:w="16838" w:h="11906" w:orient="landscape"/>
      <w:pgMar w:top="1134" w:right="1134" w:bottom="567"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fldChar w:fldCharType="begin"/>
    </w:r>
    <w:r>
      <w:instrText xml:space="preserve"> PAGE   \* MERGEFORMAT </w:instrText>
    </w:r>
    <w:r>
      <w:fldChar w:fldCharType="separate"/>
    </w:r>
    <w:r>
      <w:t xml:space="preserve">9</w:t>
    </w:r>
    <w:r>
      <w:fldChar w:fldCharType="end"/>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fldChar w:fldCharType="begin"/>
    </w:r>
    <w: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9"/>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1"/>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77"/>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6"/>
      <w:isLgl w:val="false"/>
      <w:suff w:val="tab"/>
      <w:lvlText w:val=""/>
      <w:lvlJc w:val="left"/>
      <w:pPr>
        <w:ind w:left="1209" w:hanging="360"/>
        <w:tabs>
          <w:tab w:val="num" w:pos="1209" w:leader="none"/>
        </w:tabs>
      </w:pPr>
      <w:rPr>
        <w:rFonts w:ascii="Symbol" w:hAnsi="Symbol"/>
      </w:rPr>
    </w:lvl>
    <w:lvl w:ilvl="1">
      <w:start w:val="1"/>
      <w:numFmt w:val="bullet"/>
      <w:pStyle w:val="109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5"/>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57"/>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0"/>
      <w:numFmt w:val="bullet"/>
      <w:isLgl w:val="false"/>
      <w:suff w:val="tab"/>
      <w:lvlText w:val="-"/>
      <w:lvlJc w:val="left"/>
      <w:pPr>
        <w:ind w:left="720" w:hanging="360"/>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0">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1">
    <w:multiLevelType w:val="hybridMultilevel"/>
    <w:lvl w:ilvl="0">
      <w:start w:val="1"/>
      <w:numFmt w:val="decimal"/>
      <w:pStyle w:val="985"/>
      <w:isLgl w:val="false"/>
      <w:suff w:val="tab"/>
      <w:lvlText w:val="%1."/>
      <w:lvlJc w:val="left"/>
      <w:pPr>
        <w:ind w:left="567" w:hanging="567"/>
        <w:tabs>
          <w:tab w:val="num" w:pos="567" w:leader="none"/>
        </w:tabs>
      </w:pPr>
    </w:lvl>
    <w:lvl w:ilvl="1">
      <w:start w:val="1"/>
      <w:numFmt w:val="decimal"/>
      <w:pStyle w:val="972"/>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decimal"/>
      <w:pStyle w:val="98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01"/>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5">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6">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7">
    <w:multiLevelType w:val="hybridMultilevel"/>
    <w:lvl w:ilvl="0">
      <w:start w:val="1"/>
      <w:numFmt w:val="decimal"/>
      <w:pStyle w:val="1107"/>
      <w:isLgl w:val="false"/>
      <w:suff w:val="space"/>
      <w:lvlText w:val="%1"/>
      <w:lvlJc w:val="center"/>
      <w:pPr>
        <w:ind w:left="1066" w:firstLine="0"/>
      </w:pPr>
    </w:lvl>
    <w:lvl w:ilvl="1">
      <w:start w:val="1"/>
      <w:numFmt w:val="decimal"/>
      <w:pStyle w:val="1105"/>
      <w:isLgl w:val="false"/>
      <w:suff w:val="space"/>
      <w:lvlText w:val="%1.%2"/>
      <w:lvlJc w:val="left"/>
      <w:pPr>
        <w:ind w:left="1066" w:firstLine="708"/>
      </w:pPr>
    </w:lvl>
    <w:lvl w:ilvl="2">
      <w:start w:val="1"/>
      <w:numFmt w:val="decimal"/>
      <w:pStyle w:val="1106"/>
      <w:isLgl w:val="false"/>
      <w:suff w:val="space"/>
      <w:lvlText w:val="%1.%2.%3"/>
      <w:lvlJc w:val="left"/>
      <w:pPr>
        <w:ind w:left="1066" w:firstLine="708"/>
      </w:pPr>
    </w:lvl>
    <w:lvl w:ilvl="3">
      <w:start w:val="1"/>
      <w:numFmt w:val="decimal"/>
      <w:pStyle w:val="1104"/>
      <w:isLgl w:val="false"/>
      <w:suff w:val="space"/>
      <w:lvlText w:val="%1.%2.%3.%4"/>
      <w:lvlJc w:val="left"/>
      <w:pPr>
        <w:ind w:left="1066" w:firstLine="708"/>
      </w:pPr>
    </w:lvl>
    <w:lvl w:ilvl="4">
      <w:start w:val="1"/>
      <w:numFmt w:val="decimal"/>
      <w:pStyle w:val="1103"/>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8">
    <w:multiLevelType w:val="hybridMultilevel"/>
    <w:lvl w:ilvl="0">
      <w:start w:val="1"/>
      <w:numFmt w:val="thaiNumbers"/>
      <w:pStyle w:val="1035"/>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9">
    <w:multiLevelType w:val="hybridMultilevel"/>
    <w:lvl w:ilvl="0">
      <w:start w:val="1"/>
      <w:numFmt w:val="decimal"/>
      <w:pStyle w:val="992"/>
      <w:isLgl w:val="false"/>
      <w:suff w:val="tab"/>
      <w:lvlText w:val="%1."/>
      <w:lvlJc w:val="left"/>
      <w:pPr>
        <w:ind w:left="360" w:hanging="360"/>
        <w:tabs>
          <w:tab w:val="num" w:pos="360" w:leader="none"/>
        </w:tabs>
      </w:pPr>
    </w:lvl>
    <w:lvl w:ilvl="1">
      <w:start w:val="1"/>
      <w:numFmt w:val="decimal"/>
      <w:pStyle w:val="993"/>
      <w:isLgl w:val="false"/>
      <w:suff w:val="tab"/>
      <w:lvlText w:val="%1.%2."/>
      <w:lvlJc w:val="left"/>
      <w:pPr>
        <w:ind w:left="972" w:hanging="432"/>
        <w:tabs>
          <w:tab w:val="num" w:pos="972" w:leader="none"/>
        </w:tabs>
      </w:pPr>
      <w:rPr>
        <w:b/>
      </w:rPr>
    </w:lvl>
    <w:lvl w:ilvl="2">
      <w:start w:val="1"/>
      <w:numFmt w:val="decimal"/>
      <w:pStyle w:val="1022"/>
      <w:isLgl w:val="false"/>
      <w:suff w:val="tab"/>
      <w:lvlText w:val="%1.%2.%3."/>
      <w:lvlJc w:val="left"/>
      <w:pPr>
        <w:ind w:left="1224" w:hanging="504"/>
        <w:tabs>
          <w:tab w:val="num" w:pos="1440" w:leader="none"/>
        </w:tabs>
      </w:pPr>
    </w:lvl>
    <w:lvl w:ilvl="3">
      <w:start w:val="1"/>
      <w:numFmt w:val="decimal"/>
      <w:pStyle w:val="1033"/>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0">
    <w:multiLevelType w:val="hybridMultilevel"/>
    <w:lvl w:ilvl="0">
      <w:start w:val="1"/>
      <w:numFmt w:val="decimal"/>
      <w:pStyle w:val="1119"/>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20"/>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21"/>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1">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24"/>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2">
    <w:multiLevelType w:val="hybridMultilevel"/>
    <w:lvl w:ilvl="0">
      <w:start w:val="1"/>
      <w:numFmt w:val="decimal"/>
      <w:pStyle w:val="1110"/>
      <w:isLgl w:val="false"/>
      <w:suff w:val="tab"/>
      <w:lvlText w:val="%1."/>
      <w:lvlJc w:val="left"/>
      <w:pPr>
        <w:ind w:left="851" w:hanging="851"/>
        <w:tabs>
          <w:tab w:val="num" w:pos="851" w:leader="none"/>
        </w:tabs>
      </w:pPr>
    </w:lvl>
    <w:lvl w:ilvl="1">
      <w:start w:val="1"/>
      <w:numFmt w:val="decimal"/>
      <w:pStyle w:val="1111"/>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13"/>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3">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4">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25">
    <w:multiLevelType w:val="hybridMultilevel"/>
    <w:lvl w:ilvl="0">
      <w:start w:val="1"/>
      <w:numFmt w:val="decimal"/>
      <w:pStyle w:val="104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948"/>
      <w:isLgl w:val="false"/>
      <w:suff w:val="tab"/>
      <w:lvlText w:val="%1."/>
      <w:lvlJc w:val="left"/>
      <w:pPr>
        <w:ind w:left="432" w:hanging="432"/>
        <w:tabs>
          <w:tab w:val="num" w:pos="432" w:leader="none"/>
        </w:tabs>
      </w:pPr>
    </w:lvl>
    <w:lvl w:ilvl="1">
      <w:start w:val="1"/>
      <w:numFmt w:val="decimal"/>
      <w:pStyle w:val="949"/>
      <w:isLgl w:val="false"/>
      <w:suff w:val="tab"/>
      <w:lvlText w:val="%1.%2"/>
      <w:lvlJc w:val="left"/>
      <w:pPr>
        <w:ind w:left="576" w:hanging="576"/>
        <w:tabs>
          <w:tab w:val="num" w:pos="576" w:leader="none"/>
        </w:tabs>
      </w:pPr>
    </w:lvl>
    <w:lvl w:ilvl="2">
      <w:start w:val="1"/>
      <w:numFmt w:val="decimal"/>
      <w:pStyle w:val="951"/>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7">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982"/>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8">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12"/>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9">
    <w:multiLevelType w:val="hybridMultilevel"/>
    <w:lvl w:ilvl="0">
      <w:start w:val="1"/>
      <w:numFmt w:val="decimal"/>
      <w:isLgl w:val="false"/>
      <w:suff w:val="tab"/>
      <w:lvlText w:val="%1."/>
      <w:lvlJc w:val="left"/>
      <w:pPr>
        <w:ind w:left="660" w:hanging="360"/>
      </w:pPr>
    </w:lvl>
    <w:lvl w:ilvl="1">
      <w:start w:val="1"/>
      <w:numFmt w:val="lowerLetter"/>
      <w:isLgl w:val="false"/>
      <w:suff w:val="tab"/>
      <w:lvlText w:val="%2."/>
      <w:lvlJc w:val="left"/>
      <w:pPr>
        <w:ind w:left="1380" w:hanging="360"/>
      </w:pPr>
    </w:lvl>
    <w:lvl w:ilvl="2">
      <w:start w:val="1"/>
      <w:numFmt w:val="lowerRoman"/>
      <w:isLgl w:val="false"/>
      <w:suff w:val="tab"/>
      <w:lvlText w:val="%3."/>
      <w:lvlJc w:val="right"/>
      <w:pPr>
        <w:ind w:left="2100" w:hanging="180"/>
      </w:pPr>
    </w:lvl>
    <w:lvl w:ilvl="3">
      <w:start w:val="1"/>
      <w:numFmt w:val="decimal"/>
      <w:isLgl w:val="false"/>
      <w:suff w:val="tab"/>
      <w:lvlText w:val="%4."/>
      <w:lvlJc w:val="left"/>
      <w:pPr>
        <w:ind w:left="2820" w:hanging="360"/>
      </w:pPr>
    </w:lvl>
    <w:lvl w:ilvl="4">
      <w:start w:val="1"/>
      <w:numFmt w:val="lowerLetter"/>
      <w:isLgl w:val="false"/>
      <w:suff w:val="tab"/>
      <w:lvlText w:val="%5."/>
      <w:lvlJc w:val="left"/>
      <w:pPr>
        <w:ind w:left="3540" w:hanging="360"/>
      </w:pPr>
    </w:lvl>
    <w:lvl w:ilvl="5">
      <w:start w:val="1"/>
      <w:numFmt w:val="lowerRoman"/>
      <w:isLgl w:val="false"/>
      <w:suff w:val="tab"/>
      <w:lvlText w:val="%6."/>
      <w:lvlJc w:val="right"/>
      <w:pPr>
        <w:ind w:left="4260" w:hanging="180"/>
      </w:pPr>
    </w:lvl>
    <w:lvl w:ilvl="6">
      <w:start w:val="1"/>
      <w:numFmt w:val="decimal"/>
      <w:isLgl w:val="false"/>
      <w:suff w:val="tab"/>
      <w:lvlText w:val="%7."/>
      <w:lvlJc w:val="left"/>
      <w:pPr>
        <w:ind w:left="4980" w:hanging="360"/>
      </w:pPr>
    </w:lvl>
    <w:lvl w:ilvl="7">
      <w:start w:val="1"/>
      <w:numFmt w:val="lowerLetter"/>
      <w:isLgl w:val="false"/>
      <w:suff w:val="tab"/>
      <w:lvlText w:val="%8."/>
      <w:lvlJc w:val="left"/>
      <w:pPr>
        <w:ind w:left="5700" w:hanging="360"/>
      </w:pPr>
    </w:lvl>
    <w:lvl w:ilvl="8">
      <w:start w:val="1"/>
      <w:numFmt w:val="lowerRoman"/>
      <w:isLgl w:val="false"/>
      <w:suff w:val="tab"/>
      <w:lvlText w:val="%9."/>
      <w:lvlJc w:val="right"/>
      <w:pPr>
        <w:ind w:left="6420" w:hanging="180"/>
      </w:pPr>
    </w:lvl>
  </w:abstractNum>
  <w:num w:numId="1">
    <w:abstractNumId w:val="3"/>
  </w:num>
  <w:num w:numId="2">
    <w:abstractNumId w:val="26"/>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27"/>
  </w:num>
  <w:num w:numId="12">
    <w:abstractNumId w:val="12"/>
  </w:num>
  <w:num w:numId="13">
    <w:abstractNumId w:val="11"/>
  </w:num>
  <w:num w:numId="14">
    <w:abstractNumId w:val="19"/>
  </w:num>
  <w:num w:numId="15">
    <w:abstractNumId w:val="21"/>
  </w:num>
  <w:num w:numId="16">
    <w:abstractNumId w:val="18"/>
  </w:num>
  <w:num w:numId="17">
    <w:abstractNumId w:val="25"/>
  </w:num>
  <w:num w:numId="18">
    <w:abstractNumId w:val="13"/>
  </w:num>
  <w:num w:numId="19">
    <w:abstractNumId w:val="17"/>
  </w:num>
  <w:num w:numId="20">
    <w:abstractNumId w:val="22"/>
  </w:num>
  <w:num w:numId="21">
    <w:abstractNumId w:val="28"/>
  </w:num>
  <w:num w:numId="22">
    <w:abstractNumId w:val="20"/>
  </w:num>
  <w:num w:numId="2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3"/>
  </w:num>
  <w:num w:numId="27">
    <w:abstractNumId w:val="24"/>
  </w:num>
  <w:num w:numId="28">
    <w:abstractNumId w:val="10"/>
  </w:num>
  <w:num w:numId="29">
    <w:abstractNumId w:val="9"/>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4"/>
    <w:next w:val="924"/>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4"/>
    <w:next w:val="924"/>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4"/>
    <w:next w:val="924"/>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4"/>
    <w:next w:val="924"/>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4"/>
    <w:next w:val="924"/>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4"/>
    <w:next w:val="924"/>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4"/>
    <w:next w:val="924"/>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4"/>
    <w:next w:val="924"/>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4"/>
    <w:next w:val="924"/>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7"/>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link w:val="779"/>
    <w:uiPriority w:val="35"/>
    <w:semiHidden/>
    <w:unhideWhenUsed/>
    <w:qFormat/>
    <w:pPr>
      <w:spacing w:line="276" w:lineRule="auto"/>
    </w:pPr>
    <w:rPr>
      <w:b/>
      <w:bCs/>
      <w:color w:val="4f81bd" w:themeColor="accent1"/>
      <w:sz w:val="18"/>
      <w:szCs w:val="18"/>
    </w:rPr>
  </w:style>
  <w:style w:type="character" w:styleId="779">
    <w:name w:val="Caption Char"/>
    <w:link w:val="778"/>
    <w:uiPriority w:val="35"/>
    <w:rPr>
      <w:b/>
      <w:bCs/>
      <w:color w:val="4f81bd" w:themeColor="accent1"/>
      <w:sz w:val="18"/>
      <w:szCs w:val="18"/>
    </w:rPr>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pPr>
    <w:rPr>
      <w:sz w:val="24"/>
      <w:szCs w:val="24"/>
      <w:lang w:val="ru-RU" w:eastAsia="ru-RU" w:bidi="ar-SA"/>
    </w:rPr>
  </w:style>
  <w:style w:type="paragraph" w:styleId="925">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24"/>
    <w:next w:val="924"/>
    <w:link w:val="937"/>
    <w:uiPriority w:val="99"/>
    <w:qFormat/>
    <w:pPr>
      <w:jc w:val="center"/>
      <w:keepNext/>
      <w:spacing w:before="240" w:after="60"/>
      <w:outlineLvl w:val="0"/>
    </w:pPr>
    <w:rPr>
      <w:b/>
      <w:sz w:val="36"/>
      <w:szCs w:val="20"/>
      <w:lang w:val="en-US" w:eastAsia="en-US"/>
    </w:rPr>
  </w:style>
  <w:style w:type="paragraph" w:styleId="926">
    <w:name w:val="Заголовок 2"/>
    <w:basedOn w:val="924"/>
    <w:next w:val="924"/>
    <w:link w:val="938"/>
    <w:qFormat/>
    <w:pPr>
      <w:jc w:val="center"/>
      <w:keepNext/>
      <w:outlineLvl w:val="1"/>
    </w:pPr>
    <w:rPr>
      <w:b/>
      <w:bCs/>
      <w:lang w:val="en-US" w:eastAsia="en-US"/>
    </w:rPr>
  </w:style>
  <w:style w:type="paragraph" w:styleId="927">
    <w:name w:val="Заголовок 3"/>
    <w:basedOn w:val="924"/>
    <w:next w:val="924"/>
    <w:link w:val="939"/>
    <w:qFormat/>
    <w:pPr>
      <w:jc w:val="both"/>
      <w:keepNext/>
      <w:spacing w:before="240" w:after="60"/>
      <w:outlineLvl w:val="2"/>
    </w:pPr>
    <w:rPr>
      <w:rFonts w:ascii="Arial" w:hAnsi="Arial"/>
      <w:b/>
      <w:szCs w:val="20"/>
      <w:lang w:val="en-US" w:eastAsia="en-US"/>
    </w:rPr>
  </w:style>
  <w:style w:type="paragraph" w:styleId="928">
    <w:name w:val="Заголовок 4"/>
    <w:basedOn w:val="924"/>
    <w:next w:val="924"/>
    <w:link w:val="940"/>
    <w:qFormat/>
    <w:pPr>
      <w:jc w:val="both"/>
      <w:keepNext/>
      <w:spacing w:before="240" w:after="60"/>
      <w:outlineLvl w:val="3"/>
    </w:pPr>
    <w:rPr>
      <w:rFonts w:ascii="Arial" w:hAnsi="Arial"/>
      <w:szCs w:val="20"/>
      <w:lang w:val="en-US" w:eastAsia="en-US"/>
    </w:rPr>
  </w:style>
  <w:style w:type="paragraph" w:styleId="929">
    <w:name w:val="Заголовок 5"/>
    <w:basedOn w:val="924"/>
    <w:next w:val="924"/>
    <w:link w:val="941"/>
    <w:qFormat/>
    <w:pPr>
      <w:jc w:val="both"/>
      <w:spacing w:before="240" w:after="60"/>
      <w:outlineLvl w:val="4"/>
    </w:pPr>
    <w:rPr>
      <w:sz w:val="22"/>
      <w:szCs w:val="20"/>
      <w:lang w:val="en-US" w:eastAsia="en-US"/>
    </w:rPr>
  </w:style>
  <w:style w:type="paragraph" w:styleId="930">
    <w:name w:val="Заголовок 6"/>
    <w:basedOn w:val="924"/>
    <w:next w:val="924"/>
    <w:link w:val="942"/>
    <w:qFormat/>
    <w:pPr>
      <w:jc w:val="both"/>
      <w:spacing w:before="240" w:after="60"/>
      <w:outlineLvl w:val="5"/>
    </w:pPr>
    <w:rPr>
      <w:i/>
      <w:sz w:val="22"/>
      <w:szCs w:val="20"/>
      <w:lang w:val="en-US" w:eastAsia="en-US"/>
    </w:rPr>
  </w:style>
  <w:style w:type="paragraph" w:styleId="931">
    <w:name w:val="Заголовок 7"/>
    <w:basedOn w:val="924"/>
    <w:next w:val="924"/>
    <w:link w:val="943"/>
    <w:qFormat/>
    <w:pPr>
      <w:jc w:val="both"/>
      <w:spacing w:before="240" w:after="60"/>
      <w:outlineLvl w:val="6"/>
    </w:pPr>
    <w:rPr>
      <w:rFonts w:ascii="Arial" w:hAnsi="Arial"/>
      <w:sz w:val="20"/>
      <w:szCs w:val="20"/>
      <w:lang w:val="en-US" w:eastAsia="en-US"/>
    </w:rPr>
  </w:style>
  <w:style w:type="paragraph" w:styleId="932">
    <w:name w:val="Заголовок 8"/>
    <w:basedOn w:val="924"/>
    <w:next w:val="924"/>
    <w:link w:val="944"/>
    <w:qFormat/>
    <w:pPr>
      <w:jc w:val="both"/>
      <w:spacing w:before="240" w:after="60"/>
      <w:outlineLvl w:val="7"/>
    </w:pPr>
    <w:rPr>
      <w:rFonts w:ascii="Arial" w:hAnsi="Arial"/>
      <w:i/>
      <w:sz w:val="20"/>
      <w:szCs w:val="20"/>
      <w:lang w:val="en-US" w:eastAsia="en-US"/>
    </w:rPr>
  </w:style>
  <w:style w:type="paragraph" w:styleId="933">
    <w:name w:val="Заголовок 9"/>
    <w:basedOn w:val="924"/>
    <w:next w:val="924"/>
    <w:link w:val="945"/>
    <w:qFormat/>
    <w:pPr>
      <w:jc w:val="both"/>
      <w:spacing w:before="240" w:after="60"/>
      <w:outlineLvl w:val="8"/>
    </w:pPr>
    <w:rPr>
      <w:rFonts w:ascii="Arial" w:hAnsi="Arial"/>
      <w:b/>
      <w:i/>
      <w:sz w:val="18"/>
      <w:szCs w:val="20"/>
      <w:lang w:val="en-US" w:eastAsia="en-US"/>
    </w:rPr>
  </w:style>
  <w:style w:type="character" w:styleId="934">
    <w:name w:val="Основной шрифт абзаца"/>
    <w:next w:val="934"/>
    <w:link w:val="924"/>
    <w:uiPriority w:val="1"/>
    <w:unhideWhenUsed/>
  </w:style>
  <w:style w:type="table" w:styleId="935">
    <w:name w:val="Обычная таблица"/>
    <w:next w:val="935"/>
    <w:link w:val="924"/>
    <w:uiPriority w:val="99"/>
    <w:semiHidden/>
    <w:unhideWhenUsed/>
    <w:qFormat/>
    <w:tblPr/>
  </w:style>
  <w:style w:type="numbering" w:styleId="936">
    <w:name w:val="Нет списка"/>
    <w:next w:val="936"/>
    <w:link w:val="924"/>
    <w:uiPriority w:val="99"/>
    <w:semiHidden/>
    <w:unhideWhenUsed/>
  </w:style>
  <w:style w:type="character" w:styleId="937">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37"/>
    <w:link w:val="925"/>
    <w:uiPriority w:val="99"/>
    <w:rPr>
      <w:b/>
      <w:sz w:val="36"/>
    </w:rPr>
  </w:style>
  <w:style w:type="character" w:styleId="938">
    <w:name w:val="Заголовок 2 Знак"/>
    <w:next w:val="938"/>
    <w:link w:val="926"/>
    <w:rPr>
      <w:b/>
      <w:bCs/>
      <w:sz w:val="24"/>
      <w:szCs w:val="24"/>
    </w:rPr>
  </w:style>
  <w:style w:type="character" w:styleId="939">
    <w:name w:val="Заголовок 3 Знак1"/>
    <w:next w:val="939"/>
    <w:link w:val="927"/>
    <w:rPr>
      <w:rFonts w:ascii="Arial" w:hAnsi="Arial"/>
      <w:b/>
      <w:sz w:val="24"/>
    </w:rPr>
  </w:style>
  <w:style w:type="character" w:styleId="940">
    <w:name w:val="Заголовок 4 Знак"/>
    <w:next w:val="940"/>
    <w:link w:val="928"/>
    <w:rPr>
      <w:rFonts w:ascii="Arial" w:hAnsi="Arial"/>
      <w:sz w:val="24"/>
    </w:rPr>
  </w:style>
  <w:style w:type="character" w:styleId="941">
    <w:name w:val="Заголовок 5 Знак"/>
    <w:next w:val="941"/>
    <w:link w:val="929"/>
    <w:rPr>
      <w:sz w:val="22"/>
    </w:rPr>
  </w:style>
  <w:style w:type="character" w:styleId="942">
    <w:name w:val="Заголовок 6 Знак"/>
    <w:next w:val="942"/>
    <w:link w:val="930"/>
    <w:rPr>
      <w:i/>
      <w:sz w:val="22"/>
    </w:rPr>
  </w:style>
  <w:style w:type="character" w:styleId="943">
    <w:name w:val="Заголовок 7 Знак"/>
    <w:next w:val="943"/>
    <w:link w:val="931"/>
    <w:rPr>
      <w:rFonts w:ascii="Arial" w:hAnsi="Arial"/>
    </w:rPr>
  </w:style>
  <w:style w:type="character" w:styleId="944">
    <w:name w:val="Заголовок 8 Знак"/>
    <w:next w:val="944"/>
    <w:link w:val="932"/>
    <w:rPr>
      <w:rFonts w:ascii="Arial" w:hAnsi="Arial"/>
      <w:i/>
    </w:rPr>
  </w:style>
  <w:style w:type="character" w:styleId="945">
    <w:name w:val="Заголовок 9 Знак"/>
    <w:next w:val="945"/>
    <w:link w:val="933"/>
    <w:rPr>
      <w:rFonts w:ascii="Arial" w:hAnsi="Arial"/>
      <w:b/>
      <w:i/>
      <w:sz w:val="18"/>
    </w:rPr>
  </w:style>
  <w:style w:type="paragraph" w:styleId="946">
    <w:name w:val="Основной текст с отступом"/>
    <w:basedOn w:val="924"/>
    <w:next w:val="946"/>
    <w:link w:val="947"/>
    <w:pPr>
      <w:ind w:left="5760"/>
    </w:pPr>
    <w:rPr>
      <w:lang w:val="en-US" w:eastAsia="en-US"/>
    </w:rPr>
  </w:style>
  <w:style w:type="character" w:styleId="947">
    <w:name w:val="Основной текст с отступом Знак"/>
    <w:next w:val="947"/>
    <w:link w:val="946"/>
    <w:rPr>
      <w:sz w:val="24"/>
      <w:szCs w:val="24"/>
    </w:rPr>
  </w:style>
  <w:style w:type="paragraph" w:styleId="948">
    <w:name w:val="Стиль1"/>
    <w:basedOn w:val="924"/>
    <w:next w:val="948"/>
    <w:link w:val="924"/>
    <w:pPr>
      <w:numPr>
        <w:ilvl w:val="0"/>
        <w:numId w:val="2"/>
      </w:numPr>
      <w:keepLines/>
      <w:keepNext/>
      <w:spacing w:after="60"/>
      <w:widowControl w:val="off"/>
      <w:suppressLineNumbers/>
    </w:pPr>
    <w:rPr>
      <w:b/>
      <w:sz w:val="28"/>
    </w:rPr>
  </w:style>
  <w:style w:type="paragraph" w:styleId="949">
    <w:name w:val="Стиль2"/>
    <w:basedOn w:val="950"/>
    <w:next w:val="949"/>
    <w:link w:val="924"/>
    <w:pPr>
      <w:numPr>
        <w:ilvl w:val="1"/>
        <w:numId w:val="2"/>
      </w:numPr>
      <w:keepLines/>
      <w:keepNext/>
      <w:spacing w:after="60"/>
      <w:widowControl w:val="off"/>
      <w:suppressLineNumbers/>
    </w:pPr>
    <w:rPr>
      <w:b/>
      <w:szCs w:val="20"/>
    </w:rPr>
  </w:style>
  <w:style w:type="paragraph" w:styleId="950">
    <w:name w:val="Нумерованный список 2"/>
    <w:basedOn w:val="924"/>
    <w:next w:val="950"/>
    <w:link w:val="924"/>
    <w:pPr>
      <w:numPr>
        <w:ilvl w:val="0"/>
        <w:numId w:val="1"/>
      </w:numPr>
    </w:pPr>
  </w:style>
  <w:style w:type="paragraph" w:styleId="951">
    <w:name w:val="Стиль3 Знак"/>
    <w:basedOn w:val="952"/>
    <w:next w:val="951"/>
    <w:link w:val="924"/>
    <w:pPr>
      <w:numPr>
        <w:ilvl w:val="2"/>
        <w:numId w:val="2"/>
      </w:numPr>
      <w:spacing w:after="0" w:line="240" w:lineRule="auto"/>
      <w:widowControl w:val="off"/>
    </w:pPr>
    <w:rPr>
      <w:szCs w:val="20"/>
    </w:rPr>
  </w:style>
  <w:style w:type="paragraph" w:styleId="952">
    <w:name w:val="Основной текст с отступом 2"/>
    <w:basedOn w:val="924"/>
    <w:next w:val="952"/>
    <w:link w:val="953"/>
    <w:pPr>
      <w:ind w:left="283"/>
      <w:spacing w:after="120" w:line="480" w:lineRule="auto"/>
    </w:pPr>
    <w:rPr>
      <w:lang w:val="en-US" w:eastAsia="en-US"/>
    </w:rPr>
  </w:style>
  <w:style w:type="character" w:styleId="953">
    <w:name w:val="Основной текст с отступом 2 Знак"/>
    <w:next w:val="953"/>
    <w:link w:val="952"/>
    <w:rPr>
      <w:sz w:val="24"/>
      <w:szCs w:val="24"/>
    </w:rPr>
  </w:style>
  <w:style w:type="paragraph" w:styleId="954">
    <w:name w:val="ConsNormal"/>
    <w:next w:val="954"/>
    <w:link w:val="924"/>
    <w:pPr>
      <w:ind w:left="709" w:right="19772" w:firstLine="720"/>
      <w:jc w:val="both"/>
      <w:widowControl w:val="off"/>
    </w:pPr>
    <w:rPr>
      <w:rFonts w:ascii="Arial" w:hAnsi="Arial" w:cs="Arial"/>
      <w:lang w:val="ru-RU" w:eastAsia="ru-RU" w:bidi="ar-SA"/>
    </w:rPr>
  </w:style>
  <w:style w:type="character" w:styleId="955">
    <w:name w:val="Гиперссылка"/>
    <w:next w:val="955"/>
    <w:link w:val="924"/>
    <w:rPr>
      <w:color w:val="0000ff"/>
      <w:u w:val="single"/>
    </w:rPr>
  </w:style>
  <w:style w:type="paragraph" w:styleId="956">
    <w:name w:val="Оглавление 2"/>
    <w:basedOn w:val="924"/>
    <w:next w:val="924"/>
    <w:link w:val="924"/>
    <w:uiPriority w:val="39"/>
    <w:pPr>
      <w:ind w:left="240"/>
      <w:jc w:val="left"/>
      <w:tabs>
        <w:tab w:val="left" w:pos="720" w:leader="none"/>
        <w:tab w:val="right" w:pos="9720" w:leader="dot"/>
      </w:tabs>
    </w:pPr>
    <w:rPr>
      <w:smallCaps/>
      <w:sz w:val="20"/>
      <w:szCs w:val="20"/>
    </w:rPr>
  </w:style>
  <w:style w:type="paragraph" w:styleId="957">
    <w:name w:val="Маркированный список 2"/>
    <w:basedOn w:val="924"/>
    <w:next w:val="957"/>
    <w:link w:val="924"/>
    <w:pPr>
      <w:numPr>
        <w:ilvl w:val="0"/>
        <w:numId w:val="3"/>
      </w:numPr>
      <w:spacing w:after="60"/>
    </w:pPr>
    <w:rPr>
      <w:szCs w:val="20"/>
    </w:rPr>
  </w:style>
  <w:style w:type="paragraph" w:styleId="958">
    <w:name w:val="Основной текст с отступом 3"/>
    <w:basedOn w:val="924"/>
    <w:next w:val="958"/>
    <w:link w:val="959"/>
    <w:pPr>
      <w:ind w:left="720"/>
      <w:jc w:val="both"/>
      <w:keepLines/>
      <w:keepNext/>
      <w:widowControl w:val="off"/>
      <w:tabs>
        <w:tab w:val="num" w:pos="252" w:leader="none"/>
      </w:tabs>
      <w:suppressLineNumbers/>
    </w:pPr>
    <w:rPr>
      <w:lang w:val="en-US" w:eastAsia="en-US"/>
    </w:rPr>
  </w:style>
  <w:style w:type="character" w:styleId="959">
    <w:name w:val="Основной текст с отступом 3 Знак"/>
    <w:next w:val="959"/>
    <w:link w:val="958"/>
    <w:rPr>
      <w:sz w:val="24"/>
      <w:szCs w:val="24"/>
    </w:rPr>
  </w:style>
  <w:style w:type="paragraph" w:styleId="960">
    <w:name w:val="Оглавление 1"/>
    <w:basedOn w:val="924"/>
    <w:next w:val="924"/>
    <w:link w:val="924"/>
    <w:uiPriority w:val="39"/>
    <w:pPr>
      <w:keepLines/>
      <w:keepNext/>
      <w:spacing w:before="120" w:after="120"/>
      <w:widowControl w:val="off"/>
      <w:tabs>
        <w:tab w:val="right" w:pos="9720" w:leader="dot"/>
      </w:tabs>
      <w:suppressLineNumbers/>
    </w:pPr>
    <w:rPr>
      <w:bCs/>
      <w:caps/>
    </w:rPr>
  </w:style>
  <w:style w:type="paragraph" w:styleId="961">
    <w:name w:val="Оглавление 3"/>
    <w:basedOn w:val="924"/>
    <w:next w:val="924"/>
    <w:link w:val="924"/>
    <w:uiPriority w:val="39"/>
    <w:pPr>
      <w:ind w:left="480"/>
      <w:jc w:val="left"/>
      <w:tabs>
        <w:tab w:val="left" w:pos="1200" w:leader="none"/>
        <w:tab w:val="right" w:pos="9720" w:leader="dot"/>
      </w:tabs>
    </w:pPr>
    <w:rPr>
      <w:i/>
      <w:iCs/>
      <w:sz w:val="20"/>
      <w:szCs w:val="20"/>
    </w:rPr>
  </w:style>
  <w:style w:type="paragraph" w:styleId="962">
    <w:name w:val="Оглавление 4"/>
    <w:basedOn w:val="924"/>
    <w:next w:val="924"/>
    <w:link w:val="924"/>
    <w:pPr>
      <w:ind w:left="720"/>
    </w:pPr>
    <w:rPr>
      <w:sz w:val="18"/>
      <w:szCs w:val="18"/>
    </w:rPr>
  </w:style>
  <w:style w:type="paragraph" w:styleId="963">
    <w:name w:val="Оглавление 5"/>
    <w:basedOn w:val="924"/>
    <w:next w:val="924"/>
    <w:link w:val="924"/>
    <w:pPr>
      <w:ind w:left="960"/>
    </w:pPr>
    <w:rPr>
      <w:sz w:val="18"/>
      <w:szCs w:val="18"/>
    </w:rPr>
  </w:style>
  <w:style w:type="paragraph" w:styleId="964">
    <w:name w:val="Оглавление 6"/>
    <w:basedOn w:val="924"/>
    <w:next w:val="924"/>
    <w:link w:val="924"/>
    <w:pPr>
      <w:ind w:left="1200"/>
    </w:pPr>
    <w:rPr>
      <w:sz w:val="18"/>
      <w:szCs w:val="18"/>
    </w:rPr>
  </w:style>
  <w:style w:type="paragraph" w:styleId="965">
    <w:name w:val="Оглавление 7"/>
    <w:basedOn w:val="924"/>
    <w:next w:val="924"/>
    <w:link w:val="924"/>
    <w:pPr>
      <w:ind w:left="1440"/>
    </w:pPr>
    <w:rPr>
      <w:sz w:val="18"/>
      <w:szCs w:val="18"/>
    </w:rPr>
  </w:style>
  <w:style w:type="paragraph" w:styleId="966">
    <w:name w:val="Оглавление 8"/>
    <w:basedOn w:val="924"/>
    <w:next w:val="924"/>
    <w:link w:val="924"/>
    <w:pPr>
      <w:ind w:left="1680"/>
    </w:pPr>
    <w:rPr>
      <w:sz w:val="18"/>
      <w:szCs w:val="18"/>
    </w:rPr>
  </w:style>
  <w:style w:type="paragraph" w:styleId="967">
    <w:name w:val="Оглавление 9"/>
    <w:basedOn w:val="924"/>
    <w:next w:val="924"/>
    <w:link w:val="924"/>
    <w:pPr>
      <w:ind w:left="1920"/>
    </w:pPr>
    <w:rPr>
      <w:sz w:val="18"/>
      <w:szCs w:val="18"/>
    </w:rPr>
  </w:style>
  <w:style w:type="paragraph" w:styleId="968">
    <w:name w:val="Текст"/>
    <w:basedOn w:val="924"/>
    <w:next w:val="968"/>
    <w:link w:val="969"/>
    <w:rPr>
      <w:rFonts w:ascii="Courier New" w:hAnsi="Courier New"/>
      <w:sz w:val="20"/>
      <w:szCs w:val="20"/>
      <w:lang w:val="en-US" w:eastAsia="en-US"/>
    </w:rPr>
  </w:style>
  <w:style w:type="character" w:styleId="969">
    <w:name w:val="Текст Знак"/>
    <w:next w:val="969"/>
    <w:link w:val="968"/>
    <w:rPr>
      <w:rFonts w:ascii="Courier New" w:hAnsi="Courier New" w:cs="Courier New"/>
    </w:rPr>
  </w:style>
  <w:style w:type="paragraph" w:styleId="970">
    <w:name w:val="Основной текст 2"/>
    <w:basedOn w:val="924"/>
    <w:next w:val="970"/>
    <w:link w:val="971"/>
    <w:pPr>
      <w:numPr>
        <w:ilvl w:val="1"/>
        <w:numId w:val="13"/>
      </w:numPr>
      <w:spacing w:after="60"/>
    </w:pPr>
    <w:rPr>
      <w:szCs w:val="20"/>
      <w:lang w:val="en-US" w:eastAsia="en-US"/>
    </w:rPr>
  </w:style>
  <w:style w:type="character" w:styleId="971">
    <w:name w:val="Основной текст 2 Знак"/>
    <w:next w:val="971"/>
    <w:link w:val="970"/>
    <w:rPr>
      <w:sz w:val="24"/>
      <w:lang w:val="en-US" w:eastAsia="en-US" w:bidi="ar-SA"/>
    </w:rPr>
  </w:style>
  <w:style w:type="paragraph" w:styleId="972">
    <w:name w:val="Маркированный список 3"/>
    <w:basedOn w:val="924"/>
    <w:next w:val="972"/>
    <w:link w:val="924"/>
    <w:pPr>
      <w:numPr>
        <w:ilvl w:val="0"/>
        <w:numId w:val="4"/>
      </w:numPr>
      <w:spacing w:after="60"/>
    </w:pPr>
    <w:rPr>
      <w:szCs w:val="20"/>
    </w:rPr>
  </w:style>
  <w:style w:type="paragraph" w:styleId="973">
    <w:name w:val="Маркированный список 4"/>
    <w:basedOn w:val="924"/>
    <w:next w:val="973"/>
    <w:link w:val="924"/>
    <w:pPr>
      <w:numPr>
        <w:ilvl w:val="0"/>
        <w:numId w:val="4"/>
      </w:numPr>
      <w:ind w:left="1209"/>
      <w:spacing w:after="60"/>
      <w:tabs>
        <w:tab w:val="clear" w:pos="926" w:leader="none"/>
        <w:tab w:val="num" w:pos="1209" w:leader="none"/>
      </w:tabs>
    </w:pPr>
    <w:rPr>
      <w:szCs w:val="20"/>
    </w:rPr>
  </w:style>
  <w:style w:type="paragraph" w:styleId="974">
    <w:name w:val="Маркированный список 5"/>
    <w:basedOn w:val="924"/>
    <w:next w:val="974"/>
    <w:link w:val="924"/>
    <w:pPr>
      <w:numPr>
        <w:ilvl w:val="0"/>
        <w:numId w:val="5"/>
      </w:numPr>
      <w:ind w:left="1492"/>
      <w:spacing w:after="60"/>
      <w:tabs>
        <w:tab w:val="clear" w:pos="1209" w:leader="none"/>
        <w:tab w:val="num" w:pos="1492" w:leader="none"/>
      </w:tabs>
    </w:pPr>
    <w:rPr>
      <w:szCs w:val="20"/>
    </w:rPr>
  </w:style>
  <w:style w:type="paragraph" w:styleId="975">
    <w:name w:val="Нумерованный список"/>
    <w:basedOn w:val="924"/>
    <w:next w:val="975"/>
    <w:link w:val="924"/>
    <w:pPr>
      <w:numPr>
        <w:ilvl w:val="0"/>
        <w:numId w:val="6"/>
      </w:numPr>
      <w:ind w:left="360"/>
      <w:spacing w:after="60"/>
      <w:tabs>
        <w:tab w:val="num" w:pos="360" w:leader="none"/>
        <w:tab w:val="clear" w:pos="1492" w:leader="none"/>
      </w:tabs>
    </w:pPr>
    <w:rPr>
      <w:szCs w:val="20"/>
    </w:rPr>
  </w:style>
  <w:style w:type="paragraph" w:styleId="976">
    <w:name w:val="Нумерованный список 3"/>
    <w:basedOn w:val="924"/>
    <w:next w:val="976"/>
    <w:link w:val="924"/>
    <w:pPr>
      <w:numPr>
        <w:ilvl w:val="0"/>
        <w:numId w:val="7"/>
      </w:numPr>
      <w:ind w:left="926"/>
      <w:spacing w:after="60"/>
      <w:tabs>
        <w:tab w:val="clear" w:pos="360" w:leader="none"/>
        <w:tab w:val="num" w:pos="926" w:leader="none"/>
      </w:tabs>
    </w:pPr>
    <w:rPr>
      <w:szCs w:val="20"/>
    </w:rPr>
  </w:style>
  <w:style w:type="paragraph" w:styleId="977">
    <w:name w:val="Нумерованный список 4"/>
    <w:basedOn w:val="924"/>
    <w:next w:val="977"/>
    <w:link w:val="924"/>
    <w:pPr>
      <w:numPr>
        <w:ilvl w:val="0"/>
        <w:numId w:val="8"/>
      </w:numPr>
      <w:ind w:left="1209"/>
      <w:spacing w:after="60"/>
      <w:tabs>
        <w:tab w:val="clear" w:pos="926" w:leader="none"/>
        <w:tab w:val="num" w:pos="1209" w:leader="none"/>
      </w:tabs>
    </w:pPr>
    <w:rPr>
      <w:szCs w:val="20"/>
    </w:rPr>
  </w:style>
  <w:style w:type="paragraph" w:styleId="978">
    <w:name w:val="Нумерованный список 5"/>
    <w:basedOn w:val="924"/>
    <w:next w:val="978"/>
    <w:link w:val="924"/>
    <w:pPr>
      <w:numPr>
        <w:ilvl w:val="0"/>
        <w:numId w:val="9"/>
      </w:numPr>
      <w:ind w:left="1492"/>
      <w:spacing w:after="60"/>
      <w:tabs>
        <w:tab w:val="clear" w:pos="1209" w:leader="none"/>
        <w:tab w:val="num" w:pos="1492" w:leader="none"/>
      </w:tabs>
    </w:pPr>
    <w:rPr>
      <w:szCs w:val="20"/>
    </w:rPr>
  </w:style>
  <w:style w:type="paragraph" w:styleId="979">
    <w:name w:val="Раздел"/>
    <w:basedOn w:val="924"/>
    <w:next w:val="979"/>
    <w:link w:val="924"/>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980">
    <w:name w:val="Раздел 3"/>
    <w:basedOn w:val="924"/>
    <w:next w:val="980"/>
    <w:link w:val="924"/>
    <w:semiHidden/>
    <w:pPr>
      <w:numPr>
        <w:ilvl w:val="1"/>
        <w:numId w:val="11"/>
      </w:numPr>
      <w:ind w:left="360" w:hanging="360"/>
      <w:jc w:val="center"/>
      <w:spacing w:before="120" w:after="120"/>
      <w:tabs>
        <w:tab w:val="num" w:pos="360" w:leader="none"/>
        <w:tab w:val="clear" w:pos="1440" w:leader="none"/>
      </w:tabs>
    </w:pPr>
    <w:rPr>
      <w:b/>
      <w:szCs w:val="20"/>
    </w:rPr>
  </w:style>
  <w:style w:type="paragraph" w:styleId="981">
    <w:name w:val="Условия контракта"/>
    <w:basedOn w:val="924"/>
    <w:next w:val="981"/>
    <w:link w:val="924"/>
    <w:semiHidden/>
    <w:pPr>
      <w:numPr>
        <w:ilvl w:val="0"/>
        <w:numId w:val="13"/>
      </w:numPr>
      <w:spacing w:before="240" w:after="120"/>
    </w:pPr>
    <w:rPr>
      <w:b/>
      <w:szCs w:val="20"/>
    </w:rPr>
  </w:style>
  <w:style w:type="paragraph" w:styleId="982">
    <w:name w:val="Instruction"/>
    <w:basedOn w:val="970"/>
    <w:next w:val="982"/>
    <w:link w:val="924"/>
    <w:semiHidden/>
    <w:pPr>
      <w:numPr>
        <w:ilvl w:val="0"/>
        <w:numId w:val="12"/>
      </w:numPr>
      <w:spacing w:before="180"/>
    </w:pPr>
    <w:rPr>
      <w:b/>
    </w:rPr>
  </w:style>
  <w:style w:type="paragraph" w:styleId="983">
    <w:name w:val="Обычный (веб),Обычный (Web),Обычный (веб)1,Обычный (Web)1"/>
    <w:basedOn w:val="924"/>
    <w:next w:val="983"/>
    <w:link w:val="924"/>
    <w:pPr>
      <w:numPr>
        <w:ilvl w:val="0"/>
        <w:numId w:val="13"/>
      </w:numPr>
      <w:ind w:left="0" w:firstLine="0"/>
      <w:spacing w:before="100" w:beforeAutospacing="1" w:after="100" w:afterAutospacing="1"/>
      <w:tabs>
        <w:tab w:val="clear" w:pos="567" w:leader="none"/>
      </w:tabs>
    </w:pPr>
  </w:style>
  <w:style w:type="character" w:styleId="984">
    <w:name w:val="Номер страницы"/>
    <w:next w:val="984"/>
    <w:link w:val="924"/>
    <w:rPr>
      <w:rFonts w:ascii="Times New Roman" w:hAnsi="Times New Roman"/>
    </w:rPr>
  </w:style>
  <w:style w:type="paragraph" w:styleId="985">
    <w:name w:val="Стиль3"/>
    <w:basedOn w:val="952"/>
    <w:next w:val="985"/>
    <w:link w:val="924"/>
    <w:pPr>
      <w:ind w:left="1080"/>
      <w:jc w:val="both"/>
      <w:spacing w:after="0" w:line="240" w:lineRule="auto"/>
      <w:widowControl w:val="off"/>
      <w:tabs>
        <w:tab w:val="num" w:pos="1307" w:leader="none"/>
      </w:tabs>
    </w:pPr>
    <w:rPr>
      <w:szCs w:val="20"/>
    </w:rPr>
  </w:style>
  <w:style w:type="paragraph" w:styleId="986">
    <w:name w:val="содержание2-11"/>
    <w:basedOn w:val="924"/>
    <w:next w:val="986"/>
    <w:link w:val="924"/>
    <w:pPr>
      <w:jc w:val="both"/>
      <w:spacing w:after="60"/>
    </w:pPr>
  </w:style>
  <w:style w:type="paragraph" w:styleId="987">
    <w:name w:val="Маркированный список"/>
    <w:basedOn w:val="924"/>
    <w:next w:val="987"/>
    <w:link w:val="924"/>
    <w:pPr>
      <w:jc w:val="both"/>
      <w:spacing w:after="60"/>
      <w:widowControl w:val="off"/>
    </w:pPr>
  </w:style>
  <w:style w:type="paragraph" w:styleId="988">
    <w:name w:val="Тендерные данные"/>
    <w:basedOn w:val="924"/>
    <w:next w:val="988"/>
    <w:link w:val="924"/>
    <w:semiHidden/>
    <w:pPr>
      <w:jc w:val="both"/>
      <w:spacing w:before="120" w:after="60"/>
      <w:tabs>
        <w:tab w:val="left" w:pos="1985" w:leader="none"/>
      </w:tabs>
    </w:pPr>
    <w:rPr>
      <w:b/>
      <w:szCs w:val="20"/>
    </w:rPr>
  </w:style>
  <w:style w:type="paragraph" w:styleId="989">
    <w:name w:val="Заголовок 2 со списком"/>
    <w:basedOn w:val="926"/>
    <w:next w:val="924"/>
    <w:link w:val="990"/>
    <w:pPr>
      <w:numPr>
        <w:ilvl w:val="0"/>
        <w:numId w:val="14"/>
      </w:numPr>
      <w:spacing w:line="360" w:lineRule="auto"/>
    </w:pPr>
    <w:rPr>
      <w:b w:val="0"/>
    </w:rPr>
  </w:style>
  <w:style w:type="character" w:styleId="990">
    <w:name w:val="Заголовок 2 со списком Знак"/>
    <w:next w:val="990"/>
    <w:link w:val="989"/>
    <w:rPr>
      <w:bCs/>
      <w:sz w:val="24"/>
      <w:szCs w:val="24"/>
      <w:lang w:val="en-US" w:eastAsia="en-US" w:bidi="ar-SA"/>
    </w:rPr>
  </w:style>
  <w:style w:type="paragraph" w:styleId="991">
    <w:name w:val="Заголовок 3 со списком"/>
    <w:basedOn w:val="927"/>
    <w:next w:val="991"/>
    <w:link w:val="992"/>
    <w:pPr>
      <w:numPr>
        <w:ilvl w:val="1"/>
        <w:numId w:val="14"/>
      </w:numPr>
    </w:pPr>
  </w:style>
  <w:style w:type="character" w:styleId="992">
    <w:name w:val="Заголовок 3 со списком Знак"/>
    <w:next w:val="992"/>
    <w:link w:val="991"/>
    <w:rPr>
      <w:rFonts w:ascii="Arial" w:hAnsi="Arial"/>
      <w:b/>
      <w:sz w:val="24"/>
      <w:lang w:val="en-US" w:eastAsia="en-US" w:bidi="ar-SA"/>
    </w:rPr>
  </w:style>
  <w:style w:type="paragraph" w:styleId="993">
    <w:name w:val="Нижний колонтитул"/>
    <w:basedOn w:val="924"/>
    <w:next w:val="993"/>
    <w:link w:val="994"/>
    <w:uiPriority w:val="99"/>
    <w:pPr>
      <w:tabs>
        <w:tab w:val="center" w:pos="4677" w:leader="none"/>
        <w:tab w:val="right" w:pos="9355" w:leader="none"/>
      </w:tabs>
    </w:pPr>
    <w:rPr>
      <w:lang w:val="en-US" w:eastAsia="en-US"/>
    </w:rPr>
  </w:style>
  <w:style w:type="character" w:styleId="994">
    <w:name w:val="Нижний колонтитул Знак"/>
    <w:next w:val="994"/>
    <w:link w:val="993"/>
    <w:uiPriority w:val="99"/>
    <w:rPr>
      <w:sz w:val="24"/>
      <w:szCs w:val="24"/>
    </w:rPr>
  </w:style>
  <w:style w:type="paragraph" w:styleId="995">
    <w:name w:val="Верхний колонтитул"/>
    <w:basedOn w:val="924"/>
    <w:next w:val="995"/>
    <w:link w:val="996"/>
    <w:pPr>
      <w:tabs>
        <w:tab w:val="center" w:pos="4677" w:leader="none"/>
        <w:tab w:val="right" w:pos="9355" w:leader="none"/>
      </w:tabs>
    </w:pPr>
    <w:rPr>
      <w:lang w:val="en-US" w:eastAsia="en-US"/>
    </w:rPr>
  </w:style>
  <w:style w:type="character" w:styleId="996">
    <w:name w:val="Верхний колонтитул Знак"/>
    <w:next w:val="996"/>
    <w:link w:val="995"/>
    <w:rPr>
      <w:sz w:val="24"/>
      <w:szCs w:val="24"/>
    </w:rPr>
  </w:style>
  <w:style w:type="paragraph" w:styleId="997">
    <w:name w:val="Основной текст"/>
    <w:basedOn w:val="924"/>
    <w:next w:val="997"/>
    <w:link w:val="998"/>
    <w:pPr>
      <w:spacing w:after="120"/>
    </w:pPr>
    <w:rPr>
      <w:lang w:val="en-US" w:eastAsia="en-US"/>
    </w:rPr>
  </w:style>
  <w:style w:type="character" w:styleId="998">
    <w:name w:val="Основной текст Знак"/>
    <w:next w:val="998"/>
    <w:link w:val="997"/>
    <w:rPr>
      <w:sz w:val="24"/>
      <w:szCs w:val="24"/>
    </w:rPr>
  </w:style>
  <w:style w:type="paragraph" w:styleId="999">
    <w:name w:val="Основной текст 3"/>
    <w:basedOn w:val="924"/>
    <w:next w:val="999"/>
    <w:link w:val="1000"/>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00">
    <w:name w:val="Основной текст 3 Знак"/>
    <w:next w:val="1000"/>
    <w:link w:val="999"/>
    <w:rPr>
      <w:b/>
      <w:i/>
      <w:sz w:val="22"/>
      <w:szCs w:val="24"/>
    </w:rPr>
  </w:style>
  <w:style w:type="character" w:styleId="1001">
    <w:name w:val="Основной шрифт"/>
    <w:next w:val="1001"/>
    <w:link w:val="924"/>
    <w:semiHidden/>
  </w:style>
  <w:style w:type="paragraph" w:styleId="1002">
    <w:name w:val="текст таблицы"/>
    <w:basedOn w:val="924"/>
    <w:next w:val="1002"/>
    <w:link w:val="924"/>
    <w:pPr>
      <w:ind w:right="-102"/>
      <w:spacing w:before="120"/>
    </w:pPr>
  </w:style>
  <w:style w:type="character" w:styleId="1003">
    <w:name w:val="Просмотренная гиперссылка"/>
    <w:next w:val="1003"/>
    <w:link w:val="924"/>
    <w:rPr>
      <w:color w:val="800080"/>
      <w:u w:val="single"/>
    </w:rPr>
  </w:style>
  <w:style w:type="paragraph" w:styleId="1004">
    <w:name w:val="ТЛ_Заказчик"/>
    <w:basedOn w:val="924"/>
    <w:next w:val="1004"/>
    <w:link w:val="1005"/>
    <w:qFormat/>
    <w:pPr>
      <w:jc w:val="center"/>
    </w:pPr>
    <w:rPr>
      <w:sz w:val="28"/>
      <w:szCs w:val="28"/>
      <w:lang w:val="en-US" w:eastAsia="en-US"/>
    </w:rPr>
  </w:style>
  <w:style w:type="character" w:styleId="1005">
    <w:name w:val="ТЛ_Заказчик Знак"/>
    <w:next w:val="1005"/>
    <w:link w:val="1004"/>
    <w:rPr>
      <w:sz w:val="28"/>
      <w:szCs w:val="28"/>
    </w:rPr>
  </w:style>
  <w:style w:type="paragraph" w:styleId="1006">
    <w:name w:val="ТЛ_Утверждаю"/>
    <w:basedOn w:val="924"/>
    <w:next w:val="1006"/>
    <w:link w:val="1007"/>
    <w:qFormat/>
    <w:pPr>
      <w:ind w:left="4860"/>
      <w:jc w:val="center"/>
    </w:pPr>
    <w:rPr>
      <w:sz w:val="28"/>
      <w:szCs w:val="28"/>
      <w:lang w:val="en-US" w:eastAsia="en-US"/>
    </w:rPr>
  </w:style>
  <w:style w:type="character" w:styleId="1007">
    <w:name w:val="ТЛ_Утверждаю Знак"/>
    <w:next w:val="1007"/>
    <w:link w:val="1006"/>
    <w:rPr>
      <w:sz w:val="28"/>
      <w:szCs w:val="28"/>
    </w:rPr>
  </w:style>
  <w:style w:type="paragraph" w:styleId="1008">
    <w:name w:val="ТЛ_Название"/>
    <w:basedOn w:val="924"/>
    <w:next w:val="1008"/>
    <w:link w:val="1009"/>
    <w:qFormat/>
    <w:pPr>
      <w:jc w:val="center"/>
    </w:pPr>
    <w:rPr>
      <w:b/>
      <w:sz w:val="28"/>
      <w:szCs w:val="28"/>
      <w:lang w:val="en-US" w:eastAsia="en-US"/>
    </w:rPr>
  </w:style>
  <w:style w:type="character" w:styleId="1009">
    <w:name w:val="ТЛ_Название Знак"/>
    <w:next w:val="1009"/>
    <w:link w:val="1008"/>
    <w:rPr>
      <w:b/>
      <w:sz w:val="28"/>
      <w:szCs w:val="28"/>
    </w:rPr>
  </w:style>
  <w:style w:type="paragraph" w:styleId="1010">
    <w:name w:val="ТЛ_Город и Дата"/>
    <w:basedOn w:val="924"/>
    <w:next w:val="1010"/>
    <w:link w:val="1011"/>
    <w:qFormat/>
    <w:pPr>
      <w:jc w:val="center"/>
    </w:pPr>
    <w:rPr>
      <w:sz w:val="28"/>
      <w:szCs w:val="28"/>
      <w:lang w:val="en-US" w:eastAsia="en-US"/>
    </w:rPr>
  </w:style>
  <w:style w:type="character" w:styleId="1011">
    <w:name w:val="ТЛ_Город и Дата Знак"/>
    <w:next w:val="1011"/>
    <w:link w:val="1010"/>
    <w:rPr>
      <w:sz w:val="28"/>
      <w:szCs w:val="28"/>
    </w:rPr>
  </w:style>
  <w:style w:type="paragraph" w:styleId="1012">
    <w:name w:val="АД_Наименование Разделов"/>
    <w:basedOn w:val="925"/>
    <w:next w:val="1012"/>
    <w:link w:val="1013"/>
    <w:qFormat/>
    <w:rPr>
      <w:sz w:val="28"/>
    </w:rPr>
  </w:style>
  <w:style w:type="character" w:styleId="1013">
    <w:name w:val="АД_Наименование Разделов Знак"/>
    <w:next w:val="1013"/>
    <w:link w:val="1012"/>
    <w:rPr>
      <w:b/>
      <w:sz w:val="28"/>
    </w:rPr>
  </w:style>
  <w:style w:type="paragraph" w:styleId="1014">
    <w:name w:val="АД_Наименование главы с нумерацией"/>
    <w:basedOn w:val="989"/>
    <w:next w:val="1014"/>
    <w:link w:val="924"/>
    <w:qFormat/>
    <w:rPr>
      <w:b/>
    </w:rPr>
  </w:style>
  <w:style w:type="paragraph" w:styleId="1015">
    <w:name w:val="АД_Наименование главы без нумерации"/>
    <w:basedOn w:val="926"/>
    <w:next w:val="1015"/>
    <w:link w:val="1016"/>
    <w:qFormat/>
    <w:pPr>
      <w:numPr>
        <w:ilvl w:val="0"/>
        <w:numId w:val="0"/>
      </w:numPr>
    </w:pPr>
  </w:style>
  <w:style w:type="character" w:styleId="1016">
    <w:name w:val="АД_Наименование главы без нумерации Знак"/>
    <w:basedOn w:val="938"/>
    <w:next w:val="1016"/>
    <w:link w:val="1015"/>
  </w:style>
  <w:style w:type="character" w:styleId="1017">
    <w:name w:val="АД_Глава Знак"/>
    <w:basedOn w:val="990"/>
    <w:next w:val="1017"/>
    <w:link w:val="1014"/>
  </w:style>
  <w:style w:type="paragraph" w:styleId="1018">
    <w:name w:val="АД_Нумерованный пункт"/>
    <w:basedOn w:val="991"/>
    <w:next w:val="1018"/>
    <w:link w:val="1019"/>
    <w:qFormat/>
    <w:pPr>
      <w:ind w:left="720" w:hanging="720"/>
      <w:tabs>
        <w:tab w:val="num" w:pos="720" w:leader="none"/>
        <w:tab w:val="clear" w:pos="972" w:leader="none"/>
      </w:tabs>
    </w:pPr>
    <w:rPr>
      <w:rFonts w:ascii="Times New Roman" w:hAnsi="Times New Roman"/>
    </w:rPr>
  </w:style>
  <w:style w:type="character" w:styleId="1019">
    <w:name w:val="АД_Нумерованный пункт Знак"/>
    <w:basedOn w:val="992"/>
    <w:next w:val="1019"/>
    <w:link w:val="1018"/>
  </w:style>
  <w:style w:type="paragraph" w:styleId="1020">
    <w:name w:val="АД_Нумерованный подпункт"/>
    <w:basedOn w:val="924"/>
    <w:next w:val="1020"/>
    <w:link w:val="1021"/>
    <w:qFormat/>
    <w:pPr>
      <w:numPr>
        <w:ilvl w:val="2"/>
        <w:numId w:val="14"/>
      </w:numPr>
      <w:ind w:left="720" w:hanging="720"/>
      <w:tabs>
        <w:tab w:val="left" w:pos="720" w:leader="none"/>
        <w:tab w:val="clear" w:pos="1440" w:leader="none"/>
      </w:tabs>
    </w:pPr>
    <w:rPr>
      <w:lang w:val="en-US" w:eastAsia="en-US"/>
    </w:rPr>
  </w:style>
  <w:style w:type="character" w:styleId="1021">
    <w:name w:val="АД_Нумерованный подпункт Знак"/>
    <w:next w:val="1021"/>
    <w:link w:val="1020"/>
    <w:rPr>
      <w:sz w:val="24"/>
      <w:szCs w:val="24"/>
      <w:lang w:val="en-US" w:eastAsia="en-US" w:bidi="ar-SA"/>
    </w:rPr>
  </w:style>
  <w:style w:type="paragraph" w:styleId="1022">
    <w:name w:val="АД_Основной текст"/>
    <w:basedOn w:val="924"/>
    <w:next w:val="1022"/>
    <w:link w:val="1023"/>
    <w:qFormat/>
    <w:pPr>
      <w:ind w:left="0" w:firstLine="567"/>
    </w:pPr>
    <w:rPr>
      <w:lang w:val="en-US" w:eastAsia="en-US"/>
    </w:rPr>
  </w:style>
  <w:style w:type="character" w:styleId="1023">
    <w:name w:val="АД_Основной текст Знак"/>
    <w:next w:val="1023"/>
    <w:link w:val="1022"/>
    <w:rPr>
      <w:sz w:val="24"/>
      <w:szCs w:val="24"/>
    </w:rPr>
  </w:style>
  <w:style w:type="paragraph" w:styleId="1024">
    <w:name w:val="Стиль АД_Список 1,2,3 + полужирный курсив"/>
    <w:basedOn w:val="924"/>
    <w:next w:val="1024"/>
    <w:link w:val="924"/>
    <w:pPr>
      <w:numPr>
        <w:ilvl w:val="2"/>
        <w:numId w:val="15"/>
      </w:numPr>
      <w:tabs>
        <w:tab w:val="left" w:pos="720" w:leader="none"/>
      </w:tabs>
    </w:pPr>
    <w:rPr>
      <w:b/>
      <w:bCs/>
      <w:i/>
      <w:iCs/>
    </w:rPr>
  </w:style>
  <w:style w:type="paragraph" w:styleId="1025">
    <w:name w:val="АД_Заголовки таблиц"/>
    <w:basedOn w:val="924"/>
    <w:next w:val="1025"/>
    <w:link w:val="924"/>
    <w:qFormat/>
    <w:pPr>
      <w:jc w:val="center"/>
    </w:pPr>
    <w:rPr>
      <w:b/>
      <w:bCs/>
    </w:rPr>
  </w:style>
  <w:style w:type="paragraph" w:styleId="1026">
    <w:name w:val="Заголовок оглавления"/>
    <w:basedOn w:val="925"/>
    <w:next w:val="924"/>
    <w:link w:val="924"/>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27">
    <w:name w:val="Текст выноски"/>
    <w:basedOn w:val="924"/>
    <w:next w:val="1027"/>
    <w:link w:val="1028"/>
    <w:rPr>
      <w:rFonts w:ascii="Tahoma" w:hAnsi="Tahoma"/>
      <w:sz w:val="16"/>
      <w:szCs w:val="16"/>
      <w:lang w:val="en-US" w:eastAsia="en-US"/>
    </w:rPr>
  </w:style>
  <w:style w:type="character" w:styleId="1028">
    <w:name w:val="Текст выноски Знак"/>
    <w:next w:val="1028"/>
    <w:link w:val="1027"/>
    <w:rPr>
      <w:rFonts w:ascii="Tahoma" w:hAnsi="Tahoma" w:cs="Tahoma"/>
      <w:sz w:val="16"/>
      <w:szCs w:val="16"/>
    </w:rPr>
  </w:style>
  <w:style w:type="paragraph" w:styleId="1029">
    <w:name w:val="АД_Основной текст по центру полужирный"/>
    <w:basedOn w:val="924"/>
    <w:next w:val="1029"/>
    <w:link w:val="1030"/>
    <w:qFormat/>
    <w:pPr>
      <w:ind w:firstLine="567"/>
      <w:jc w:val="center"/>
    </w:pPr>
    <w:rPr>
      <w:b/>
      <w:lang w:val="en-US" w:eastAsia="en-US"/>
    </w:rPr>
  </w:style>
  <w:style w:type="character" w:styleId="1030">
    <w:name w:val="АД_Основной текст по центру полужирный Знак"/>
    <w:next w:val="1030"/>
    <w:link w:val="1029"/>
    <w:rPr>
      <w:b/>
      <w:sz w:val="24"/>
      <w:szCs w:val="24"/>
    </w:rPr>
  </w:style>
  <w:style w:type="paragraph" w:styleId="1031">
    <w:name w:val="АД_Текст отступ 3,25"/>
    <w:basedOn w:val="924"/>
    <w:next w:val="1031"/>
    <w:link w:val="1032"/>
    <w:qFormat/>
    <w:pPr>
      <w:ind w:left="1418"/>
    </w:pPr>
    <w:rPr>
      <w:lang w:val="en-US" w:eastAsia="en-US"/>
    </w:rPr>
  </w:style>
  <w:style w:type="character" w:styleId="1032">
    <w:name w:val="АД_Текст отступ 3 Знак,25 Знак"/>
    <w:next w:val="1032"/>
    <w:link w:val="1031"/>
    <w:rPr>
      <w:sz w:val="24"/>
      <w:szCs w:val="24"/>
    </w:rPr>
  </w:style>
  <w:style w:type="paragraph" w:styleId="1033">
    <w:name w:val="АД_Нумерованный подпункт 4 уровня"/>
    <w:basedOn w:val="1020"/>
    <w:next w:val="1033"/>
    <w:link w:val="1034"/>
    <w:qFormat/>
    <w:pPr>
      <w:numPr>
        <w:ilvl w:val="3"/>
        <w:numId w:val="14"/>
      </w:numPr>
      <w:ind w:left="993" w:hanging="993"/>
      <w:tabs>
        <w:tab w:val="clear" w:pos="720" w:leader="none"/>
        <w:tab w:val="num" w:pos="993" w:leader="none"/>
        <w:tab w:val="clear" w:pos="1800" w:leader="none"/>
      </w:tabs>
    </w:pPr>
  </w:style>
  <w:style w:type="character" w:styleId="1034">
    <w:name w:val="АД_Нумерованный подпункт 4 уровня Знак"/>
    <w:basedOn w:val="1021"/>
    <w:next w:val="1034"/>
    <w:link w:val="1033"/>
  </w:style>
  <w:style w:type="paragraph" w:styleId="1035">
    <w:name w:val="АД_Список абв"/>
    <w:basedOn w:val="924"/>
    <w:next w:val="1035"/>
    <w:link w:val="924"/>
    <w:pPr>
      <w:numPr>
        <w:ilvl w:val="0"/>
        <w:numId w:val="16"/>
      </w:numPr>
    </w:pPr>
  </w:style>
  <w:style w:type="paragraph" w:styleId="1036">
    <w:name w:val="Normal1"/>
    <w:next w:val="1036"/>
    <w:link w:val="1116"/>
    <w:pPr>
      <w:ind w:firstLine="720"/>
      <w:jc w:val="both"/>
      <w:spacing w:line="300" w:lineRule="auto"/>
      <w:widowControl w:val="off"/>
    </w:pPr>
    <w:rPr>
      <w:sz w:val="24"/>
      <w:lang w:val="ru-RU" w:eastAsia="ru-RU" w:bidi="ar-SA"/>
    </w:rPr>
  </w:style>
  <w:style w:type="paragraph" w:styleId="1037">
    <w:name w:val="Цитата"/>
    <w:basedOn w:val="924"/>
    <w:next w:val="1037"/>
    <w:link w:val="924"/>
    <w:pPr>
      <w:ind w:left="1440" w:right="1440"/>
      <w:spacing w:after="120"/>
    </w:pPr>
    <w:rPr>
      <w:szCs w:val="20"/>
    </w:rPr>
  </w:style>
  <w:style w:type="table" w:styleId="1038">
    <w:name w:val="Сетка таблицы"/>
    <w:basedOn w:val="935"/>
    <w:next w:val="1038"/>
    <w:link w:val="924"/>
    <w:uiPriority w:val="59"/>
    <w:pPr>
      <w:ind w:left="0" w:firstLine="0"/>
      <w:jc w:val="left"/>
    </w:pPr>
    <w:tblPr/>
  </w:style>
  <w:style w:type="paragraph" w:styleId="1039">
    <w:name w:val="Heading"/>
    <w:next w:val="1039"/>
    <w:link w:val="924"/>
    <w:rPr>
      <w:rFonts w:ascii="Arial" w:hAnsi="Arial"/>
      <w:b/>
      <w:sz w:val="22"/>
      <w:lang w:val="ru-RU" w:eastAsia="ru-RU" w:bidi="ar-SA"/>
    </w:rPr>
  </w:style>
  <w:style w:type="paragraph" w:styleId="1040">
    <w:name w:val="WW-Основной текст с отступом 2"/>
    <w:basedOn w:val="924"/>
    <w:next w:val="1040"/>
    <w:link w:val="924"/>
    <w:pPr>
      <w:ind w:left="-540"/>
    </w:pPr>
    <w:rPr>
      <w:rFonts w:ascii="Arial" w:hAnsi="Arial" w:cs="Arial"/>
      <w:sz w:val="18"/>
      <w:lang w:eastAsia="ar-SA"/>
    </w:rPr>
  </w:style>
  <w:style w:type="paragraph" w:styleId="1041">
    <w:name w:val="WW-Основной текст с отступом 3"/>
    <w:basedOn w:val="924"/>
    <w:next w:val="1041"/>
    <w:link w:val="924"/>
    <w:pPr>
      <w:ind w:left="-540"/>
    </w:pPr>
    <w:rPr>
      <w:rFonts w:ascii="Arial" w:hAnsi="Arial" w:cs="Arial"/>
      <w:sz w:val="17"/>
      <w:lang w:eastAsia="ar-SA"/>
    </w:rPr>
  </w:style>
  <w:style w:type="paragraph" w:styleId="1042">
    <w:name w:val="Список нум."/>
    <w:basedOn w:val="924"/>
    <w:next w:val="1042"/>
    <w:link w:val="924"/>
    <w:pPr>
      <w:numPr>
        <w:ilvl w:val="0"/>
        <w:numId w:val="17"/>
      </w:numPr>
      <w:jc w:val="left"/>
      <w:keepNext/>
      <w:spacing w:before="120" w:after="120" w:line="360" w:lineRule="auto"/>
      <w:tabs>
        <w:tab w:val="left" w:pos="1701" w:leader="none"/>
      </w:tabs>
    </w:pPr>
    <w:rPr>
      <w:rFonts w:ascii="Arial" w:hAnsi="Arial"/>
      <w:szCs w:val="20"/>
    </w:rPr>
  </w:style>
  <w:style w:type="paragraph" w:styleId="1043">
    <w:name w:val="Заголовок 1 (раздел VI)"/>
    <w:basedOn w:val="925"/>
    <w:next w:val="1043"/>
    <w:link w:val="924"/>
    <w:pPr>
      <w:numPr>
        <w:ilvl w:val="0"/>
        <w:numId w:val="1"/>
      </w:numPr>
      <w:ind w:right="567" w:firstLine="709"/>
      <w:keepLines/>
      <w:widowControl w:val="off"/>
    </w:pPr>
    <w:rPr>
      <w:rFonts w:ascii="Arial" w:hAnsi="Arial" w:cs="Arial"/>
      <w:bCs/>
      <w:sz w:val="28"/>
      <w:szCs w:val="32"/>
    </w:rPr>
  </w:style>
  <w:style w:type="paragraph" w:styleId="1044">
    <w:name w:val="FR1"/>
    <w:next w:val="1044"/>
    <w:link w:val="924"/>
    <w:pPr>
      <w:ind w:left="40" w:firstLine="680"/>
      <w:jc w:val="both"/>
      <w:spacing w:before="200"/>
      <w:widowControl w:val="off"/>
    </w:pPr>
    <w:rPr>
      <w:rFonts w:ascii="Arial" w:hAnsi="Arial"/>
      <w:lang w:val="ru-RU" w:eastAsia="ru-RU" w:bidi="ar-SA"/>
    </w:rPr>
  </w:style>
  <w:style w:type="paragraph" w:styleId="1045">
    <w:name w:val="ConsPlusNormal"/>
    <w:next w:val="1045"/>
    <w:link w:val="1176"/>
    <w:pPr>
      <w:ind w:firstLine="720"/>
      <w:widowControl w:val="off"/>
    </w:pPr>
    <w:rPr>
      <w:rFonts w:ascii="Arial" w:hAnsi="Arial" w:cs="Arial"/>
      <w:lang w:val="ru-RU" w:eastAsia="ru-RU" w:bidi="ar-SA"/>
    </w:rPr>
  </w:style>
  <w:style w:type="paragraph" w:styleId="1046">
    <w:name w:val="FR2"/>
    <w:next w:val="1046"/>
    <w:link w:val="924"/>
    <w:pPr>
      <w:jc w:val="center"/>
      <w:spacing w:before="20"/>
      <w:widowControl w:val="off"/>
    </w:pPr>
    <w:rPr>
      <w:rFonts w:ascii="Arial" w:hAnsi="Arial"/>
      <w:sz w:val="24"/>
      <w:lang w:val="ru-RU" w:eastAsia="ru-RU" w:bidi="ar-SA"/>
    </w:rPr>
  </w:style>
  <w:style w:type="paragraph" w:styleId="1047">
    <w:name w:val=" Знак"/>
    <w:basedOn w:val="924"/>
    <w:next w:val="1047"/>
    <w:link w:val="924"/>
    <w:pPr>
      <w:spacing w:after="160" w:line="240" w:lineRule="exact"/>
    </w:pPr>
    <w:rPr>
      <w:rFonts w:ascii="Verdana" w:hAnsi="Verdana"/>
      <w:sz w:val="22"/>
      <w:szCs w:val="20"/>
      <w:lang w:val="en-US" w:eastAsia="en-US"/>
    </w:rPr>
  </w:style>
  <w:style w:type="paragraph" w:styleId="1048">
    <w:name w:val="Текст сноски,Footnote Text Char Знак Знак,Footnote Text Char Знак,Footnote Text Char Знак Знак Знак Знак"/>
    <w:basedOn w:val="924"/>
    <w:next w:val="1048"/>
    <w:link w:val="1084"/>
    <w:semiHidden/>
    <w:pPr>
      <w:jc w:val="left"/>
    </w:pPr>
    <w:rPr>
      <w:sz w:val="20"/>
      <w:szCs w:val="20"/>
    </w:rPr>
  </w:style>
  <w:style w:type="paragraph" w:styleId="1049">
    <w:name w:val="Стиль3 Знак Знак"/>
    <w:basedOn w:val="952"/>
    <w:next w:val="1049"/>
    <w:link w:val="1146"/>
    <w:pPr>
      <w:ind w:left="0"/>
      <w:spacing w:after="0" w:line="240" w:lineRule="auto"/>
      <w:widowControl w:val="off"/>
      <w:tabs>
        <w:tab w:val="num" w:pos="227" w:leader="none"/>
      </w:tabs>
    </w:pPr>
    <w:rPr>
      <w:szCs w:val="20"/>
      <w:lang w:val="ru-RU" w:eastAsia="ru-RU"/>
    </w:rPr>
  </w:style>
  <w:style w:type="character" w:styleId="1050">
    <w:name w:val="Заголовок 3 Знак"/>
    <w:next w:val="1050"/>
    <w:link w:val="924"/>
    <w:rPr>
      <w:rFonts w:ascii="Arial" w:hAnsi="Arial" w:cs="Arial"/>
      <w:b/>
      <w:bCs/>
      <w:sz w:val="26"/>
      <w:szCs w:val="26"/>
      <w:lang w:val="ru-RU" w:eastAsia="ru-RU" w:bidi="ar-SA"/>
    </w:rPr>
  </w:style>
  <w:style w:type="paragraph" w:styleId="1051">
    <w:name w:val="03zagolovok2"/>
    <w:basedOn w:val="924"/>
    <w:next w:val="1051"/>
    <w:link w:val="924"/>
    <w:pPr>
      <w:jc w:val="left"/>
      <w:keepNext/>
      <w:spacing w:before="360" w:after="120" w:line="360" w:lineRule="atLeast"/>
      <w:outlineLvl w:val="1"/>
    </w:pPr>
    <w:rPr>
      <w:rFonts w:ascii="GaramondC" w:hAnsi="GaramondC"/>
      <w:b/>
      <w:color w:val="000000"/>
      <w:sz w:val="28"/>
      <w:szCs w:val="28"/>
    </w:rPr>
  </w:style>
  <w:style w:type="paragraph" w:styleId="1052">
    <w:name w:val="Название"/>
    <w:basedOn w:val="924"/>
    <w:next w:val="1052"/>
    <w:link w:val="1085"/>
    <w:qFormat/>
    <w:pPr>
      <w:ind w:left="72"/>
      <w:jc w:val="center"/>
      <w:shd w:val="clear" w:color="auto" w:fill="ffffff"/>
      <w:widowControl w:val="off"/>
    </w:pPr>
    <w:rPr>
      <w:bCs/>
      <w:color w:val="000000"/>
      <w:spacing w:val="13"/>
      <w:szCs w:val="22"/>
      <w:lang w:val="en-US" w:eastAsia="en-US"/>
    </w:rPr>
  </w:style>
  <w:style w:type="paragraph" w:styleId="1053">
    <w:name w:val="текст"/>
    <w:next w:val="1053"/>
    <w:link w:val="924"/>
    <w:pPr>
      <w:jc w:val="both"/>
    </w:pPr>
    <w:rPr>
      <w:rFonts w:ascii="SchoolBookC" w:hAnsi="SchoolBookC"/>
      <w:color w:val="000000"/>
      <w:sz w:val="24"/>
      <w:lang w:val="ru-RU" w:eastAsia="ru-RU" w:bidi="ar-SA"/>
    </w:rPr>
  </w:style>
  <w:style w:type="paragraph" w:styleId="1054">
    <w:name w:val="втяжка"/>
    <w:basedOn w:val="1055"/>
    <w:next w:val="1055"/>
    <w:link w:val="924"/>
    <w:pPr>
      <w:ind w:left="567" w:hanging="567"/>
      <w:spacing w:before="57"/>
      <w:tabs>
        <w:tab w:val="left" w:pos="567" w:leader="none"/>
      </w:tabs>
    </w:pPr>
  </w:style>
  <w:style w:type="paragraph" w:styleId="1055">
    <w:name w:val="текст1"/>
    <w:next w:val="1055"/>
    <w:link w:val="924"/>
    <w:pPr>
      <w:ind w:firstLine="397"/>
      <w:jc w:val="both"/>
    </w:pPr>
    <w:rPr>
      <w:rFonts w:ascii="SchoolBookC" w:hAnsi="SchoolBookC"/>
      <w:sz w:val="24"/>
      <w:lang w:val="ru-RU" w:eastAsia="ru-RU" w:bidi="ar-SA"/>
    </w:rPr>
  </w:style>
  <w:style w:type="paragraph" w:styleId="1056">
    <w:name w:val="Знак Знак2 Char Char Знак Знак Char Char Знак Знак Char Char Знак Знак Char Char Знак Знак Char Char Знак Знак Char Char Знак Знак Char Char Знак Знак Char Char"/>
    <w:basedOn w:val="924"/>
    <w:next w:val="1056"/>
    <w:link w:val="924"/>
    <w:pPr>
      <w:jc w:val="left"/>
      <w:spacing w:before="100" w:beforeAutospacing="1" w:after="100" w:afterAutospacing="1"/>
    </w:pPr>
    <w:rPr>
      <w:rFonts w:ascii="Tahoma" w:hAnsi="Tahoma"/>
      <w:sz w:val="20"/>
      <w:szCs w:val="20"/>
      <w:lang w:val="en-US" w:eastAsia="en-US"/>
    </w:rPr>
  </w:style>
  <w:style w:type="paragraph" w:styleId="1057">
    <w:name w:val=" Знак Знак2 Char Char Знак Знак Char Char Знак Знак Char Char Знак Знак Char Char Знак Знак Char Char Знак Знак Char Char Знак Знак Char Char Знак Знак Char Char"/>
    <w:basedOn w:val="924"/>
    <w:next w:val="1057"/>
    <w:link w:val="924"/>
    <w:pPr>
      <w:jc w:val="left"/>
      <w:spacing w:before="100" w:beforeAutospacing="1" w:after="100" w:afterAutospacing="1"/>
    </w:pPr>
    <w:rPr>
      <w:rFonts w:ascii="Tahoma" w:hAnsi="Tahoma"/>
      <w:sz w:val="20"/>
      <w:szCs w:val="20"/>
      <w:lang w:val="en-US" w:eastAsia="en-US"/>
    </w:rPr>
  </w:style>
  <w:style w:type="paragraph" w:styleId="1058">
    <w:name w:val=" Char Char"/>
    <w:basedOn w:val="924"/>
    <w:next w:val="1058"/>
    <w:link w:val="924"/>
    <w:pPr>
      <w:jc w:val="left"/>
      <w:spacing w:before="100" w:beforeAutospacing="1" w:after="100" w:afterAutospacing="1"/>
    </w:pPr>
    <w:rPr>
      <w:rFonts w:ascii="Tahoma" w:hAnsi="Tahoma"/>
      <w:sz w:val="20"/>
      <w:szCs w:val="20"/>
      <w:lang w:val="en-US" w:eastAsia="en-US"/>
    </w:rPr>
  </w:style>
  <w:style w:type="paragraph" w:styleId="1059">
    <w:name w:val="Название объекта"/>
    <w:basedOn w:val="924"/>
    <w:next w:val="924"/>
    <w:link w:val="924"/>
    <w:qFormat/>
    <w:pPr>
      <w:ind w:left="994"/>
      <w:jc w:val="center"/>
      <w:spacing w:before="538"/>
      <w:shd w:val="clear" w:color="auto" w:fill="ffffff"/>
      <w:widowControl w:val="off"/>
    </w:pPr>
    <w:rPr>
      <w:b/>
      <w:bCs/>
      <w:color w:val="000000"/>
      <w:spacing w:val="-2"/>
      <w:sz w:val="26"/>
      <w:szCs w:val="26"/>
    </w:rPr>
  </w:style>
  <w:style w:type="paragraph" w:styleId="1060">
    <w:name w:val="FR3"/>
    <w:next w:val="1060"/>
    <w:link w:val="924"/>
    <w:pPr>
      <w:spacing w:before="260"/>
      <w:widowControl w:val="off"/>
    </w:pPr>
    <w:rPr>
      <w:sz w:val="16"/>
      <w:lang w:val="ru-RU" w:eastAsia="ru-RU" w:bidi="ar-SA"/>
    </w:rPr>
  </w:style>
  <w:style w:type="paragraph" w:styleId="1061">
    <w:name w:val="Готовый"/>
    <w:basedOn w:val="924"/>
    <w:next w:val="1061"/>
    <w:link w:val="924"/>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62">
    <w:name w:val="Font Style24"/>
    <w:next w:val="1062"/>
    <w:link w:val="924"/>
    <w:rPr>
      <w:rFonts w:ascii="Times New Roman" w:hAnsi="Times New Roman" w:cs="Times New Roman"/>
      <w:spacing w:val="10"/>
      <w:sz w:val="20"/>
      <w:szCs w:val="20"/>
    </w:rPr>
  </w:style>
  <w:style w:type="paragraph" w:styleId="1063">
    <w:name w:val="Style16"/>
    <w:basedOn w:val="924"/>
    <w:next w:val="1063"/>
    <w:link w:val="924"/>
    <w:pPr>
      <w:ind w:firstLine="542"/>
      <w:spacing w:line="272" w:lineRule="exact"/>
      <w:widowControl w:val="off"/>
    </w:pPr>
  </w:style>
  <w:style w:type="paragraph" w:styleId="1064">
    <w:name w:val="Style6"/>
    <w:basedOn w:val="924"/>
    <w:next w:val="1064"/>
    <w:link w:val="924"/>
    <w:pPr>
      <w:jc w:val="left"/>
      <w:spacing w:line="283" w:lineRule="exact"/>
      <w:widowControl w:val="off"/>
    </w:pPr>
  </w:style>
  <w:style w:type="paragraph" w:styleId="1065">
    <w:name w:val="Style9"/>
    <w:basedOn w:val="924"/>
    <w:next w:val="1065"/>
    <w:link w:val="924"/>
    <w:pPr>
      <w:ind w:firstLine="185"/>
      <w:jc w:val="left"/>
      <w:spacing w:line="295" w:lineRule="exact"/>
      <w:widowControl w:val="off"/>
    </w:pPr>
  </w:style>
  <w:style w:type="paragraph" w:styleId="1066">
    <w:name w:val="Style10"/>
    <w:basedOn w:val="924"/>
    <w:next w:val="1066"/>
    <w:link w:val="924"/>
    <w:pPr>
      <w:widowControl w:val="off"/>
    </w:pPr>
  </w:style>
  <w:style w:type="paragraph" w:styleId="1067">
    <w:name w:val="Style11"/>
    <w:basedOn w:val="924"/>
    <w:next w:val="1067"/>
    <w:link w:val="924"/>
    <w:pPr>
      <w:spacing w:line="274" w:lineRule="exact"/>
      <w:widowControl w:val="off"/>
    </w:pPr>
  </w:style>
  <w:style w:type="character" w:styleId="1068">
    <w:name w:val="Font Style22"/>
    <w:next w:val="1068"/>
    <w:link w:val="924"/>
    <w:rPr>
      <w:rFonts w:ascii="Times New Roman" w:hAnsi="Times New Roman" w:cs="Times New Roman"/>
      <w:b/>
      <w:bCs/>
      <w:spacing w:val="10"/>
      <w:sz w:val="20"/>
      <w:szCs w:val="20"/>
    </w:rPr>
  </w:style>
  <w:style w:type="paragraph" w:styleId="1069">
    <w:name w:val="Style1"/>
    <w:basedOn w:val="924"/>
    <w:next w:val="1069"/>
    <w:link w:val="924"/>
    <w:pPr>
      <w:jc w:val="left"/>
      <w:widowControl w:val="off"/>
    </w:pPr>
  </w:style>
  <w:style w:type="paragraph" w:styleId="1070">
    <w:name w:val="Style2"/>
    <w:basedOn w:val="924"/>
    <w:next w:val="1070"/>
    <w:link w:val="924"/>
    <w:pPr>
      <w:ind w:hanging="362"/>
      <w:jc w:val="left"/>
      <w:spacing w:line="271" w:lineRule="exact"/>
      <w:widowControl w:val="off"/>
    </w:pPr>
  </w:style>
  <w:style w:type="paragraph" w:styleId="1071">
    <w:name w:val="Style8"/>
    <w:basedOn w:val="924"/>
    <w:next w:val="1071"/>
    <w:link w:val="924"/>
    <w:pPr>
      <w:spacing w:line="413" w:lineRule="exact"/>
      <w:widowControl w:val="off"/>
    </w:pPr>
  </w:style>
  <w:style w:type="paragraph" w:styleId="1072">
    <w:name w:val="Style13"/>
    <w:basedOn w:val="924"/>
    <w:next w:val="1072"/>
    <w:link w:val="924"/>
    <w:pPr>
      <w:ind w:firstLine="259"/>
      <w:jc w:val="left"/>
      <w:spacing w:line="401" w:lineRule="exact"/>
      <w:widowControl w:val="off"/>
    </w:pPr>
  </w:style>
  <w:style w:type="paragraph" w:styleId="1073">
    <w:name w:val="Style15"/>
    <w:basedOn w:val="924"/>
    <w:next w:val="1073"/>
    <w:link w:val="924"/>
    <w:pPr>
      <w:ind w:firstLine="122"/>
      <w:jc w:val="left"/>
      <w:spacing w:line="398" w:lineRule="exact"/>
      <w:widowControl w:val="off"/>
    </w:pPr>
  </w:style>
  <w:style w:type="paragraph" w:styleId="1074">
    <w:name w:val="Style17"/>
    <w:basedOn w:val="924"/>
    <w:next w:val="1074"/>
    <w:link w:val="924"/>
    <w:pPr>
      <w:ind w:firstLine="1042"/>
      <w:jc w:val="left"/>
      <w:spacing w:line="413" w:lineRule="exact"/>
      <w:widowControl w:val="off"/>
    </w:pPr>
  </w:style>
  <w:style w:type="character" w:styleId="1075">
    <w:name w:val="Font Style23"/>
    <w:next w:val="1075"/>
    <w:link w:val="924"/>
    <w:rPr>
      <w:rFonts w:ascii="Times New Roman" w:hAnsi="Times New Roman" w:cs="Times New Roman"/>
      <w:b/>
      <w:bCs/>
      <w:i/>
      <w:iCs/>
      <w:sz w:val="20"/>
      <w:szCs w:val="20"/>
    </w:rPr>
  </w:style>
  <w:style w:type="character" w:styleId="1076">
    <w:name w:val="Font Style25"/>
    <w:next w:val="1076"/>
    <w:link w:val="924"/>
    <w:rPr>
      <w:rFonts w:ascii="Times New Roman" w:hAnsi="Times New Roman" w:cs="Times New Roman"/>
      <w:b/>
      <w:bCs/>
      <w:sz w:val="26"/>
      <w:szCs w:val="26"/>
    </w:rPr>
  </w:style>
  <w:style w:type="character" w:styleId="1077">
    <w:name w:val="Font Style26"/>
    <w:next w:val="1077"/>
    <w:link w:val="924"/>
    <w:rPr>
      <w:rFonts w:ascii="Times New Roman" w:hAnsi="Times New Roman" w:cs="Times New Roman"/>
      <w:sz w:val="24"/>
      <w:szCs w:val="24"/>
    </w:rPr>
  </w:style>
  <w:style w:type="paragraph" w:styleId="1078">
    <w:name w:val=" Знак Знак Знак2 Знак"/>
    <w:basedOn w:val="924"/>
    <w:next w:val="1078"/>
    <w:link w:val="924"/>
    <w:pPr>
      <w:jc w:val="right"/>
      <w:spacing w:after="160" w:line="240" w:lineRule="exact"/>
      <w:widowControl w:val="off"/>
    </w:pPr>
    <w:rPr>
      <w:sz w:val="20"/>
      <w:szCs w:val="20"/>
      <w:lang w:val="en-GB" w:eastAsia="en-US"/>
    </w:rPr>
  </w:style>
  <w:style w:type="paragraph" w:styleId="1079">
    <w:name w:val="Стиль"/>
    <w:next w:val="1079"/>
    <w:link w:val="924"/>
    <w:pPr>
      <w:widowControl w:val="off"/>
    </w:pPr>
    <w:rPr>
      <w:sz w:val="24"/>
      <w:szCs w:val="24"/>
      <w:lang w:val="ru-RU" w:eastAsia="ru-RU" w:bidi="ar-SA"/>
    </w:rPr>
  </w:style>
  <w:style w:type="paragraph" w:styleId="1080">
    <w:name w:val="Normal1"/>
    <w:next w:val="1080"/>
    <w:link w:val="924"/>
    <w:pPr>
      <w:jc w:val="both"/>
      <w:spacing w:line="360" w:lineRule="auto"/>
      <w:widowControl w:val="off"/>
    </w:pPr>
    <w:rPr>
      <w:sz w:val="28"/>
      <w:lang w:val="ru-RU" w:eastAsia="ru-RU" w:bidi="ar-SA"/>
    </w:rPr>
  </w:style>
  <w:style w:type="paragraph" w:styleId="1081">
    <w:name w:val="ConsPlusNonformat"/>
    <w:next w:val="1081"/>
    <w:link w:val="924"/>
    <w:uiPriority w:val="99"/>
    <w:rPr>
      <w:rFonts w:ascii="Courier New" w:hAnsi="Courier New" w:cs="Courier New"/>
      <w:lang w:val="ru-RU" w:eastAsia="ru-RU" w:bidi="ar-SA"/>
    </w:rPr>
  </w:style>
  <w:style w:type="paragraph" w:styleId="1082">
    <w:name w:val="Обычный1"/>
    <w:next w:val="1082"/>
    <w:link w:val="924"/>
    <w:pPr>
      <w:ind w:firstLine="720"/>
      <w:jc w:val="both"/>
      <w:spacing w:line="300" w:lineRule="auto"/>
      <w:widowControl w:val="off"/>
    </w:pPr>
    <w:rPr>
      <w:sz w:val="24"/>
      <w:lang w:val="ru-RU" w:eastAsia="ru-RU" w:bidi="ar-SA"/>
    </w:rPr>
  </w:style>
  <w:style w:type="paragraph" w:styleId="1083">
    <w:name w:val="Знак"/>
    <w:basedOn w:val="924"/>
    <w:next w:val="1083"/>
    <w:link w:val="924"/>
    <w:pPr>
      <w:spacing w:after="160" w:line="240" w:lineRule="exact"/>
    </w:pPr>
    <w:rPr>
      <w:rFonts w:ascii="Verdana" w:hAnsi="Verdana"/>
      <w:sz w:val="22"/>
      <w:szCs w:val="20"/>
      <w:lang w:val="en-US" w:eastAsia="en-US"/>
    </w:rPr>
  </w:style>
  <w:style w:type="character" w:styleId="1084">
    <w:name w:val="Текст сноски Знак,Footnote Text Char Знак Знак Знак1,Footnote Text Char Знак Знак2,Footnote Text Char Знак Знак Знак Знак Знак"/>
    <w:basedOn w:val="934"/>
    <w:next w:val="1084"/>
    <w:link w:val="1048"/>
    <w:semiHidden/>
  </w:style>
  <w:style w:type="character" w:styleId="1085">
    <w:name w:val="Название Знак1"/>
    <w:next w:val="1085"/>
    <w:link w:val="1052"/>
    <w:rPr>
      <w:bCs/>
      <w:color w:val="000000"/>
      <w:spacing w:val="13"/>
      <w:sz w:val="24"/>
      <w:szCs w:val="22"/>
      <w:shd w:val="clear" w:color="auto" w:fill="ffffff"/>
    </w:rPr>
  </w:style>
  <w:style w:type="paragraph" w:styleId="1086">
    <w:name w:val="Char Char"/>
    <w:basedOn w:val="924"/>
    <w:next w:val="1086"/>
    <w:link w:val="924"/>
    <w:pPr>
      <w:jc w:val="left"/>
      <w:spacing w:before="100" w:beforeAutospacing="1" w:after="100" w:afterAutospacing="1"/>
    </w:pPr>
    <w:rPr>
      <w:rFonts w:ascii="Tahoma" w:hAnsi="Tahoma"/>
      <w:sz w:val="20"/>
      <w:szCs w:val="20"/>
      <w:lang w:val="en-US" w:eastAsia="en-US"/>
    </w:rPr>
  </w:style>
  <w:style w:type="paragraph" w:styleId="1087">
    <w:name w:val="Знак Знак Знак2 Знак"/>
    <w:basedOn w:val="924"/>
    <w:next w:val="1087"/>
    <w:link w:val="924"/>
    <w:uiPriority w:val="99"/>
    <w:pPr>
      <w:jc w:val="right"/>
      <w:spacing w:after="160" w:line="240" w:lineRule="exact"/>
      <w:widowControl w:val="off"/>
    </w:pPr>
    <w:rPr>
      <w:sz w:val="20"/>
      <w:szCs w:val="20"/>
      <w:lang w:val="en-GB" w:eastAsia="en-US"/>
    </w:rPr>
  </w:style>
  <w:style w:type="paragraph" w:styleId="1088">
    <w:name w:val="List21"/>
    <w:basedOn w:val="924"/>
    <w:next w:val="1088"/>
    <w:link w:val="924"/>
    <w:pPr>
      <w:spacing w:line="360" w:lineRule="auto"/>
      <w:tabs>
        <w:tab w:val="left" w:pos="1701" w:leader="none"/>
      </w:tabs>
    </w:pPr>
    <w:rPr>
      <w:szCs w:val="20"/>
    </w:rPr>
  </w:style>
  <w:style w:type="paragraph" w:styleId="1089">
    <w:name w:val="ConsTitle"/>
    <w:next w:val="1089"/>
    <w:link w:val="924"/>
    <w:rPr>
      <w:rFonts w:ascii="Arial" w:hAnsi="Arial" w:cs="Arial"/>
      <w:b/>
      <w:bCs/>
      <w:sz w:val="16"/>
      <w:szCs w:val="16"/>
      <w:lang w:val="ru-RU" w:eastAsia="ru-RU" w:bidi="ar-SA"/>
    </w:rPr>
  </w:style>
  <w:style w:type="paragraph" w:styleId="1090">
    <w:name w:val="Контракт-пункт"/>
    <w:basedOn w:val="924"/>
    <w:next w:val="1090"/>
    <w:link w:val="924"/>
    <w:pPr>
      <w:numPr>
        <w:ilvl w:val="1"/>
        <w:numId w:val="5"/>
      </w:numPr>
    </w:pPr>
  </w:style>
  <w:style w:type="character" w:styleId="1091">
    <w:name w:val="Контракт-раздел Знак Знак"/>
    <w:next w:val="1091"/>
    <w:link w:val="924"/>
    <w:rPr>
      <w:b/>
      <w:bCs/>
      <w:caps/>
      <w:smallCaps/>
      <w:sz w:val="24"/>
      <w:szCs w:val="24"/>
      <w:lang w:val="ru-RU" w:eastAsia="ru-RU" w:bidi="ar-SA"/>
    </w:rPr>
  </w:style>
  <w:style w:type="paragraph" w:styleId="1092">
    <w:name w:val="Текст примечания"/>
    <w:basedOn w:val="924"/>
    <w:next w:val="1092"/>
    <w:link w:val="1093"/>
    <w:pPr>
      <w:jc w:val="left"/>
    </w:pPr>
    <w:rPr>
      <w:sz w:val="20"/>
      <w:szCs w:val="20"/>
    </w:rPr>
  </w:style>
  <w:style w:type="character" w:styleId="1093">
    <w:name w:val="Текст примечания Знак"/>
    <w:basedOn w:val="934"/>
    <w:next w:val="1093"/>
    <w:link w:val="1092"/>
  </w:style>
  <w:style w:type="paragraph" w:styleId="1094">
    <w:name w:val="Тема примечания"/>
    <w:basedOn w:val="1092"/>
    <w:next w:val="1092"/>
    <w:link w:val="1095"/>
    <w:pPr>
      <w:jc w:val="both"/>
      <w:spacing w:line="360" w:lineRule="auto"/>
    </w:pPr>
    <w:rPr>
      <w:b/>
      <w:bCs/>
      <w:lang w:val="en-US" w:eastAsia="en-US"/>
    </w:rPr>
  </w:style>
  <w:style w:type="character" w:styleId="1095">
    <w:name w:val="Тема примечания Знак"/>
    <w:next w:val="1095"/>
    <w:link w:val="1094"/>
    <w:rPr>
      <w:b/>
      <w:bCs/>
    </w:rPr>
  </w:style>
  <w:style w:type="paragraph" w:styleId="1096">
    <w:name w:val="Контракт-раздел"/>
    <w:basedOn w:val="924"/>
    <w:next w:val="924"/>
    <w:link w:val="924"/>
    <w:pPr>
      <w:jc w:val="center"/>
      <w:keepNext/>
      <w:spacing w:before="360" w:after="120"/>
      <w:tabs>
        <w:tab w:val="left" w:pos="540" w:leader="none"/>
      </w:tabs>
      <w:outlineLvl w:val="3"/>
    </w:pPr>
    <w:rPr>
      <w:b/>
      <w:bCs/>
      <w:caps/>
      <w:smallCaps/>
    </w:rPr>
  </w:style>
  <w:style w:type="paragraph" w:styleId="1097">
    <w:name w:val="ConsPlusTitle"/>
    <w:next w:val="1097"/>
    <w:link w:val="924"/>
    <w:uiPriority w:val="99"/>
    <w:rPr>
      <w:b/>
      <w:bCs/>
      <w:sz w:val="22"/>
      <w:szCs w:val="22"/>
      <w:lang w:val="ru-RU" w:eastAsia="ru-RU" w:bidi="ar-SA"/>
    </w:rPr>
  </w:style>
  <w:style w:type="paragraph" w:styleId="1098">
    <w:name w:val="Знак Знак Знак"/>
    <w:basedOn w:val="924"/>
    <w:next w:val="1098"/>
    <w:link w:val="924"/>
    <w:pPr>
      <w:jc w:val="left"/>
      <w:spacing w:before="100" w:beforeAutospacing="1" w:after="100" w:afterAutospacing="1"/>
    </w:pPr>
    <w:rPr>
      <w:rFonts w:ascii="Tahoma" w:hAnsi="Tahoma"/>
      <w:sz w:val="20"/>
      <w:szCs w:val="20"/>
      <w:lang w:val="en-US" w:eastAsia="en-US"/>
    </w:rPr>
  </w:style>
  <w:style w:type="paragraph" w:styleId="1099">
    <w:name w:val="Head 9.2"/>
    <w:basedOn w:val="924"/>
    <w:next w:val="924"/>
    <w:link w:val="924"/>
    <w:pPr>
      <w:jc w:val="center"/>
    </w:pPr>
    <w:rPr>
      <w:b/>
      <w:bCs/>
    </w:rPr>
  </w:style>
  <w:style w:type="paragraph" w:styleId="1100">
    <w:name w:val="Head 9.1"/>
    <w:basedOn w:val="924"/>
    <w:next w:val="924"/>
    <w:link w:val="924"/>
    <w:pPr>
      <w:jc w:val="center"/>
      <w:keepNext/>
    </w:pPr>
    <w:rPr>
      <w:b/>
      <w:lang w:eastAsia="en-US"/>
    </w:rPr>
  </w:style>
  <w:style w:type="paragraph" w:styleId="1101">
    <w:name w:val="stylebodytextjustifiedbefore5ptafter5ptkernat1"/>
    <w:basedOn w:val="924"/>
    <w:next w:val="1101"/>
    <w:link w:val="924"/>
    <w:pPr>
      <w:numPr>
        <w:ilvl w:val="0"/>
        <w:numId w:val="18"/>
      </w:numPr>
      <w:spacing w:before="100" w:after="100"/>
    </w:pPr>
  </w:style>
  <w:style w:type="paragraph" w:styleId="1102">
    <w:name w:val="Список 5"/>
    <w:basedOn w:val="924"/>
    <w:next w:val="1102"/>
    <w:link w:val="924"/>
    <w:pPr>
      <w:contextualSpacing/>
      <w:ind w:left="1415" w:hanging="283"/>
    </w:pPr>
  </w:style>
  <w:style w:type="paragraph" w:styleId="1103">
    <w:name w:val="_Абзац"/>
    <w:basedOn w:val="924"/>
    <w:next w:val="1103"/>
    <w:link w:val="924"/>
    <w:pPr>
      <w:numPr>
        <w:ilvl w:val="4"/>
        <w:numId w:val="19"/>
      </w:numPr>
      <w:ind w:right="284"/>
      <w:spacing w:line="360" w:lineRule="auto"/>
      <w:outlineLvl w:val="4"/>
    </w:pPr>
    <w:rPr>
      <w:rFonts w:ascii="Arial" w:hAnsi="Arial" w:cs="Arial"/>
      <w:sz w:val="20"/>
      <w:szCs w:val="20"/>
    </w:rPr>
  </w:style>
  <w:style w:type="paragraph" w:styleId="1104">
    <w:name w:val="_Подпункт"/>
    <w:basedOn w:val="924"/>
    <w:next w:val="1104"/>
    <w:link w:val="924"/>
    <w:pPr>
      <w:numPr>
        <w:ilvl w:val="3"/>
        <w:numId w:val="19"/>
      </w:numPr>
      <w:ind w:right="284" w:firstLine="0"/>
      <w:spacing w:before="60" w:line="360" w:lineRule="auto"/>
      <w:outlineLvl w:val="3"/>
    </w:pPr>
    <w:rPr>
      <w:rFonts w:ascii="Arial" w:hAnsi="Arial" w:cs="Arial"/>
      <w:sz w:val="20"/>
      <w:szCs w:val="20"/>
    </w:rPr>
  </w:style>
  <w:style w:type="paragraph" w:styleId="1105">
    <w:name w:val="_Подраздел"/>
    <w:basedOn w:val="924"/>
    <w:next w:val="924"/>
    <w:link w:val="924"/>
    <w:pPr>
      <w:numPr>
        <w:ilvl w:val="1"/>
        <w:numId w:val="19"/>
      </w:numPr>
      <w:ind w:right="284" w:firstLine="0"/>
      <w:keepNext/>
      <w:spacing w:before="120" w:after="120" w:line="360" w:lineRule="auto"/>
      <w:outlineLvl w:val="1"/>
    </w:pPr>
    <w:rPr>
      <w:rFonts w:ascii="Arial" w:hAnsi="Arial" w:cs="Arial"/>
      <w:sz w:val="20"/>
      <w:szCs w:val="20"/>
    </w:rPr>
  </w:style>
  <w:style w:type="paragraph" w:styleId="1106">
    <w:name w:val="_Пункт"/>
    <w:basedOn w:val="1105"/>
    <w:next w:val="924"/>
    <w:link w:val="924"/>
    <w:pPr>
      <w:numPr>
        <w:ilvl w:val="2"/>
        <w:numId w:val="19"/>
      </w:numPr>
      <w:ind w:firstLine="0"/>
      <w:outlineLvl w:val="2"/>
    </w:pPr>
  </w:style>
  <w:style w:type="paragraph" w:styleId="1107">
    <w:name w:val="_Раздел"/>
    <w:basedOn w:val="924"/>
    <w:next w:val="1105"/>
    <w:link w:val="924"/>
    <w:pPr>
      <w:numPr>
        <w:ilvl w:val="0"/>
        <w:numId w:val="19"/>
      </w:numPr>
      <w:ind w:right="284"/>
      <w:jc w:val="left"/>
      <w:keepNext/>
      <w:pageBreakBefore/>
      <w:spacing w:before="120" w:after="120"/>
      <w:outlineLvl w:val="0"/>
    </w:pPr>
    <w:rPr>
      <w:rFonts w:ascii="Arial" w:hAnsi="Arial" w:cs="Arial"/>
      <w:sz w:val="28"/>
      <w:szCs w:val="20"/>
    </w:rPr>
  </w:style>
  <w:style w:type="character" w:styleId="1108">
    <w:name w:val="Знак сноски"/>
    <w:next w:val="1108"/>
    <w:link w:val="924"/>
    <w:rPr>
      <w:vertAlign w:val="superscript"/>
    </w:rPr>
  </w:style>
  <w:style w:type="paragraph" w:styleId="1109">
    <w:name w:val="Нормальный"/>
    <w:next w:val="1109"/>
    <w:link w:val="924"/>
    <w:pPr>
      <w:widowControl w:val="off"/>
    </w:pPr>
    <w:rPr>
      <w:lang w:val="ru-RU" w:eastAsia="ru-RU" w:bidi="ar-SA"/>
    </w:rPr>
  </w:style>
  <w:style w:type="paragraph" w:styleId="1110">
    <w:name w:val="ТТ список 1"/>
    <w:basedOn w:val="924"/>
    <w:next w:val="1110"/>
    <w:link w:val="924"/>
    <w:pPr>
      <w:numPr>
        <w:ilvl w:val="0"/>
        <w:numId w:val="20"/>
      </w:numPr>
      <w:jc w:val="left"/>
      <w:keepLines/>
      <w:keepNext/>
      <w:spacing w:before="240" w:after="120"/>
    </w:pPr>
    <w:rPr>
      <w:b/>
      <w:szCs w:val="20"/>
    </w:rPr>
  </w:style>
  <w:style w:type="paragraph" w:styleId="1111">
    <w:name w:val="ТТ список 2"/>
    <w:basedOn w:val="924"/>
    <w:next w:val="1111"/>
    <w:link w:val="924"/>
    <w:pPr>
      <w:numPr>
        <w:ilvl w:val="1"/>
        <w:numId w:val="20"/>
      </w:numPr>
      <w:jc w:val="left"/>
      <w:keepLines/>
      <w:keepNext/>
      <w:spacing w:before="120" w:after="60"/>
    </w:pPr>
    <w:rPr>
      <w:b/>
      <w:i/>
    </w:rPr>
  </w:style>
  <w:style w:type="paragraph" w:styleId="1112">
    <w:name w:val="ТТ список 3"/>
    <w:basedOn w:val="924"/>
    <w:next w:val="1112"/>
    <w:link w:val="924"/>
    <w:pPr>
      <w:numPr>
        <w:ilvl w:val="2"/>
        <w:numId w:val="21"/>
      </w:numPr>
      <w:keepLines/>
      <w:spacing w:before="60"/>
    </w:pPr>
  </w:style>
  <w:style w:type="paragraph" w:styleId="1113">
    <w:name w:val="ТТ список 4"/>
    <w:basedOn w:val="1112"/>
    <w:next w:val="1113"/>
    <w:link w:val="924"/>
    <w:pPr>
      <w:numPr>
        <w:ilvl w:val="3"/>
        <w:numId w:val="20"/>
      </w:numPr>
      <w:ind w:right="141"/>
      <w:keepLines w:val="0"/>
    </w:pPr>
  </w:style>
  <w:style w:type="paragraph" w:styleId="1114">
    <w:name w:val="ConsNonformat"/>
    <w:next w:val="1114"/>
    <w:link w:val="924"/>
    <w:rPr>
      <w:rFonts w:ascii="Courier New" w:hAnsi="Courier New" w:cs="Courier New"/>
      <w:lang w:val="ru-RU" w:eastAsia="ru-RU" w:bidi="ar-SA"/>
    </w:rPr>
  </w:style>
  <w:style w:type="paragraph" w:styleId="1115">
    <w:name w:val=" Знак Знак Знак"/>
    <w:basedOn w:val="924"/>
    <w:next w:val="1115"/>
    <w:link w:val="924"/>
    <w:pPr>
      <w:jc w:val="left"/>
      <w:spacing w:before="100" w:beforeAutospacing="1" w:after="100" w:afterAutospacing="1"/>
    </w:pPr>
    <w:rPr>
      <w:rFonts w:ascii="Tahoma" w:hAnsi="Tahoma"/>
      <w:sz w:val="20"/>
      <w:szCs w:val="20"/>
      <w:lang w:val="en-US" w:eastAsia="en-US"/>
    </w:rPr>
  </w:style>
  <w:style w:type="character" w:styleId="1116">
    <w:name w:val="Normal Знак"/>
    <w:next w:val="1116"/>
    <w:link w:val="1036"/>
    <w:rPr>
      <w:sz w:val="24"/>
      <w:lang w:val="ru-RU" w:eastAsia="ru-RU" w:bidi="ar-SA"/>
    </w:rPr>
  </w:style>
  <w:style w:type="paragraph" w:styleId="1117">
    <w:name w:val=" Знак1 Знак Знак Знак Знак Знак Знак Знак Знак Знак"/>
    <w:basedOn w:val="924"/>
    <w:next w:val="926"/>
    <w:link w:val="924"/>
    <w:pPr>
      <w:jc w:val="left"/>
      <w:spacing w:after="160" w:line="240" w:lineRule="exact"/>
    </w:pPr>
    <w:rPr>
      <w:szCs w:val="20"/>
      <w:lang w:val="en-US" w:eastAsia="en-US"/>
    </w:rPr>
  </w:style>
  <w:style w:type="paragraph" w:styleId="1118">
    <w:name w:val="Îáû÷íûé"/>
    <w:next w:val="1118"/>
    <w:link w:val="924"/>
    <w:rPr>
      <w:lang w:val="ru-RU" w:eastAsia="ru-RU" w:bidi="ar-SA"/>
    </w:rPr>
  </w:style>
  <w:style w:type="paragraph" w:styleId="1119">
    <w:name w:val="СТИЛЬ 1"/>
    <w:next w:val="1119"/>
    <w:link w:val="924"/>
    <w:pPr>
      <w:numPr>
        <w:ilvl w:val="0"/>
        <w:numId w:val="22"/>
      </w:numPr>
      <w:jc w:val="both"/>
      <w:spacing w:before="240" w:after="120"/>
    </w:pPr>
    <w:rPr>
      <w:b/>
      <w:sz w:val="28"/>
      <w:szCs w:val="24"/>
      <w:lang w:val="ru-RU" w:eastAsia="ru-RU" w:bidi="ar-SA"/>
    </w:rPr>
  </w:style>
  <w:style w:type="paragraph" w:styleId="1120">
    <w:name w:val="СТИЛЬ 2"/>
    <w:basedOn w:val="1119"/>
    <w:next w:val="1120"/>
    <w:link w:val="924"/>
    <w:pPr>
      <w:numPr>
        <w:ilvl w:val="1"/>
        <w:numId w:val="22"/>
      </w:numPr>
    </w:pPr>
    <w:rPr>
      <w:b w:val="0"/>
      <w:szCs w:val="28"/>
    </w:rPr>
  </w:style>
  <w:style w:type="paragraph" w:styleId="1121">
    <w:name w:val="СТИЛЬ 3"/>
    <w:basedOn w:val="924"/>
    <w:next w:val="1121"/>
    <w:link w:val="924"/>
    <w:pPr>
      <w:numPr>
        <w:ilvl w:val="2"/>
        <w:numId w:val="22"/>
      </w:numPr>
      <w:spacing w:before="120" w:after="120"/>
    </w:pPr>
    <w:rPr>
      <w:sz w:val="28"/>
    </w:rPr>
  </w:style>
  <w:style w:type="paragraph" w:styleId="1122">
    <w:name w:val="Tnd_Раздел"/>
    <w:basedOn w:val="924"/>
    <w:next w:val="1122"/>
    <w:link w:val="924"/>
    <w:pPr>
      <w:jc w:val="left"/>
    </w:pPr>
    <w:rPr>
      <w:rFonts w:ascii="Arial" w:hAnsi="Arial" w:cs="Arial"/>
      <w:b/>
      <w:bCs/>
      <w:caps/>
      <w:sz w:val="20"/>
      <w:szCs w:val="20"/>
    </w:rPr>
  </w:style>
  <w:style w:type="character" w:styleId="1123">
    <w:name w:val="Строгий"/>
    <w:next w:val="1123"/>
    <w:link w:val="924"/>
    <w:uiPriority w:val="99"/>
    <w:qFormat/>
    <w:rPr>
      <w:b/>
      <w:bCs/>
    </w:rPr>
  </w:style>
  <w:style w:type="character" w:styleId="1124">
    <w:name w:val="Font Style17"/>
    <w:next w:val="1124"/>
    <w:link w:val="924"/>
    <w:rPr>
      <w:rFonts w:ascii="MS Reference Sans Serif" w:hAnsi="MS Reference Sans Serif" w:cs="MS Reference Sans Serif"/>
      <w:b/>
      <w:bCs/>
      <w:sz w:val="16"/>
      <w:szCs w:val="16"/>
    </w:rPr>
  </w:style>
  <w:style w:type="character" w:styleId="1125">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25"/>
    <w:link w:val="924"/>
    <w:rPr>
      <w:b/>
      <w:sz w:val="36"/>
    </w:rPr>
  </w:style>
  <w:style w:type="paragraph" w:styleId="1126">
    <w:name w:val="Основной текст с отступом 32"/>
    <w:basedOn w:val="924"/>
    <w:next w:val="1126"/>
    <w:link w:val="924"/>
    <w:pPr>
      <w:ind w:left="283"/>
      <w:jc w:val="left"/>
      <w:spacing w:after="120"/>
    </w:pPr>
    <w:rPr>
      <w:rFonts w:eastAsia="Calibri"/>
      <w:sz w:val="16"/>
      <w:szCs w:val="16"/>
      <w:lang w:eastAsia="ar-SA"/>
    </w:rPr>
  </w:style>
  <w:style w:type="character" w:styleId="1127">
    <w:name w:val="Font Style18"/>
    <w:next w:val="1127"/>
    <w:link w:val="924"/>
    <w:rPr>
      <w:rFonts w:ascii="MS Reference Sans Serif" w:hAnsi="MS Reference Sans Serif" w:cs="MS Reference Sans Serif"/>
      <w:sz w:val="16"/>
      <w:szCs w:val="16"/>
    </w:rPr>
  </w:style>
  <w:style w:type="character" w:styleId="1128">
    <w:name w:val="Font Style15"/>
    <w:next w:val="1128"/>
    <w:link w:val="924"/>
    <w:rPr>
      <w:rFonts w:ascii="MS Reference Sans Serif" w:hAnsi="MS Reference Sans Serif" w:cs="MS Reference Sans Serif"/>
      <w:b/>
      <w:bCs/>
      <w:sz w:val="20"/>
      <w:szCs w:val="20"/>
    </w:rPr>
  </w:style>
  <w:style w:type="paragraph" w:styleId="1129">
    <w:name w:val="Style5"/>
    <w:basedOn w:val="924"/>
    <w:next w:val="1129"/>
    <w:link w:val="924"/>
    <w:pPr>
      <w:ind w:hanging="226"/>
      <w:spacing w:line="232" w:lineRule="exact"/>
      <w:widowControl w:val="off"/>
    </w:pPr>
    <w:rPr>
      <w:rFonts w:ascii="MS Reference Sans Serif" w:hAnsi="MS Reference Sans Serif" w:cs="MS Reference Sans Serif"/>
    </w:rPr>
  </w:style>
  <w:style w:type="paragraph" w:styleId="1130">
    <w:name w:val="Style12"/>
    <w:basedOn w:val="924"/>
    <w:next w:val="1130"/>
    <w:link w:val="924"/>
    <w:pPr>
      <w:ind w:hanging="341"/>
      <w:jc w:val="left"/>
      <w:spacing w:line="235" w:lineRule="exact"/>
      <w:widowControl w:val="off"/>
    </w:pPr>
    <w:rPr>
      <w:rFonts w:ascii="MS Reference Sans Serif" w:hAnsi="MS Reference Sans Serif" w:cs="MS Reference Sans Serif"/>
    </w:rPr>
  </w:style>
  <w:style w:type="paragraph" w:styleId="1131">
    <w:name w:val="Style7"/>
    <w:basedOn w:val="924"/>
    <w:next w:val="1131"/>
    <w:link w:val="924"/>
    <w:pPr>
      <w:jc w:val="left"/>
      <w:widowControl w:val="off"/>
    </w:pPr>
    <w:rPr>
      <w:rFonts w:ascii="MS Reference Sans Serif" w:hAnsi="MS Reference Sans Serif" w:cs="MS Reference Sans Serif"/>
    </w:rPr>
  </w:style>
  <w:style w:type="paragraph" w:styleId="1132">
    <w:name w:val="xl24"/>
    <w:basedOn w:val="924"/>
    <w:next w:val="1132"/>
    <w:link w:val="924"/>
    <w:pPr>
      <w:jc w:val="center"/>
      <w:spacing w:before="100" w:after="100"/>
    </w:pPr>
    <w:rPr>
      <w:szCs w:val="20"/>
    </w:rPr>
  </w:style>
  <w:style w:type="character" w:styleId="1133">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33"/>
    <w:link w:val="924"/>
    <w:rPr>
      <w:b/>
      <w:sz w:val="36"/>
    </w:rPr>
  </w:style>
  <w:style w:type="paragraph" w:styleId="1134">
    <w:name w:val="Без интервала"/>
    <w:next w:val="1134"/>
    <w:link w:val="924"/>
    <w:uiPriority w:val="1"/>
    <w:qFormat/>
    <w:rPr>
      <w:rFonts w:ascii="Calibri" w:hAnsi="Calibri"/>
      <w:sz w:val="22"/>
      <w:szCs w:val="22"/>
      <w:lang w:val="ru-RU" w:eastAsia="ru-RU" w:bidi="ar-SA"/>
    </w:rPr>
  </w:style>
  <w:style w:type="character" w:styleId="1135">
    <w:name w:val="Название Знак"/>
    <w:next w:val="1135"/>
    <w:link w:val="924"/>
    <w:rPr>
      <w:rFonts w:ascii="Monotype Corsiva" w:hAnsi="Monotype Corsiva" w:cs="Monotype Corsiva"/>
      <w:b/>
      <w:bCs/>
      <w:sz w:val="28"/>
      <w:szCs w:val="28"/>
      <w:lang w:val="ru-RU" w:eastAsia="ru-RU" w:bidi="ar-SA"/>
    </w:rPr>
  </w:style>
  <w:style w:type="paragraph" w:styleId="1136">
    <w:name w:val="Стиль 10 пт Первая строка:  0 см"/>
    <w:basedOn w:val="924"/>
    <w:next w:val="1136"/>
    <w:link w:val="924"/>
    <w:rPr>
      <w:rFonts w:ascii="Monotype Corsiva" w:hAnsi="Monotype Corsiva" w:cs="Monotype Corsiva"/>
    </w:rPr>
  </w:style>
  <w:style w:type="paragraph" w:styleId="1137">
    <w:name w:val=" Char"/>
    <w:basedOn w:val="924"/>
    <w:next w:val="1137"/>
    <w:link w:val="924"/>
    <w:pPr>
      <w:jc w:val="left"/>
      <w:keepLines/>
      <w:spacing w:after="160" w:line="240" w:lineRule="exact"/>
    </w:pPr>
    <w:rPr>
      <w:rFonts w:ascii="Verdana" w:hAnsi="Verdana" w:eastAsia="MS Mincho" w:cs="Franklin Gothic Book"/>
      <w:sz w:val="20"/>
      <w:szCs w:val="20"/>
      <w:lang w:val="en-US" w:eastAsia="en-US"/>
    </w:rPr>
  </w:style>
  <w:style w:type="paragraph" w:styleId="1138">
    <w:name w:val="Обычный + 11"/>
    <w:basedOn w:val="924"/>
    <w:next w:val="1138"/>
    <w:link w:val="924"/>
    <w:pPr>
      <w:ind w:left="360" w:hanging="360"/>
    </w:pPr>
  </w:style>
  <w:style w:type="paragraph" w:styleId="1139">
    <w:name w:val="Обычный + 11 пт"/>
    <w:basedOn w:val="1138"/>
    <w:next w:val="1139"/>
    <w:link w:val="924"/>
  </w:style>
  <w:style w:type="paragraph" w:styleId="1140">
    <w:name w:val="Обычный без отступа"/>
    <w:basedOn w:val="924"/>
    <w:next w:val="1140"/>
    <w:link w:val="924"/>
    <w:pPr>
      <w:jc w:val="left"/>
      <w:widowControl w:val="off"/>
    </w:pPr>
    <w:rPr>
      <w:rFonts w:eastAsia="Lucida Sans Unicode" w:cs="Mangal"/>
      <w:szCs w:val="20"/>
      <w:lang w:eastAsia="hi-IN" w:bidi="hi-IN"/>
    </w:rPr>
  </w:style>
  <w:style w:type="paragraph" w:styleId="1141">
    <w:name w:val="Указатель 1"/>
    <w:basedOn w:val="924"/>
    <w:next w:val="924"/>
    <w:link w:val="924"/>
    <w:semiHidden/>
    <w:pPr>
      <w:ind w:left="240" w:hanging="240"/>
    </w:pPr>
  </w:style>
  <w:style w:type="paragraph" w:styleId="1142">
    <w:name w:val="Указатель"/>
    <w:basedOn w:val="1136"/>
    <w:next w:val="1141"/>
    <w:link w:val="924"/>
    <w:pPr>
      <w:jc w:val="left"/>
    </w:pPr>
  </w:style>
  <w:style w:type="paragraph" w:styleId="1143">
    <w:name w:val="Абзац списка,Bullet List,FooterText,numbered,Paragraphe de liste1,lp1"/>
    <w:basedOn w:val="924"/>
    <w:next w:val="1143"/>
    <w:link w:val="1158"/>
    <w:uiPriority w:val="34"/>
    <w:qFormat/>
    <w:pPr>
      <w:ind w:left="720" w:firstLine="709"/>
      <w:jc w:val="left"/>
    </w:pPr>
    <w:rPr>
      <w:rFonts w:ascii="Monotype Corsiva" w:hAnsi="Monotype Corsiva" w:cs="Monotype Corsiva"/>
      <w:sz w:val="28"/>
      <w:szCs w:val="28"/>
      <w:lang w:eastAsia="en-US"/>
    </w:rPr>
  </w:style>
  <w:style w:type="paragraph" w:styleId="1144">
    <w:name w:val="List Paragraph"/>
    <w:basedOn w:val="924"/>
    <w:next w:val="1144"/>
    <w:link w:val="924"/>
    <w:pPr>
      <w:ind w:left="720" w:firstLine="709"/>
      <w:jc w:val="left"/>
    </w:pPr>
    <w:rPr>
      <w:rFonts w:ascii="Monotype Corsiva" w:hAnsi="Monotype Corsiva" w:cs="Monotype Corsiva"/>
      <w:sz w:val="28"/>
      <w:szCs w:val="28"/>
      <w:lang w:eastAsia="en-US"/>
    </w:rPr>
  </w:style>
  <w:style w:type="paragraph" w:styleId="1145">
    <w:name w:val="Default"/>
    <w:next w:val="1145"/>
    <w:link w:val="924"/>
    <w:rPr>
      <w:color w:val="000000"/>
      <w:sz w:val="24"/>
      <w:szCs w:val="24"/>
      <w:lang w:val="ru-RU" w:eastAsia="ru-RU" w:bidi="ar-SA"/>
    </w:rPr>
  </w:style>
  <w:style w:type="character" w:styleId="1146">
    <w:name w:val="Стиль3 Знак Знак Знак"/>
    <w:next w:val="1146"/>
    <w:link w:val="1049"/>
    <w:rPr>
      <w:sz w:val="24"/>
      <w:lang w:val="ru-RU" w:eastAsia="ru-RU" w:bidi="ar-SA"/>
    </w:rPr>
  </w:style>
  <w:style w:type="character" w:styleId="1147">
    <w:name w:val="Footnote Text Char Знак Знак Знак,Footnote Text Char Знак Знак1,Footnote Text Char Знак Знак Знак Знак Знак Знак"/>
    <w:basedOn w:val="934"/>
    <w:next w:val="1147"/>
    <w:link w:val="924"/>
    <w:semiHidden/>
  </w:style>
  <w:style w:type="paragraph" w:styleId="1148">
    <w:name w:val="No Spacing"/>
    <w:next w:val="1148"/>
    <w:link w:val="924"/>
    <w:rPr>
      <w:rFonts w:eastAsia="Calibri"/>
      <w:sz w:val="18"/>
      <w:szCs w:val="18"/>
      <w:lang w:val="ru-RU" w:eastAsia="ru-RU" w:bidi="ar-SA"/>
    </w:rPr>
  </w:style>
  <w:style w:type="paragraph" w:styleId="1149">
    <w:name w:val="14"/>
    <w:basedOn w:val="924"/>
    <w:next w:val="1149"/>
    <w:link w:val="924"/>
    <w:pPr>
      <w:jc w:val="left"/>
      <w:spacing w:before="120" w:after="240"/>
    </w:pPr>
    <w:rPr>
      <w:b/>
      <w:bCs/>
      <w:sz w:val="28"/>
      <w:szCs w:val="28"/>
    </w:rPr>
  </w:style>
  <w:style w:type="paragraph" w:styleId="1150">
    <w:name w:val="Без интервала1"/>
    <w:next w:val="1150"/>
    <w:link w:val="924"/>
    <w:rPr>
      <w:sz w:val="18"/>
      <w:szCs w:val="18"/>
      <w:lang w:val="ru-RU" w:eastAsia="ru-RU" w:bidi="ar-SA"/>
    </w:rPr>
  </w:style>
  <w:style w:type="paragraph" w:styleId="1151">
    <w:name w:val="Схема документа"/>
    <w:basedOn w:val="924"/>
    <w:next w:val="1151"/>
    <w:link w:val="924"/>
    <w:semiHidden/>
    <w:pPr>
      <w:jc w:val="left"/>
      <w:shd w:val="clear" w:color="auto" w:fill="000080"/>
    </w:pPr>
    <w:rPr>
      <w:rFonts w:ascii="Tahoma" w:hAnsi="Tahoma" w:cs="Tahoma"/>
      <w:color w:val="ff0000"/>
      <w:sz w:val="20"/>
      <w:szCs w:val="20"/>
    </w:rPr>
  </w:style>
  <w:style w:type="paragraph" w:styleId="1152">
    <w:name w:val="western"/>
    <w:basedOn w:val="924"/>
    <w:next w:val="1152"/>
    <w:link w:val="924"/>
    <w:pPr>
      <w:jc w:val="left"/>
      <w:spacing w:before="100" w:beforeAutospacing="1" w:after="100" w:afterAutospacing="1"/>
    </w:pPr>
    <w:rPr>
      <w:color w:val="ff0000"/>
    </w:rPr>
  </w:style>
  <w:style w:type="character" w:styleId="1153">
    <w:name w:val="apple-converted-space"/>
    <w:basedOn w:val="934"/>
    <w:next w:val="1153"/>
    <w:link w:val="924"/>
  </w:style>
  <w:style w:type="character" w:styleId="1154">
    <w:name w:val="highlight"/>
    <w:basedOn w:val="934"/>
    <w:next w:val="1154"/>
    <w:link w:val="924"/>
  </w:style>
  <w:style w:type="character" w:styleId="1155">
    <w:name w:val="application"/>
    <w:basedOn w:val="934"/>
    <w:next w:val="1155"/>
    <w:link w:val="924"/>
  </w:style>
  <w:style w:type="character" w:styleId="1156">
    <w:name w:val="Название книги"/>
    <w:next w:val="1156"/>
    <w:link w:val="924"/>
    <w:qFormat/>
    <w:rPr>
      <w:b/>
      <w:bCs/>
      <w:smallCaps/>
      <w:spacing w:val="5"/>
    </w:rPr>
  </w:style>
  <w:style w:type="character" w:styleId="1157">
    <w:name w:val="apple-style-span"/>
    <w:next w:val="1157"/>
    <w:link w:val="924"/>
  </w:style>
  <w:style w:type="character" w:styleId="1158">
    <w:name w:val="Абзац списка Знак,Bullet List Знак,FooterText Знак,numbered Знак,Paragraphe de liste1 Знак,lp1 Знак"/>
    <w:next w:val="1158"/>
    <w:link w:val="1143"/>
    <w:rPr>
      <w:rFonts w:ascii="Monotype Corsiva" w:hAnsi="Monotype Corsiva" w:cs="Monotype Corsiva"/>
      <w:sz w:val="28"/>
      <w:szCs w:val="28"/>
      <w:lang w:val="ru-RU" w:eastAsia="en-US" w:bidi="ar-SA"/>
    </w:rPr>
  </w:style>
  <w:style w:type="paragraph" w:styleId="1159">
    <w:name w:val="PEA"/>
    <w:next w:val="1159"/>
    <w:link w:val="924"/>
    <w:pPr>
      <w:ind w:firstLine="720"/>
      <w:widowControl w:val="off"/>
    </w:pPr>
    <w:rPr>
      <w:rFonts w:ascii="Arial" w:hAnsi="Arial" w:cs="Arial"/>
      <w:lang w:val="ru-RU" w:eastAsia="ru-RU" w:bidi="ar-SA"/>
    </w:rPr>
  </w:style>
  <w:style w:type="paragraph" w:styleId="1160">
    <w:name w:val="consplusnonformat"/>
    <w:basedOn w:val="924"/>
    <w:next w:val="1160"/>
    <w:link w:val="924"/>
    <w:pPr>
      <w:jc w:val="left"/>
    </w:pPr>
    <w:rPr>
      <w:rFonts w:ascii="Courier New" w:hAnsi="Courier New" w:eastAsia="Calibri" w:cs="Courier New"/>
      <w:sz w:val="20"/>
      <w:szCs w:val="20"/>
    </w:rPr>
  </w:style>
  <w:style w:type="paragraph" w:styleId="1161">
    <w:name w:val="font5"/>
    <w:basedOn w:val="924"/>
    <w:next w:val="1161"/>
    <w:link w:val="924"/>
    <w:pPr>
      <w:jc w:val="left"/>
      <w:spacing w:before="100" w:beforeAutospacing="1" w:after="100" w:afterAutospacing="1"/>
    </w:pPr>
    <w:rPr>
      <w:rFonts w:ascii="Arial" w:hAnsi="Arial" w:cs="Arial"/>
      <w:i/>
      <w:iCs/>
      <w:sz w:val="20"/>
      <w:szCs w:val="20"/>
    </w:rPr>
  </w:style>
  <w:style w:type="paragraph" w:styleId="1162">
    <w:name w:val="xl63"/>
    <w:basedOn w:val="924"/>
    <w:next w:val="1162"/>
    <w:link w:val="924"/>
    <w:pPr>
      <w:jc w:val="left"/>
      <w:spacing w:before="100" w:beforeAutospacing="1" w:after="100" w:afterAutospacing="1"/>
    </w:pPr>
    <w:rPr>
      <w:rFonts w:ascii="Arial" w:hAnsi="Arial" w:cs="Arial"/>
    </w:rPr>
  </w:style>
  <w:style w:type="paragraph" w:styleId="1163">
    <w:name w:val="xl64"/>
    <w:basedOn w:val="924"/>
    <w:next w:val="1163"/>
    <w:link w:val="924"/>
    <w:pPr>
      <w:jc w:val="center"/>
      <w:spacing w:before="100" w:beforeAutospacing="1" w:after="100" w:afterAutospacing="1"/>
    </w:pPr>
    <w:rPr>
      <w:rFonts w:ascii="Arial" w:hAnsi="Arial" w:cs="Arial"/>
    </w:rPr>
  </w:style>
  <w:style w:type="paragraph" w:styleId="1164">
    <w:name w:val="xl65"/>
    <w:basedOn w:val="924"/>
    <w:next w:val="1164"/>
    <w:link w:val="924"/>
    <w:pPr>
      <w:jc w:val="left"/>
      <w:spacing w:before="100" w:beforeAutospacing="1" w:after="100" w:afterAutospacing="1"/>
    </w:pPr>
    <w:rPr>
      <w:rFonts w:ascii="Arial" w:hAnsi="Arial" w:cs="Arial"/>
    </w:rPr>
  </w:style>
  <w:style w:type="paragraph" w:styleId="1165">
    <w:name w:val="xl66"/>
    <w:basedOn w:val="924"/>
    <w:next w:val="1165"/>
    <w:link w:val="924"/>
    <w:pPr>
      <w:jc w:val="center"/>
      <w:spacing w:before="100" w:beforeAutospacing="1" w:after="100" w:afterAutospacing="1"/>
    </w:pPr>
    <w:rPr>
      <w:rFonts w:ascii="Arial" w:hAnsi="Arial" w:cs="Arial"/>
    </w:rPr>
  </w:style>
  <w:style w:type="paragraph" w:styleId="1166">
    <w:name w:val="xl67"/>
    <w:basedOn w:val="924"/>
    <w:next w:val="1166"/>
    <w:link w:val="924"/>
    <w:pPr>
      <w:jc w:val="right"/>
      <w:spacing w:before="100" w:beforeAutospacing="1" w:after="100" w:afterAutospacing="1"/>
    </w:pPr>
    <w:rPr>
      <w:rFonts w:ascii="Arial" w:hAnsi="Arial" w:cs="Arial"/>
    </w:rPr>
  </w:style>
  <w:style w:type="paragraph" w:styleId="1167">
    <w:name w:val="xl68"/>
    <w:basedOn w:val="924"/>
    <w:next w:val="1167"/>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8">
    <w:name w:val="xl69"/>
    <w:basedOn w:val="924"/>
    <w:next w:val="1168"/>
    <w:link w:val="92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9">
    <w:name w:val="xl70"/>
    <w:basedOn w:val="924"/>
    <w:next w:val="1169"/>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0">
    <w:name w:val="xl71"/>
    <w:basedOn w:val="924"/>
    <w:next w:val="1170"/>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1">
    <w:name w:val="xl72"/>
    <w:basedOn w:val="924"/>
    <w:next w:val="1171"/>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2">
    <w:name w:val="xl73"/>
    <w:basedOn w:val="924"/>
    <w:next w:val="1172"/>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173">
    <w:name w:val="Сетка таблицы светлая"/>
    <w:basedOn w:val="935"/>
    <w:next w:val="1173"/>
    <w:link w:val="924"/>
    <w:rPr>
      <w:rFonts w:ascii="Calibri" w:hAnsi="Calibri" w:eastAsia="Calibri"/>
    </w:rPr>
    <w:tblPr/>
  </w:style>
  <w:style w:type="character" w:styleId="1174">
    <w:name w:val="Выделение"/>
    <w:next w:val="1174"/>
    <w:link w:val="924"/>
    <w:qFormat/>
    <w:rPr>
      <w:i/>
      <w:iCs/>
    </w:rPr>
  </w:style>
  <w:style w:type="numbering" w:styleId="1175">
    <w:name w:val="Нет списка1"/>
    <w:next w:val="936"/>
    <w:link w:val="924"/>
    <w:semiHidden/>
    <w:unhideWhenUsed/>
  </w:style>
  <w:style w:type="character" w:styleId="1176">
    <w:name w:val="ConsPlusNormal Знак"/>
    <w:next w:val="1176"/>
    <w:link w:val="1045"/>
    <w:uiPriority w:val="99"/>
    <w:rPr>
      <w:rFonts w:ascii="Arial" w:hAnsi="Arial" w:cs="Arial"/>
      <w:lang w:val="ru-RU" w:eastAsia="ru-RU" w:bidi="ar-SA"/>
    </w:rPr>
  </w:style>
  <w:style w:type="paragraph" w:styleId="1177">
    <w:name w:val="headertext"/>
    <w:basedOn w:val="924"/>
    <w:next w:val="1177"/>
    <w:link w:val="924"/>
    <w:pPr>
      <w:jc w:val="left"/>
      <w:spacing w:before="100" w:beforeAutospacing="1" w:after="100" w:afterAutospacing="1"/>
    </w:pPr>
  </w:style>
  <w:style w:type="paragraph" w:styleId="1178">
    <w:name w:val="docdata,docy,v5,1022,bqiaagaaeyqcaaagiaiaaanlawaabxmdaaaaaaaaaaaaaaaaaaaaaaaaaaaaaaaaaaaaaaaaaaaaaaaaaaaaaaaaaaaaaaaaaaaaaaaaaaaaaaaaaaaaaaaaaaaaaaaaaaaaaaaaaaaaaaaaaaaaaaaaaaaaaaaaaaaaaaaaaaaaaaaaaaaaaaaaaaaaaaaaaaaaaaaaaaaaaaaaaaaaaaaaaaaaaaaaaaaaaaaa"/>
    <w:basedOn w:val="924"/>
    <w:next w:val="1178"/>
    <w:link w:val="924"/>
    <w:pPr>
      <w:jc w:val="left"/>
      <w:spacing w:before="100" w:beforeAutospacing="1" w:after="100" w:afterAutospacing="1"/>
    </w:p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Белова Инна Николаевна</cp:lastModifiedBy>
  <cp:revision>281</cp:revision>
  <dcterms:created xsi:type="dcterms:W3CDTF">2016-04-14T06:45:00Z</dcterms:created>
  <dcterms:modified xsi:type="dcterms:W3CDTF">2026-07-30T12:10:50Z</dcterms:modified>
  <cp:version>983040</cp:version>
</cp:coreProperties>
</file>