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/>
        <w:contextualSpacing w:val="true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Протокол обоснования ЦК (цены договора /контракта) 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Расчет ЦК иным методом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/>
        </w:rPr>
        <w:t xml:space="preserve">Объект закупки</w:t>
      </w:r>
      <w:r>
        <w:rPr>
          <w:rFonts w:ascii="Times New Roman" w:hAnsi="Times New Roman"/>
        </w:rPr>
        <w:t xml:space="preserve"> оказание Услуги  по организации и проведению мероприятия «Посвящение в студенты»</w: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p>
      <w:pPr>
        <w:pBdr/>
        <w:spacing w:after="0" w:line="240" w:lineRule="auto"/>
        <w:ind/>
        <w:contextualSpacing w:val="true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892"/>
        <w:pBdr/>
        <w:spacing w:after="0" w:line="240" w:lineRule="auto"/>
        <w:ind w:firstLine="426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Начальная (максимальная) цена договора/контракта сформирована в соответств</w:t>
      </w:r>
      <w:r>
        <w:rPr>
          <w:rFonts w:ascii="Times New Roman" w:hAnsi="Times New Roman"/>
        </w:rPr>
        <w:t xml:space="preserve">ии с Методическими рекомендациями по применению методов определения начальной (максимальной) цены договора /контракта,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426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Валюта, используемая для формирования цены контракта и расчетов с поставщиком – Российский рубль.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426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предусмотрен.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426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Особенности определения начальной максимальной цены контракта, предусмотренные </w:t>
      </w:r>
      <w:r>
        <w:rPr>
          <w:rFonts w:ascii="Times New Roman" w:hAnsi="Times New Roman"/>
        </w:rPr>
        <w:t xml:space="preserve">пп</w:t>
      </w:r>
      <w:r>
        <w:rPr>
          <w:rFonts w:ascii="Times New Roman" w:hAnsi="Times New Roman"/>
        </w:rPr>
        <w:t xml:space="preserve">. в п. 7 Постановления Правительст</w:t>
      </w:r>
      <w:r>
        <w:rPr>
          <w:rFonts w:ascii="Times New Roman" w:hAnsi="Times New Roman"/>
        </w:rPr>
        <w:t xml:space="preserve">ва РФ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от 23.12.2024 № 1875 не применяются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426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целях получения ценовой информации в отношении объекта закупки для определения ЦК заказчиком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pBdr/>
        <w:spacing w:after="0" w:line="240" w:lineRule="auto"/>
        <w:ind w:firstLine="426" w:left="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</w:t>
      </w:r>
      <w:r>
        <w:rPr>
          <w:rFonts w:ascii="Times New Roman" w:hAnsi="Times New Roman"/>
        </w:rPr>
        <w:t xml:space="preserve">твенной статистической отчетности о ценах на товары). В результате мониторинга сайтов потенциальных поставщиков услуг был выявлен один поставщик услуг, удовлетворяющий требования Заказчика в соответствии с техническим заданием - наличие зала свыше 700 мест</w:t>
      </w:r>
      <w:r>
        <w:rPr>
          <w:rFonts w:ascii="Times New Roman" w:hAnsi="Times New Roman"/>
        </w:rPr>
        <w:t xml:space="preserve">, в связи с ежегодным набором студентов на первый курс более 700 человек.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numPr>
          <w:ilvl w:val="0"/>
          <w:numId w:val="1"/>
        </w:numPr>
        <w:pBdr/>
        <w:spacing w:after="0" w:line="240" w:lineRule="auto"/>
        <w:ind w:firstLine="426" w:left="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Применить методы: нормативный и тарифный не представляется возможным, такт как на закупаемый объект государственное нормирование и утвержденные тарифы не предусмот</w:t>
      </w:r>
      <w:r>
        <w:rPr>
          <w:rFonts w:ascii="Times New Roman" w:hAnsi="Times New Roman"/>
        </w:rPr>
        <w:t xml:space="preserve">рены; проектно-сметный метод применяется только для строительных и ремонтных работ, затратный метод – заключается в определении ЦК как суммы произведенных затрат и обычной для определенной деятельности прибыли, что для данного объекта закупки не применимо.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right="0" w:firstLine="425" w:left="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Обоснование цены </w:t>
      </w:r>
      <w:r>
        <w:rPr>
          <w:rFonts w:ascii="Times New Roman" w:hAnsi="Times New Roman"/>
        </w:rPr>
        <w:t xml:space="preserve">выполнен</w:t>
      </w:r>
      <w:r>
        <w:rPr>
          <w:rFonts w:ascii="Times New Roman" w:hAnsi="Times New Roman"/>
        </w:rPr>
        <w:t xml:space="preserve"> иным методом: на основании сопоставления вместимости концертных залов</w:t>
      </w:r>
      <w:r>
        <w:rPr>
          <w:rFonts w:ascii="Times New Roman" w:hAnsi="Times New Roman"/>
        </w:rPr>
        <w:t xml:space="preserve"> Хабаровского краевого театра драмы, КСК «</w:t>
      </w:r>
      <w:r>
        <w:rPr>
          <w:rFonts w:ascii="Times New Roman" w:hAnsi="Times New Roman"/>
        </w:rPr>
        <w:t xml:space="preserve">Арсеналец</w:t>
      </w:r>
      <w:r>
        <w:rPr>
          <w:rFonts w:ascii="Times New Roman" w:hAnsi="Times New Roman"/>
        </w:rPr>
        <w:t xml:space="preserve">», МАУК Городской дворец культуры», Хабаровского городского дворца культуры профсоюзов</w:t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  <w:t xml:space="preserve"> Анализ данных показал, что обладателем зала не менее 700 мест является Хабаровский городской дворец  культуры профсоюзов.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right="0" w:firstLine="425" w:left="0"/>
        <w:contextualSpacing w:val="true"/>
        <w:jc w:val="both"/>
        <w:rPr>
          <w:rFonts w:ascii="Times New Roman" w:hAnsi="Times New Roman"/>
          <w:highlight w:val="none"/>
        </w:rPr>
      </w:pPr>
      <w:r>
        <w:rPr>
          <w:rFonts w:ascii="Times New Roman" w:hAnsi="Times New Roman"/>
        </w:rPr>
        <w:t xml:space="preserve">За ЦК принята информация с коммерческого предложения НОУК «Хабаровский краевой Дворец культуры профсоюзов».</w:t>
      </w:r>
      <w:r>
        <w:rPr>
          <w:rFonts w:ascii="Times New Roman" w:hAnsi="Times New Roman"/>
          <w:highlight w:val="none"/>
        </w:rPr>
      </w:r>
      <w:r>
        <w:rPr>
          <w:rFonts w:ascii="Times New Roman" w:hAnsi="Times New Roman"/>
          <w:highlight w:val="none"/>
        </w:rPr>
      </w:r>
    </w:p>
    <w:p w14:paraId="4F946735">
      <w:pPr>
        <w:pBdr/>
        <w:spacing w:after="0" w:line="240" w:lineRule="auto"/>
        <w:ind w:right="0" w:firstLine="425" w:left="0"/>
        <w:contextualSpacing w:val="true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  <w:highlight w:val="none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505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02"/>
        <w:gridCol w:w="2587"/>
        <w:gridCol w:w="621"/>
        <w:gridCol w:w="602"/>
        <w:gridCol w:w="1457"/>
        <w:gridCol w:w="1322"/>
        <w:gridCol w:w="1394"/>
        <w:gridCol w:w="1249"/>
        <w:gridCol w:w="1391"/>
        <w:gridCol w:w="1255"/>
        <w:gridCol w:w="930"/>
        <w:gridCol w:w="1123"/>
        <w:gridCol w:w="1337"/>
      </w:tblGrid>
      <w:tr>
        <w:trPr>
          <w:trHeight w:val="1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" w:type="pct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0" w:type="pct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Наименование товара, работ, услуг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88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Объем поставки товара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Предложение 1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9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Предложение 2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Предложение 3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Стоимость,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ОДН/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НЕОДН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6" w:type="pct"/>
            <w:vAlign w:val="center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ЦК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рын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.=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" w:type="pct"/>
            <w:vMerge w:val="restar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ЦК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мин.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4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0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9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1" w:type="pct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6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" w:type="pct"/>
            <w:vAlign w:val="center"/>
            <w:vMerge w:val="continue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trHeight w:val="24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20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Услуга по организации и проведению мероприятия «Посвящение в студенты»</w:t>
            </w:r>
            <w:r>
              <w:rPr>
                <w:rFonts w:ascii="Times New Roman" w:hAnsi="Times New Roman"/>
                <w:bCs/>
                <w:sz w:val="20"/>
                <w:szCs w:val="20"/>
              </w:rPr>
            </w:r>
            <w:r>
              <w:rPr>
                <w:rFonts w:ascii="Times New Roman" w:hAnsi="Times New Roman"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7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91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2" w:type="pct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206 780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,00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19" w:type="pct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2" w:type="pct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6" w:type="pct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41" w:type="pct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98" w:type="pct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" w:type="pct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  <w:t xml:space="preserve">-</w:t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/>
                <w:color w:val="000000"/>
                <w:sz w:val="20"/>
                <w:szCs w:val="20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6" w:type="pct"/>
            <w:textDirection w:val="lrTb"/>
            <w:noWrap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4" w:type="pct"/>
            <w:textDirection w:val="lrTb"/>
            <w:noWrap w:val="false"/>
          </w:tcPr>
          <w:p>
            <w:pPr>
              <w:pBdr/>
              <w:spacing w:line="240" w:lineRule="auto"/>
              <w:ind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206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 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78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0,00</w:t>
            </w:r>
            <w:r>
              <w:rPr>
                <w:rFonts w:ascii="Times New Roman" w:hAnsi="Times New Roman"/>
                <w:sz w:val="20"/>
                <w:szCs w:val="20"/>
              </w:rPr>
            </w: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</w:tbl>
    <w:p w14:paraId="4F14A90D">
      <w:pPr>
        <w:pBdr/>
        <w:spacing w:after="0" w:line="240" w:lineRule="auto"/>
        <w:ind/>
        <w:contextualSpacing w:val="true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highlight w:val="none"/>
          <w:lang w:eastAsia="ru-RU"/>
        </w:rPr>
      </w:r>
      <w:r>
        <w:rPr>
          <w:rFonts w:ascii="Times New Roman" w:hAnsi="Times New Roman"/>
          <w:lang w:eastAsia="ru-RU"/>
        </w:rPr>
      </w:r>
      <w:r>
        <w:rPr>
          <w:rFonts w:ascii="Times New Roman" w:hAnsi="Times New Roman"/>
          <w:lang w:eastAsia="ru-RU"/>
        </w:rPr>
      </w:r>
    </w:p>
    <w:p>
      <w:pPr>
        <w:pBdr/>
        <w:spacing w:after="0" w:line="240" w:lineRule="auto"/>
        <w:ind w:right="0" w:firstLine="425" w:left="0"/>
        <w:contextualSpacing w:val="true"/>
        <w:rPr>
          <w:rFonts w:ascii="Times New Roman" w:hAnsi="Times New Roman"/>
          <w:highlight w:val="none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/>
          <w:lang w:eastAsia="ru-RU"/>
        </w:rPr>
        <w:t xml:space="preserve">Реквизиты документов, на основании которых произведен расчет</w:t>
      </w:r>
      <w:r>
        <w:rPr>
          <w:rFonts w:ascii="Times New Roman" w:hAnsi="Times New Roman"/>
        </w:rPr>
        <w:t xml:space="preserve"> ЦК</w:t>
      </w:r>
      <w:r>
        <w:rPr>
          <w:rFonts w:ascii="Times New Roman" w:hAnsi="Times New Roman"/>
          <w:lang w:eastAsia="ru-RU"/>
        </w:rPr>
        <w:t xml:space="preserve">: </w:t>
      </w:r>
      <w:r>
        <w:rPr>
          <w:rFonts w:ascii="Times New Roman" w:hAnsi="Times New Roman"/>
          <w:highlight w:val="none"/>
          <w:lang w:eastAsia="ru-RU"/>
        </w:rPr>
      </w:r>
      <w:r>
        <w:rPr>
          <w:rFonts w:ascii="Times New Roman" w:hAnsi="Times New Roman"/>
          <w:highlight w:val="none"/>
          <w:lang w:eastAsia="ru-RU"/>
        </w:rPr>
      </w:r>
    </w:p>
    <w:p>
      <w:pPr>
        <w:pBdr/>
        <w:spacing w:after="0" w:line="240" w:lineRule="auto"/>
        <w:ind w:right="0" w:firstLine="425" w:left="0"/>
        <w:contextualSpacing w:val="true"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 xml:space="preserve">Коммерческое предложение </w:t>
      </w:r>
      <w:r>
        <w:rPr>
          <w:rFonts w:ascii="Times New Roman" w:hAnsi="Times New Roman"/>
        </w:rPr>
        <w:t xml:space="preserve">вход </w:t>
      </w:r>
      <w:r>
        <w:rPr>
          <w:rFonts w:ascii="Times New Roman" w:hAnsi="Times New Roman"/>
        </w:rPr>
        <w:t xml:space="preserve">№ </w:t>
      </w:r>
      <w:r>
        <w:rPr>
          <w:rFonts w:ascii="Times New Roman" w:hAnsi="Times New Roman"/>
        </w:rPr>
        <w:t xml:space="preserve">688</w:t>
      </w:r>
      <w:r>
        <w:rPr>
          <w:rFonts w:ascii="Times New Roman" w:hAnsi="Times New Roman"/>
        </w:rPr>
        <w:t xml:space="preserve"> от </w:t>
      </w:r>
      <w:r>
        <w:rPr>
          <w:rFonts w:ascii="Times New Roman" w:hAnsi="Times New Roman"/>
        </w:rPr>
        <w:t xml:space="preserve">13</w:t>
      </w:r>
      <w:r>
        <w:rPr>
          <w:rFonts w:ascii="Times New Roman" w:hAnsi="Times New Roman"/>
        </w:rPr>
        <w:t xml:space="preserve">.0</w:t>
      </w:r>
      <w:r>
        <w:rPr>
          <w:rFonts w:ascii="Times New Roman" w:hAnsi="Times New Roman"/>
        </w:rPr>
        <w:t xml:space="preserve">7</w:t>
      </w:r>
      <w:r>
        <w:rPr>
          <w:rFonts w:ascii="Times New Roman" w:hAnsi="Times New Roman"/>
        </w:rPr>
        <w:t xml:space="preserve">.2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right="0" w:firstLine="425"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 подготовки определения и (или) обоснования: 1</w:t>
      </w:r>
      <w:r>
        <w:rPr>
          <w:rFonts w:ascii="Times New Roman" w:hAnsi="Times New Roman"/>
        </w:rPr>
        <w:t xml:space="preserve">4</w:t>
      </w:r>
      <w:r>
        <w:rPr>
          <w:rFonts w:ascii="Times New Roman" w:hAnsi="Times New Roman"/>
        </w:rPr>
        <w:t xml:space="preserve">.0</w:t>
      </w:r>
      <w:r>
        <w:rPr>
          <w:rFonts w:ascii="Times New Roman" w:hAnsi="Times New Roman"/>
        </w:rPr>
        <w:t xml:space="preserve">7</w:t>
      </w:r>
      <w:r>
        <w:rPr>
          <w:rFonts w:ascii="Times New Roman" w:hAnsi="Times New Roman"/>
        </w:rPr>
        <w:t xml:space="preserve">.202</w:t>
      </w:r>
      <w:r>
        <w:rPr>
          <w:rFonts w:ascii="Times New Roman" w:hAnsi="Times New Roman"/>
        </w:rPr>
        <w:t xml:space="preserve">6</w:t>
      </w:r>
      <w:r>
        <w:rPr>
          <w:rFonts w:ascii="Times New Roman" w:hAnsi="Times New Roman"/>
        </w:rPr>
        <w:t xml:space="preserve"> г.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sectPr>
      <w:footnotePr/>
      <w:endnotePr/>
      <w:type w:val="nextPage"/>
      <w:pgSz w:h="11906" w:orient="landscape" w:w="16838"/>
      <w:pgMar w:top="426" w:right="720" w:bottom="284" w:left="72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Palatino Linotype">
    <w:panose1 w:val="02040503050406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782D19"/>
    <w:lvl w:ilvl="0">
      <w:isLgl w:val="false"/>
      <w:lvlJc w:val="left"/>
      <w:lvlText w:val="%1."/>
      <w:numFmt w:val="decimal"/>
      <w:pPr>
        <w:pBdr/>
        <w:spacing/>
        <w:ind w:hanging="360" w:left="786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6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6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6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6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6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6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6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6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Palatino Linotype" w:hAnsi="Palatino Linotype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/>
        <w:ind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90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9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90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9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1"/>
    <w:basedOn w:val="888"/>
    <w:next w:val="888"/>
    <w:link w:val="838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30">
    <w:name w:val="Heading 2"/>
    <w:basedOn w:val="888"/>
    <w:next w:val="888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31">
    <w:name w:val="Heading 3"/>
    <w:basedOn w:val="888"/>
    <w:next w:val="888"/>
    <w:link w:val="840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2">
    <w:name w:val="Heading 4"/>
    <w:basedOn w:val="888"/>
    <w:next w:val="888"/>
    <w:link w:val="841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3">
    <w:name w:val="Heading 5"/>
    <w:basedOn w:val="888"/>
    <w:next w:val="888"/>
    <w:link w:val="842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4">
    <w:name w:val="Heading 6"/>
    <w:basedOn w:val="888"/>
    <w:next w:val="888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5">
    <w:name w:val="Heading 7"/>
    <w:basedOn w:val="888"/>
    <w:next w:val="888"/>
    <w:link w:val="844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6">
    <w:name w:val="Heading 8"/>
    <w:basedOn w:val="888"/>
    <w:next w:val="888"/>
    <w:link w:val="845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7">
    <w:name w:val="Heading 9"/>
    <w:basedOn w:val="888"/>
    <w:next w:val="888"/>
    <w:link w:val="846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8">
    <w:name w:val="Heading 1 Char"/>
    <w:basedOn w:val="889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9">
    <w:name w:val="Heading 2 Char"/>
    <w:basedOn w:val="889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0">
    <w:name w:val="Heading 3 Char"/>
    <w:basedOn w:val="889"/>
    <w:link w:val="8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1">
    <w:name w:val="Heading 4 Char"/>
    <w:basedOn w:val="889"/>
    <w:link w:val="8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2">
    <w:name w:val="Heading 5 Char"/>
    <w:basedOn w:val="889"/>
    <w:link w:val="8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3">
    <w:name w:val="Heading 6 Char"/>
    <w:basedOn w:val="889"/>
    <w:link w:val="8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4">
    <w:name w:val="Heading 7 Char"/>
    <w:basedOn w:val="889"/>
    <w:link w:val="8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5">
    <w:name w:val="Heading 8 Char"/>
    <w:basedOn w:val="889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6">
    <w:name w:val="Heading 9 Char"/>
    <w:basedOn w:val="889"/>
    <w:link w:val="8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7">
    <w:name w:val="Title"/>
    <w:basedOn w:val="888"/>
    <w:next w:val="888"/>
    <w:link w:val="848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8">
    <w:name w:val="Title Char"/>
    <w:basedOn w:val="889"/>
    <w:link w:val="84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9">
    <w:name w:val="Subtitle"/>
    <w:basedOn w:val="888"/>
    <w:next w:val="888"/>
    <w:link w:val="850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50">
    <w:name w:val="Subtitle Char"/>
    <w:basedOn w:val="889"/>
    <w:link w:val="84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1">
    <w:name w:val="Quote"/>
    <w:basedOn w:val="888"/>
    <w:next w:val="888"/>
    <w:link w:val="852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2">
    <w:name w:val="Quote Char"/>
    <w:basedOn w:val="889"/>
    <w:link w:val="85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53">
    <w:name w:val="Intense Emphasis"/>
    <w:basedOn w:val="889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8"/>
    <w:next w:val="888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89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89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8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8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89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89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8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8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8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89"/>
    <w:link w:val="863"/>
    <w:uiPriority w:val="99"/>
    <w:pPr>
      <w:pBdr/>
      <w:spacing/>
      <w:ind/>
    </w:pPr>
  </w:style>
  <w:style w:type="paragraph" w:styleId="865">
    <w:name w:val="Footer"/>
    <w:basedOn w:val="888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89"/>
    <w:link w:val="865"/>
    <w:uiPriority w:val="99"/>
    <w:pPr>
      <w:pBdr/>
      <w:spacing/>
      <w:ind/>
    </w:pPr>
  </w:style>
  <w:style w:type="paragraph" w:styleId="867">
    <w:name w:val="Caption"/>
    <w:basedOn w:val="888"/>
    <w:next w:val="888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8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89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8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Endnote Text Char"/>
    <w:basedOn w:val="889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889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88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88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8"/>
    <w:next w:val="888"/>
    <w:uiPriority w:val="39"/>
    <w:unhideWhenUsed/>
    <w:pPr>
      <w:pBdr/>
      <w:spacing w:after="100"/>
      <w:ind/>
    </w:pPr>
  </w:style>
  <w:style w:type="paragraph" w:styleId="877">
    <w:name w:val="toc 2"/>
    <w:basedOn w:val="888"/>
    <w:next w:val="888"/>
    <w:uiPriority w:val="39"/>
    <w:unhideWhenUsed/>
    <w:pPr>
      <w:pBdr/>
      <w:spacing w:after="100"/>
      <w:ind w:left="220"/>
    </w:pPr>
  </w:style>
  <w:style w:type="paragraph" w:styleId="878">
    <w:name w:val="toc 3"/>
    <w:basedOn w:val="888"/>
    <w:next w:val="888"/>
    <w:uiPriority w:val="39"/>
    <w:unhideWhenUsed/>
    <w:pPr>
      <w:pBdr/>
      <w:spacing w:after="100"/>
      <w:ind w:left="440"/>
    </w:pPr>
  </w:style>
  <w:style w:type="paragraph" w:styleId="879">
    <w:name w:val="toc 4"/>
    <w:basedOn w:val="888"/>
    <w:next w:val="888"/>
    <w:uiPriority w:val="39"/>
    <w:unhideWhenUsed/>
    <w:pPr>
      <w:pBdr/>
      <w:spacing w:after="100"/>
      <w:ind w:left="660"/>
    </w:pPr>
  </w:style>
  <w:style w:type="paragraph" w:styleId="880">
    <w:name w:val="toc 5"/>
    <w:basedOn w:val="888"/>
    <w:next w:val="888"/>
    <w:uiPriority w:val="39"/>
    <w:unhideWhenUsed/>
    <w:pPr>
      <w:pBdr/>
      <w:spacing w:after="100"/>
      <w:ind w:left="880"/>
    </w:pPr>
  </w:style>
  <w:style w:type="paragraph" w:styleId="881">
    <w:name w:val="toc 6"/>
    <w:basedOn w:val="888"/>
    <w:next w:val="888"/>
    <w:uiPriority w:val="39"/>
    <w:unhideWhenUsed/>
    <w:pPr>
      <w:pBdr/>
      <w:spacing w:after="100"/>
      <w:ind w:left="1100"/>
    </w:pPr>
  </w:style>
  <w:style w:type="paragraph" w:styleId="882">
    <w:name w:val="toc 7"/>
    <w:basedOn w:val="888"/>
    <w:next w:val="888"/>
    <w:uiPriority w:val="39"/>
    <w:unhideWhenUsed/>
    <w:pPr>
      <w:pBdr/>
      <w:spacing w:after="100"/>
      <w:ind w:left="1320"/>
    </w:pPr>
  </w:style>
  <w:style w:type="paragraph" w:styleId="883">
    <w:name w:val="toc 8"/>
    <w:basedOn w:val="888"/>
    <w:next w:val="888"/>
    <w:uiPriority w:val="39"/>
    <w:unhideWhenUsed/>
    <w:pPr>
      <w:pBdr/>
      <w:spacing w:after="100"/>
      <w:ind w:left="1540"/>
    </w:pPr>
  </w:style>
  <w:style w:type="paragraph" w:styleId="884">
    <w:name w:val="toc 9"/>
    <w:basedOn w:val="888"/>
    <w:next w:val="888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889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8"/>
    <w:next w:val="888"/>
    <w:uiPriority w:val="99"/>
    <w:unhideWhenUsed/>
    <w:pPr>
      <w:pBdr/>
      <w:spacing w:after="0" w:afterAutospacing="0"/>
      <w:ind/>
    </w:pPr>
  </w:style>
  <w:style w:type="paragraph" w:styleId="888" w:default="1">
    <w:name w:val="Normal"/>
    <w:qFormat/>
    <w:pPr>
      <w:pBdr/>
      <w:spacing w:after="200" w:line="276" w:lineRule="auto"/>
      <w:ind/>
      <w:jc w:val="left"/>
    </w:pPr>
    <w:rPr>
      <w:rFonts w:ascii="Calibri" w:hAnsi="Calibri" w:eastAsia="Calibri" w:cs="Times New Roman"/>
    </w:rPr>
  </w:style>
  <w:style w:type="character" w:styleId="889" w:default="1">
    <w:name w:val="Default Paragraph Font"/>
    <w:uiPriority w:val="1"/>
    <w:semiHidden/>
    <w:unhideWhenUsed/>
    <w:pPr>
      <w:pBdr/>
      <w:spacing/>
      <w:ind/>
    </w:pPr>
  </w:style>
  <w:style w:type="table" w:styleId="89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91" w:default="1">
    <w:name w:val="No List"/>
    <w:uiPriority w:val="99"/>
    <w:semiHidden/>
    <w:unhideWhenUsed/>
    <w:pPr>
      <w:pBdr/>
      <w:spacing/>
      <w:ind/>
    </w:pPr>
  </w:style>
  <w:style w:type="paragraph" w:styleId="892">
    <w:name w:val="List Paragraph"/>
    <w:basedOn w:val="888"/>
    <w:link w:val="893"/>
    <w:uiPriority w:val="34"/>
    <w:qFormat/>
    <w:pPr>
      <w:pBdr/>
      <w:spacing/>
      <w:ind w:left="720"/>
      <w:contextualSpacing w:val="true"/>
    </w:pPr>
  </w:style>
  <w:style w:type="character" w:styleId="893" w:customStyle="1">
    <w:name w:val="Абзац списка Знак"/>
    <w:link w:val="892"/>
    <w:uiPriority w:val="34"/>
    <w:qFormat/>
    <w:pPr>
      <w:pBdr/>
      <w:spacing/>
      <w:ind/>
    </w:pPr>
    <w:rPr>
      <w:rFonts w:ascii="Calibri" w:hAnsi="Calibri" w:eastAsia="Calibri" w:cs="Times New Roma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244-01</dc:creator>
  <cp:revision>10</cp:revision>
  <dcterms:created xsi:type="dcterms:W3CDTF">2026-06-23T07:35:00Z</dcterms:created>
  <dcterms:modified xsi:type="dcterms:W3CDTF">2026-08-19T23:08:00Z</dcterms:modified>
</cp:coreProperties>
</file>