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tabs>
          <w:tab w:val="left" w:leader="none" w:pos="0"/>
        </w:tabs>
        <w:spacing w:after="0" w:line="240" w:lineRule="auto"/>
        <w:ind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</w:r>
      <w:r>
        <w:rPr>
          <w:rFonts w:ascii="Times New Roman" w:hAnsi="Times New Roman"/>
          <w:b/>
          <w:sz w:val="24"/>
          <w:szCs w:val="24"/>
          <w:lang w:eastAsia="ru-RU"/>
        </w:rPr>
      </w:r>
      <w:r>
        <w:rPr>
          <w:rFonts w:ascii="Times New Roman" w:hAnsi="Times New Roman"/>
          <w:b/>
          <w:sz w:val="24"/>
          <w:szCs w:val="24"/>
          <w:lang w:eastAsia="ru-RU"/>
        </w:rPr>
      </w:r>
    </w:p>
    <w:p>
      <w:pPr>
        <w:pBdr/>
        <w:tabs>
          <w:tab w:val="left" w:leader="none" w:pos="0"/>
        </w:tabs>
        <w:spacing w:after="0" w:line="240" w:lineRule="auto"/>
        <w:ind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</w:r>
      <w:r>
        <w:rPr>
          <w:rFonts w:ascii="Times New Roman" w:hAnsi="Times New Roman"/>
          <w:b/>
          <w:sz w:val="24"/>
          <w:szCs w:val="24"/>
          <w:lang w:eastAsia="ru-RU"/>
        </w:rPr>
      </w:r>
      <w:r>
        <w:rPr>
          <w:rFonts w:ascii="Times New Roman" w:hAnsi="Times New Roman"/>
          <w:b/>
          <w:sz w:val="24"/>
          <w:szCs w:val="24"/>
          <w:lang w:eastAsia="ru-RU"/>
        </w:rPr>
      </w:r>
    </w:p>
    <w:p>
      <w:pPr>
        <w:pBdr/>
        <w:tabs>
          <w:tab w:val="left" w:leader="none" w:pos="0"/>
        </w:tabs>
        <w:spacing w:after="0" w:line="240" w:lineRule="auto"/>
        <w:ind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ТЕХНИЧЕСКОЕ ЗАДАНИЕ</w:t>
      </w:r>
      <w:r>
        <w:rPr>
          <w:rFonts w:ascii="Times New Roman" w:hAnsi="Times New Roman"/>
          <w:b/>
          <w:sz w:val="24"/>
          <w:szCs w:val="24"/>
          <w:lang w:eastAsia="ru-RU"/>
        </w:rPr>
      </w:r>
      <w:r>
        <w:rPr>
          <w:rFonts w:ascii="Times New Roman" w:hAnsi="Times New Roman"/>
          <w:b/>
          <w:sz w:val="24"/>
          <w:szCs w:val="24"/>
          <w:lang w:eastAsia="ru-RU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Theme="minorHAnsi" w:cstheme="minorBidi"/>
          <w:bCs/>
          <w:lang w:eastAsia="ru-RU"/>
        </w:rPr>
      </w:pPr>
      <w:r>
        <w:rPr>
          <w:rFonts w:ascii="Times New Roman" w:hAnsi="Times New Roman" w:eastAsiaTheme="minorHAnsi" w:cstheme="minorBidi"/>
          <w:bCs/>
          <w:lang w:eastAsia="ru-RU"/>
        </w:rPr>
        <w:t xml:space="preserve">услуга по организации и проведению  мероприятия «Посвящение в студенты»</w:t>
      </w:r>
      <w:r>
        <w:rPr>
          <w:rFonts w:ascii="Times New Roman" w:hAnsi="Times New Roman" w:eastAsiaTheme="minorHAnsi" w:cstheme="minorBidi"/>
          <w:bCs/>
          <w:lang w:eastAsia="ru-RU"/>
        </w:rPr>
      </w:r>
      <w:r>
        <w:rPr>
          <w:rFonts w:ascii="Times New Roman" w:hAnsi="Times New Roman" w:eastAsiaTheme="minorHAnsi" w:cstheme="minorBidi"/>
          <w:bCs/>
          <w:lang w:eastAsia="ru-RU"/>
        </w:rPr>
      </w:r>
    </w:p>
    <w:p>
      <w:pPr>
        <w:pBdr/>
        <w:spacing w:after="0" w:line="240" w:lineRule="auto"/>
        <w:ind/>
        <w:jc w:val="center"/>
        <w:rPr/>
      </w:pPr>
      <w:r/>
      <w:r/>
    </w:p>
    <w:p>
      <w:pPr>
        <w:pBdr/>
        <w:spacing w:after="0" w:line="240" w:lineRule="auto"/>
        <w:ind w:firstLine="708"/>
        <w:rPr>
          <w:rFonts w:ascii="Times New Roman" w:hAnsi="Times New Roman"/>
          <w:b/>
          <w:sz w:val="24"/>
          <w:szCs w:val="24"/>
          <w:lang w:eastAsia="ru-RU"/>
        </w:rPr>
      </w:pPr>
      <w:r/>
      <w:bookmarkStart w:id="0" w:name="_GoBack"/>
      <w:r/>
      <w:bookmarkEnd w:id="0"/>
      <w:r>
        <w:rPr>
          <w:rFonts w:ascii="Times New Roman" w:hAnsi="Times New Roman"/>
          <w:bCs/>
          <w:sz w:val="24"/>
          <w:szCs w:val="24"/>
          <w:lang w:eastAsia="ru-RU"/>
        </w:rPr>
        <w:t xml:space="preserve">1. Цель закупки</w:t>
      </w:r>
      <w:r>
        <w:rPr>
          <w:rFonts w:ascii="Times New Roman" w:hAnsi="Times New Roman"/>
          <w:sz w:val="24"/>
          <w:szCs w:val="24"/>
          <w:lang w:eastAsia="ru-RU"/>
        </w:rPr>
        <w:t xml:space="preserve">: организовать мероприятие для студентов первого курса ДВГМУ  «Посвящение в студенты», в соответствии планом работы отдела по молодежной политике и воспитательной работе.</w:t>
      </w:r>
      <w:r>
        <w:rPr>
          <w:rFonts w:ascii="Times New Roman" w:hAnsi="Times New Roman"/>
          <w:b/>
          <w:sz w:val="24"/>
          <w:szCs w:val="24"/>
          <w:lang w:eastAsia="ru-RU"/>
        </w:rPr>
      </w:r>
      <w:r>
        <w:rPr>
          <w:rFonts w:ascii="Times New Roman" w:hAnsi="Times New Roman"/>
          <w:b/>
          <w:sz w:val="24"/>
          <w:szCs w:val="24"/>
          <w:lang w:eastAsia="ru-RU"/>
        </w:rPr>
      </w:r>
    </w:p>
    <w:p>
      <w:pPr>
        <w:pBdr/>
        <w:tabs>
          <w:tab w:val="left" w:leader="none" w:pos="0"/>
        </w:tabs>
        <w:spacing w:after="0" w:line="240" w:lineRule="auto"/>
        <w:ind/>
        <w:jc w:val="both"/>
        <w:rPr>
          <w:rFonts w:ascii="Times New Roman" w:hAnsi="Times New Roman" w:eastAsiaTheme="minorHAnsi" w:cstheme="minorBidi"/>
          <w:sz w:val="24"/>
          <w:szCs w:val="24"/>
        </w:rPr>
      </w:pPr>
      <w:r>
        <w:rPr>
          <w:rFonts w:ascii="Times New Roman" w:hAnsi="Times New Roman" w:eastAsiaTheme="minorHAnsi" w:cstheme="minorBidi"/>
          <w:sz w:val="24"/>
          <w:szCs w:val="24"/>
        </w:rPr>
      </w:r>
      <w:r>
        <w:rPr>
          <w:rFonts w:ascii="Times New Roman" w:hAnsi="Times New Roman" w:eastAsiaTheme="minorHAnsi" w:cstheme="minorBidi"/>
          <w:sz w:val="24"/>
          <w:szCs w:val="24"/>
        </w:rPr>
      </w:r>
      <w:r>
        <w:rPr>
          <w:rFonts w:ascii="Times New Roman" w:hAnsi="Times New Roman" w:eastAsiaTheme="minorHAnsi" w:cstheme="minorBidi"/>
          <w:sz w:val="24"/>
          <w:szCs w:val="24"/>
        </w:rPr>
      </w:r>
    </w:p>
    <w:p>
      <w:pPr>
        <w:pBdr/>
        <w:tabs>
          <w:tab w:val="left" w:leader="none" w:pos="0"/>
        </w:tabs>
        <w:spacing w:after="0" w:line="240" w:lineRule="auto"/>
        <w:ind/>
        <w:jc w:val="both"/>
        <w:rPr>
          <w:rFonts w:ascii="Times New Roman" w:hAnsi="Times New Roman" w:eastAsiaTheme="minorHAnsi" w:cstheme="minorBidi"/>
          <w:b/>
          <w:sz w:val="24"/>
          <w:szCs w:val="24"/>
        </w:rPr>
      </w:pPr>
      <w:r>
        <w:rPr>
          <w:rFonts w:ascii="Times New Roman" w:hAnsi="Times New Roman" w:eastAsiaTheme="minorHAnsi" w:cstheme="minorBidi"/>
          <w:sz w:val="24"/>
          <w:szCs w:val="24"/>
        </w:rPr>
        <w:tab/>
      </w:r>
      <w:r>
        <w:rPr>
          <w:rFonts w:ascii="Times New Roman" w:hAnsi="Times New Roman" w:eastAsiaTheme="minorHAnsi" w:cstheme="minorBidi"/>
          <w:sz w:val="24"/>
          <w:szCs w:val="24"/>
        </w:rPr>
        <w:t xml:space="preserve">2. Наименование и объем оказываемых услуг:</w:t>
      </w:r>
      <w:r>
        <w:rPr>
          <w:rFonts w:ascii="Times New Roman" w:hAnsi="Times New Roman" w:eastAsiaTheme="minorHAnsi" w:cstheme="minorBidi"/>
          <w:b/>
          <w:sz w:val="24"/>
          <w:szCs w:val="24"/>
        </w:rPr>
      </w:r>
      <w:r>
        <w:rPr>
          <w:rFonts w:ascii="Times New Roman" w:hAnsi="Times New Roman" w:eastAsiaTheme="minorHAnsi" w:cstheme="minorBidi"/>
          <w:b/>
          <w:sz w:val="24"/>
          <w:szCs w:val="24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eastAsiaTheme="minorHAnsi" w:cstheme="minorBidi"/>
        </w:rPr>
      </w:pPr>
      <w:r>
        <w:rPr>
          <w:rFonts w:ascii="Times New Roman" w:hAnsi="Times New Roman" w:eastAsiaTheme="minorHAnsi" w:cstheme="minorBidi"/>
        </w:rPr>
      </w:r>
      <w:r>
        <w:rPr>
          <w:rFonts w:ascii="Times New Roman" w:hAnsi="Times New Roman" w:eastAsiaTheme="minorHAnsi" w:cstheme="minorBidi"/>
        </w:rPr>
      </w:r>
      <w:r>
        <w:rPr>
          <w:rFonts w:ascii="Times New Roman" w:hAnsi="Times New Roman" w:eastAsiaTheme="minorHAnsi" w:cstheme="minorBidi"/>
        </w:rPr>
      </w:r>
    </w:p>
    <w:tbl>
      <w:tblPr>
        <w:tblW w:w="4882" w:type="pct"/>
        <w:tblBorders/>
        <w:tblLayout w:type="fixed"/>
        <w:tblLook w:val="04A0" w:firstRow="1" w:lastRow="0" w:firstColumn="1" w:lastColumn="0" w:noHBand="0" w:noVBand="1"/>
      </w:tblPr>
      <w:tblGrid>
        <w:gridCol w:w="1011"/>
        <w:gridCol w:w="4485"/>
        <w:gridCol w:w="1566"/>
        <w:gridCol w:w="1413"/>
        <w:gridCol w:w="1840"/>
      </w:tblGrid>
      <w:tr>
        <w:trPr>
          <w:trHeight w:val="894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0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Theme="minorHAnsi" w:cstheme="minorBidi"/>
                <w:bCs/>
              </w:rPr>
            </w:pPr>
            <w:r>
              <w:rPr>
                <w:rFonts w:ascii="Times New Roman" w:hAnsi="Times New Roman" w:eastAsiaTheme="minorHAnsi" w:cstheme="minorBidi"/>
                <w:bCs/>
              </w:rPr>
              <w:t xml:space="preserve">№ п/п</w:t>
            </w:r>
            <w:r>
              <w:rPr>
                <w:rFonts w:ascii="Times New Roman" w:hAnsi="Times New Roman" w:eastAsiaTheme="minorHAnsi" w:cstheme="minorBidi"/>
                <w:bCs/>
              </w:rPr>
            </w:r>
            <w:r>
              <w:rPr>
                <w:rFonts w:ascii="Times New Roman" w:hAnsi="Times New Roman" w:eastAsiaTheme="minorHAnsi" w:cstheme="minorBidi"/>
                <w:bCs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7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Theme="minorHAnsi" w:cstheme="minorBidi"/>
                <w:bCs/>
              </w:rPr>
            </w:pPr>
            <w:r>
              <w:rPr>
                <w:rFonts w:ascii="Times New Roman" w:hAnsi="Times New Roman" w:eastAsiaTheme="minorHAnsi" w:cstheme="minorBidi"/>
                <w:bCs/>
              </w:rPr>
              <w:t xml:space="preserve">Наименование услуг </w:t>
            </w:r>
            <w:r>
              <w:rPr>
                <w:rFonts w:ascii="Times New Roman" w:hAnsi="Times New Roman" w:eastAsiaTheme="minorHAnsi" w:cstheme="minorBidi"/>
                <w:bCs/>
              </w:rPr>
            </w:r>
            <w:r>
              <w:rPr>
                <w:rFonts w:ascii="Times New Roman" w:hAnsi="Times New Roman" w:eastAsiaTheme="minorHAnsi" w:cstheme="minorBidi"/>
                <w:bCs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5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Theme="minorHAnsi" w:cstheme="minorBidi"/>
                <w:color w:val="000000"/>
              </w:rPr>
            </w:pPr>
            <w:r>
              <w:rPr>
                <w:rFonts w:ascii="Times New Roman" w:hAnsi="Times New Roman" w:eastAsiaTheme="minorHAnsi" w:cstheme="minorBidi"/>
                <w:color w:val="000000"/>
              </w:rPr>
              <w:t xml:space="preserve">Количество</w:t>
            </w:r>
            <w:r>
              <w:rPr>
                <w:rFonts w:ascii="Times New Roman" w:hAnsi="Times New Roman" w:eastAsiaTheme="minorHAnsi" w:cstheme="minorBidi"/>
                <w:color w:val="000000"/>
              </w:rPr>
            </w:r>
            <w:r>
              <w:rPr>
                <w:rFonts w:ascii="Times New Roman" w:hAnsi="Times New Roman" w:eastAsiaTheme="minorHAnsi" w:cstheme="minorBidi"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5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Theme="minorHAnsi" w:cstheme="minorBidi"/>
                <w:color w:val="000000"/>
              </w:rPr>
            </w:pPr>
            <w:r>
              <w:rPr>
                <w:rFonts w:ascii="Times New Roman" w:hAnsi="Times New Roman" w:eastAsiaTheme="minorHAnsi" w:cstheme="minorBidi"/>
                <w:color w:val="000000"/>
              </w:rPr>
              <w:t xml:space="preserve">Единица измерения</w:t>
            </w:r>
            <w:r>
              <w:rPr>
                <w:rFonts w:ascii="Times New Roman" w:hAnsi="Times New Roman" w:eastAsiaTheme="minorHAnsi" w:cstheme="minorBidi"/>
                <w:color w:val="000000"/>
              </w:rPr>
            </w:r>
            <w:r>
              <w:rPr>
                <w:rFonts w:ascii="Times New Roman" w:hAnsi="Times New Roman" w:eastAsiaTheme="minorHAnsi" w:cstheme="minorBidi"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2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Theme="minorHAnsi" w:cstheme="minorBidi"/>
                <w:color w:val="000000"/>
              </w:rPr>
            </w:pPr>
            <w:r>
              <w:rPr>
                <w:rFonts w:ascii="Times New Roman" w:hAnsi="Times New Roman" w:eastAsiaTheme="minorHAnsi" w:cstheme="minorBidi"/>
                <w:color w:val="000000"/>
              </w:rPr>
              <w:t xml:space="preserve">ОКПД2</w:t>
            </w:r>
            <w:r>
              <w:rPr>
                <w:rFonts w:ascii="Times New Roman" w:hAnsi="Times New Roman" w:eastAsiaTheme="minorHAnsi" w:cstheme="minorBidi"/>
                <w:color w:val="000000"/>
              </w:rPr>
            </w:r>
            <w:r>
              <w:rPr>
                <w:rFonts w:ascii="Times New Roman" w:hAnsi="Times New Roman" w:eastAsiaTheme="minorHAnsi" w:cstheme="minorBidi"/>
                <w:color w:val="000000"/>
              </w:rPr>
            </w:r>
          </w:p>
        </w:tc>
      </w:tr>
      <w:tr>
        <w:trPr>
          <w:trHeight w:val="39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0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Theme="minorHAnsi" w:cstheme="minorBidi"/>
              </w:rPr>
            </w:pPr>
            <w:r>
              <w:rPr>
                <w:rFonts w:ascii="Times New Roman" w:hAnsi="Times New Roman" w:eastAsiaTheme="minorHAnsi" w:cstheme="minorBidi"/>
              </w:rPr>
              <w:t xml:space="preserve">1</w:t>
            </w:r>
            <w:r>
              <w:rPr>
                <w:rFonts w:ascii="Times New Roman" w:hAnsi="Times New Roman" w:eastAsiaTheme="minorHAnsi" w:cstheme="minorBidi"/>
              </w:rPr>
            </w:r>
            <w:r>
              <w:rPr>
                <w:rFonts w:ascii="Times New Roman" w:hAnsi="Times New Roman" w:eastAsiaTheme="minorHAnsi" w:cstheme="minorBidi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74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Theme="minorHAnsi" w:cstheme="minorBidi"/>
                <w:bCs/>
                <w:lang w:eastAsia="ru-RU"/>
              </w:rPr>
            </w:pPr>
            <w:r>
              <w:rPr>
                <w:rFonts w:ascii="Times New Roman" w:hAnsi="Times New Roman" w:eastAsiaTheme="minorHAnsi" w:cstheme="minorBidi"/>
                <w:bCs/>
                <w:lang w:eastAsia="ru-RU"/>
              </w:rPr>
              <w:t xml:space="preserve">Услуга по организации и проведению  мероприятия «Посвящение в студенты»</w:t>
            </w:r>
            <w:r>
              <w:rPr>
                <w:rFonts w:ascii="Times New Roman" w:hAnsi="Times New Roman" w:eastAsiaTheme="minorHAnsi" w:cstheme="minorBidi"/>
                <w:bCs/>
                <w:lang w:eastAsia="ru-RU"/>
              </w:rPr>
            </w:r>
            <w:r>
              <w:rPr>
                <w:rFonts w:ascii="Times New Roman" w:hAnsi="Times New Roman" w:eastAsiaTheme="minorHAnsi" w:cstheme="minorBidi"/>
                <w:bCs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5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Theme="minorHAnsi" w:cstheme="minorBidi"/>
                <w:color w:val="000000"/>
              </w:rPr>
            </w:pPr>
            <w:r>
              <w:rPr>
                <w:rFonts w:ascii="Times New Roman" w:hAnsi="Times New Roman" w:eastAsiaTheme="minorHAnsi" w:cstheme="minorBidi"/>
                <w:color w:val="000000"/>
              </w:rPr>
              <w:t xml:space="preserve">1</w:t>
            </w:r>
            <w:r>
              <w:rPr>
                <w:rFonts w:ascii="Times New Roman" w:hAnsi="Times New Roman" w:eastAsiaTheme="minorHAnsi" w:cstheme="minorBidi"/>
                <w:color w:val="000000"/>
              </w:rPr>
            </w:r>
            <w:r>
              <w:rPr>
                <w:rFonts w:ascii="Times New Roman" w:hAnsi="Times New Roman" w:eastAsiaTheme="minorHAnsi" w:cstheme="minorBidi"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5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Theme="minorHAnsi" w:cstheme="minorBidi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eastAsiaTheme="minorHAnsi" w:cstheme="minorBidi"/>
                <w:color w:val="000000"/>
                <w:shd w:val="clear" w:color="auto" w:fill="ffffff"/>
              </w:rPr>
              <w:t xml:space="preserve">шт.</w:t>
            </w:r>
            <w:r>
              <w:rPr>
                <w:rFonts w:ascii="Times New Roman" w:hAnsi="Times New Roman" w:eastAsiaTheme="minorHAnsi" w:cstheme="minorBidi"/>
                <w:color w:val="000000"/>
                <w:shd w:val="clear" w:color="auto" w:fill="ffffff"/>
              </w:rPr>
            </w:r>
            <w:r>
              <w:rPr>
                <w:rFonts w:ascii="Times New Roman" w:hAnsi="Times New Roman" w:eastAsiaTheme="minorHAnsi" w:cstheme="minorBidi"/>
                <w:color w:val="000000"/>
                <w:shd w:val="clear" w:color="auto" w:fill="fffff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2" w:type="pct"/>
            <w:vAlign w:val="center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>
                <w:rFonts w:ascii="Times New Roman" w:hAnsi="Times New Roman" w:eastAsia="SimSu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 xml:space="preserve">90.02.12.000</w:t>
            </w:r>
            <w:r>
              <w:rPr>
                <w:rFonts w:ascii="Times New Roman" w:hAnsi="Times New Roman" w:eastAsia="SimSu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SimSun"/>
                <w:color w:val="000000"/>
                <w:sz w:val="24"/>
                <w:szCs w:val="24"/>
              </w:rPr>
            </w:r>
          </w:p>
        </w:tc>
      </w:tr>
    </w:tbl>
    <w:p>
      <w:pPr>
        <w:pBdr/>
        <w:spacing w:after="0" w:line="240" w:lineRule="auto"/>
        <w:ind w:firstLine="567"/>
        <w:jc w:val="both"/>
        <w:rPr>
          <w:rFonts w:ascii="Palatino Linotype" w:hAnsi="Palatino Linotype" w:eastAsiaTheme="minorHAnsi" w:cstheme="minorBidi"/>
          <w:bCs/>
        </w:rPr>
      </w:pPr>
      <w:r>
        <w:rPr>
          <w:rFonts w:ascii="Palatino Linotype" w:hAnsi="Palatino Linotype" w:eastAsiaTheme="minorHAnsi" w:cstheme="minorBidi"/>
          <w:bCs/>
        </w:rPr>
      </w:r>
      <w:r>
        <w:rPr>
          <w:rFonts w:ascii="Palatino Linotype" w:hAnsi="Palatino Linotype" w:eastAsiaTheme="minorHAnsi" w:cstheme="minorBidi"/>
          <w:bCs/>
        </w:rPr>
      </w:r>
      <w:r>
        <w:rPr>
          <w:rFonts w:ascii="Palatino Linotype" w:hAnsi="Palatino Linotype" w:eastAsiaTheme="minorHAnsi" w:cstheme="minorBidi"/>
          <w:bCs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Theme="minorHAnsi" w:cstheme="minorBidi"/>
          <w:bCs/>
          <w:color w:val="000000" w:themeColor="text1"/>
          <w:sz w:val="24"/>
          <w:szCs w:val="24"/>
          <w:highlight w:val="red"/>
        </w:rPr>
      </w:pPr>
      <w:r>
        <w:rPr>
          <w:rFonts w:ascii="Times New Roman" w:hAnsi="Times New Roman" w:eastAsiaTheme="minorHAnsi" w:cstheme="minorBidi"/>
          <w:bCs/>
          <w:color w:val="000000" w:themeColor="text1"/>
          <w:sz w:val="24"/>
          <w:szCs w:val="24"/>
        </w:rPr>
        <w:t xml:space="preserve">Функциональные, технические и качественные характеристики, эксплуатационные характеристики</w:t>
      </w:r>
      <w:r>
        <w:rPr>
          <w:rFonts w:ascii="Times New Roman" w:hAnsi="Times New Roman" w:eastAsiaTheme="minorHAnsi" w:cstheme="minorBidi"/>
          <w:bCs/>
          <w:color w:val="000000" w:themeColor="text1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Theme="minorHAnsi" w:cstheme="minorBidi"/>
          <w:bCs/>
          <w:color w:val="000000" w:themeColor="text1"/>
          <w:sz w:val="24"/>
          <w:szCs w:val="24"/>
          <w:highlight w:val="white"/>
        </w:rPr>
        <w:t xml:space="preserve">услуг</w:t>
      </w:r>
      <w:r>
        <w:rPr>
          <w:rFonts w:ascii="Times New Roman" w:hAnsi="Times New Roman" w:eastAsiaTheme="minorHAnsi" w:cstheme="minorBidi"/>
          <w:bCs/>
          <w:color w:val="000000" w:themeColor="text1"/>
          <w:sz w:val="24"/>
          <w:szCs w:val="24"/>
          <w:highlight w:val="white"/>
        </w:rPr>
        <w:t xml:space="preserve">. </w:t>
      </w:r>
      <w:r>
        <w:rPr>
          <w:rFonts w:ascii="Times New Roman" w:hAnsi="Times New Roman" w:eastAsiaTheme="minorHAnsi" w:cstheme="minorBidi"/>
          <w:bCs/>
          <w:color w:val="000000" w:themeColor="text1"/>
          <w:sz w:val="24"/>
          <w:szCs w:val="24"/>
          <w:highlight w:val="white"/>
        </w:rPr>
        <w:t xml:space="preserve">Показ</w:t>
      </w:r>
      <w:r>
        <w:rPr>
          <w:rFonts w:ascii="Times New Roman" w:hAnsi="Times New Roman" w:eastAsiaTheme="minorHAnsi" w:cstheme="minorBidi"/>
          <w:bCs/>
          <w:color w:val="000000" w:themeColor="text1"/>
          <w:sz w:val="24"/>
          <w:szCs w:val="24"/>
        </w:rPr>
        <w:t xml:space="preserve">атели, позволяющие определить соответствие закупаемых услуг</w:t>
      </w:r>
      <w:r>
        <w:rPr>
          <w:rFonts w:ascii="Times New Roman" w:hAnsi="Times New Roman" w:eastAsiaTheme="minorHAnsi" w:cstheme="minorBidi"/>
          <w:bCs/>
          <w:color w:val="000000" w:themeColor="text1"/>
          <w:sz w:val="24"/>
          <w:szCs w:val="24"/>
          <w:highlight w:val="none"/>
        </w:rPr>
        <w:t xml:space="preserve"> </w:t>
      </w:r>
      <w:r>
        <w:rPr>
          <w:rFonts w:ascii="Times New Roman" w:hAnsi="Times New Roman" w:eastAsiaTheme="minorHAnsi" w:cstheme="minorBidi"/>
          <w:bCs/>
          <w:color w:val="000000" w:themeColor="text1"/>
          <w:sz w:val="24"/>
          <w:szCs w:val="24"/>
        </w:rPr>
        <w:t xml:space="preserve">установленным требованиям, максимальные и (или) минимальные значения таких показателей, а также значения показателей, которые не могут изменяться</w:t>
      </w:r>
      <w:r>
        <w:rPr>
          <w:rFonts w:ascii="Times New Roman" w:hAnsi="Times New Roman" w:eastAsiaTheme="minorHAnsi" w:cstheme="minorBidi"/>
          <w:bCs/>
          <w:color w:val="000000" w:themeColor="text1"/>
          <w:sz w:val="24"/>
          <w:szCs w:val="24"/>
          <w:highlight w:val="red"/>
        </w:rPr>
      </w:r>
      <w:r>
        <w:rPr>
          <w:rFonts w:ascii="Times New Roman" w:hAnsi="Times New Roman" w:eastAsiaTheme="minorHAnsi" w:cstheme="minorBidi"/>
          <w:bCs/>
          <w:color w:val="000000" w:themeColor="text1"/>
          <w:sz w:val="24"/>
          <w:szCs w:val="24"/>
          <w:highlight w:val="red"/>
        </w:rPr>
      </w:r>
    </w:p>
    <w:p>
      <w:pPr>
        <w:pBdr/>
        <w:tabs>
          <w:tab w:val="left" w:leader="none" w:pos="0"/>
        </w:tabs>
        <w:spacing w:after="0" w:line="240" w:lineRule="auto"/>
        <w:ind/>
        <w:jc w:val="both"/>
        <w:rPr>
          <w:rFonts w:ascii="Times New Roman" w:hAnsi="Times New Roman" w:eastAsiaTheme="minorHAnsi" w:cstheme="minorBidi"/>
          <w:sz w:val="24"/>
          <w:szCs w:val="24"/>
          <w:lang w:eastAsia="ru-RU"/>
        </w:rPr>
      </w:pPr>
      <w:r>
        <w:rPr>
          <w:rFonts w:ascii="Times New Roman" w:hAnsi="Times New Roman" w:eastAsiaTheme="minorHAnsi" w:cstheme="minorBidi"/>
          <w:sz w:val="24"/>
          <w:szCs w:val="24"/>
          <w:lang w:eastAsia="ru-RU"/>
        </w:rPr>
      </w:r>
      <w:r>
        <w:rPr>
          <w:rFonts w:ascii="Times New Roman" w:hAnsi="Times New Roman" w:eastAsiaTheme="minorHAnsi" w:cstheme="minorBidi"/>
          <w:sz w:val="24"/>
          <w:szCs w:val="24"/>
          <w:lang w:eastAsia="ru-RU"/>
        </w:rPr>
      </w:r>
      <w:r>
        <w:rPr>
          <w:rFonts w:ascii="Times New Roman" w:hAnsi="Times New Roman" w:eastAsiaTheme="minorHAnsi" w:cstheme="minorBidi"/>
          <w:sz w:val="24"/>
          <w:szCs w:val="24"/>
          <w:lang w:eastAsia="ru-RU"/>
        </w:rPr>
      </w:r>
    </w:p>
    <w:p>
      <w:pPr>
        <w:pBdr/>
        <w:spacing w:after="0" w:line="240" w:lineRule="auto"/>
        <w:ind w:right="0" w:firstLine="567"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3.1. Дата и время проведения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: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Bdr/>
        <w:tabs>
          <w:tab w:val="left" w:leader="none" w:pos="567"/>
        </w:tabs>
        <w:spacing w:after="0" w:line="240" w:lineRule="auto"/>
        <w:ind w:firstLine="567"/>
        <w:contextualSpacing w:val="tru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 w:eastAsiaTheme="minorHAnsi"/>
          <w:sz w:val="24"/>
          <w:szCs w:val="24"/>
          <w:lang w:eastAsia="ru-RU"/>
        </w:rPr>
        <w:t xml:space="preserve">14 октября 2026 г. с 17:30 до </w:t>
      </w:r>
      <w:r>
        <w:rPr>
          <w:rFonts w:ascii="Times New Roman" w:hAnsi="Times New Roman" w:eastAsia="Times New Roman" w:cs="Times New Roman" w:eastAsiaTheme="minorHAnsi"/>
          <w:sz w:val="24"/>
          <w:szCs w:val="24"/>
          <w:lang w:eastAsia="ru-RU"/>
        </w:rPr>
        <w:t xml:space="preserve">18:30 -</w:t>
      </w:r>
      <w:r>
        <w:rPr>
          <w:rFonts w:ascii="Times New Roman" w:hAnsi="Times New Roman" w:eastAsia="Times New Roman" w:cs="Times New Roman" w:eastAsiaTheme="minorHAnsi"/>
          <w:sz w:val="24"/>
          <w:szCs w:val="24"/>
          <w:lang w:eastAsia="ru-RU"/>
        </w:rPr>
        <w:t xml:space="preserve"> репетиция мероприятия,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tabs>
          <w:tab w:val="left" w:leader="none" w:pos="567"/>
        </w:tabs>
        <w:spacing w:after="0" w:line="240" w:lineRule="auto"/>
        <w:ind w:firstLine="567"/>
        <w:contextualSpacing w:val="tru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 w:eastAsiaTheme="minorHAnsi"/>
          <w:sz w:val="24"/>
          <w:szCs w:val="24"/>
          <w:lang w:eastAsia="ru-RU"/>
        </w:rPr>
        <w:t xml:space="preserve">15 октября 2026 г. с 10:30 д</w:t>
      </w:r>
      <w:r>
        <w:rPr>
          <w:rFonts w:ascii="Times New Roman" w:hAnsi="Times New Roman" w:eastAsia="Times New Roman" w:cs="Times New Roman" w:eastAsiaTheme="minorHAnsi"/>
          <w:sz w:val="24"/>
          <w:szCs w:val="24"/>
          <w:lang w:eastAsia="ru-RU"/>
        </w:rPr>
        <w:t xml:space="preserve">о 19:30 - проведение мероприятия</w:t>
      </w:r>
      <w:r>
        <w:rPr>
          <w:rFonts w:ascii="Times New Roman" w:hAnsi="Times New Roman" w:eastAsia="Times New Roman" w:cs="Times New Roman" w:eastAsiaTheme="minorHAnsi"/>
          <w:sz w:val="24"/>
          <w:szCs w:val="24"/>
          <w:lang w:eastAsia="ru-RU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tabs>
          <w:tab w:val="left" w:leader="none" w:pos="567"/>
        </w:tabs>
        <w:spacing w:after="0" w:line="240" w:lineRule="auto"/>
        <w:ind w:firstLine="567"/>
        <w:contextualSpacing w:val="tru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 w:eastAsiaTheme="minorHAnsi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line="240" w:lineRule="auto"/>
        <w:ind w:right="0" w:firstLine="567"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3.2. Место проведения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на территории Исполнителя: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Bdr/>
        <w:spacing w:after="0" w:line="240" w:lineRule="auto"/>
        <w:ind w:right="0" w:firstLine="567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Конц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ертный зал не далее 1 км от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ул. Муравьева-Амурского 35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, с количеством посадочных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мест 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не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менее 700 шт.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tabs>
          <w:tab w:val="left" w:leader="none" w:pos="567"/>
        </w:tabs>
        <w:spacing w:after="0" w:line="240" w:lineRule="auto"/>
        <w:ind w:right="0" w:firstLine="567" w:left="0"/>
        <w:contextualSpacing w:val="true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 w:eastAsiaTheme="minorHAnsi"/>
          <w:sz w:val="24"/>
          <w:szCs w:val="24"/>
          <w:lang w:eastAsia="ru-RU"/>
        </w:rPr>
        <w:t xml:space="preserve">3.3.  Исполнитель обеспечивает мультимедийное, световое и звуковое оформление мероприятия, в соответствии с художественной </w:t>
      </w:r>
      <w:r>
        <w:rPr>
          <w:rFonts w:ascii="Times New Roman" w:hAnsi="Times New Roman" w:eastAsia="Times New Roman" w:cs="Times New Roman" w:eastAsiaTheme="minorHAnsi"/>
          <w:sz w:val="24"/>
          <w:szCs w:val="24"/>
          <w:highlight w:val="white"/>
          <w:lang w:eastAsia="ru-RU"/>
        </w:rPr>
        <w:t xml:space="preserve">к</w:t>
      </w:r>
      <w:r>
        <w:rPr>
          <w:rFonts w:ascii="Times New Roman" w:hAnsi="Times New Roman" w:eastAsia="Times New Roman" w:cs="Times New Roman" w:eastAsiaTheme="minorHAnsi"/>
          <w:sz w:val="24"/>
          <w:szCs w:val="24"/>
          <w:highlight w:val="white"/>
          <w:lang w:eastAsia="ru-RU"/>
        </w:rPr>
        <w:t xml:space="preserve">о</w:t>
      </w:r>
      <w:r>
        <w:rPr>
          <w:rFonts w:ascii="Times New Roman" w:hAnsi="Times New Roman" w:eastAsia="Times New Roman" w:cs="Times New Roman" w:eastAsiaTheme="minorHAnsi"/>
          <w:sz w:val="24"/>
          <w:szCs w:val="24"/>
          <w:highlight w:val="white"/>
          <w:lang w:eastAsia="ru-RU"/>
        </w:rPr>
        <w:t xml:space="preserve">нцепцией сценария Заказчика. 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Bdr/>
        <w:tabs>
          <w:tab w:val="left" w:leader="none" w:pos="567"/>
        </w:tabs>
        <w:spacing w:after="0" w:line="240" w:lineRule="auto"/>
        <w:ind w:firstLine="567"/>
        <w:contextualSpacing w:val="true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 w:eastAsiaTheme="minorHAnsi"/>
          <w:sz w:val="24"/>
          <w:szCs w:val="24"/>
          <w:highlight w:val="white"/>
          <w:lang w:eastAsia="ru-RU"/>
        </w:rPr>
        <w:t xml:space="preserve">3.3.1. Мультимедийные, световые и звуковые приборы должны располагаться так, чтобы могли обеспечить необходимое художественное решение, согласно </w:t>
      </w:r>
      <w:r>
        <w:rPr>
          <w:rFonts w:ascii="Times New Roman" w:hAnsi="Times New Roman" w:eastAsia="Times New Roman" w:cs="Times New Roman" w:eastAsiaTheme="minorHAnsi"/>
          <w:sz w:val="24"/>
          <w:szCs w:val="24"/>
          <w:highlight w:val="white"/>
          <w:lang w:eastAsia="ru-RU"/>
        </w:rPr>
        <w:t xml:space="preserve">сценарному  плану Заказчика.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Bdr/>
        <w:tabs>
          <w:tab w:val="left" w:leader="none" w:pos="567"/>
        </w:tabs>
        <w:spacing w:after="0" w:line="240" w:lineRule="auto"/>
        <w:ind/>
        <w:contextualSpacing w:val="tru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 w:eastAsiaTheme="minorHAnsi"/>
          <w:sz w:val="24"/>
          <w:szCs w:val="24"/>
          <w:lang w:eastAsia="ru-RU"/>
        </w:rPr>
        <w:tab/>
        <w:t xml:space="preserve">3.3.2. Световое оформление мероприятия должно включать в себя: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tabs>
          <w:tab w:val="left" w:leader="none" w:pos="567"/>
        </w:tabs>
        <w:spacing w:after="0" w:line="240" w:lineRule="auto"/>
        <w:ind/>
        <w:contextualSpacing w:val="tru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 w:eastAsiaTheme="minorHAnsi"/>
          <w:sz w:val="24"/>
          <w:szCs w:val="24"/>
          <w:lang w:eastAsia="ru-RU"/>
        </w:rPr>
        <w:tab/>
        <w:t xml:space="preserve">3.3.2.1. Статичную подсветку для основного освещения на проведение официальной  части мероприятия: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tabs>
          <w:tab w:val="left" w:leader="none" w:pos="567"/>
        </w:tabs>
        <w:spacing w:after="0" w:line="240" w:lineRule="auto"/>
        <w:ind/>
        <w:contextualSpacing w:val="tru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 w:eastAsiaTheme="minorHAnsi"/>
          <w:sz w:val="24"/>
          <w:szCs w:val="24"/>
          <w:lang w:eastAsia="ru-RU"/>
        </w:rPr>
        <w:t xml:space="preserve">- торжественная часть,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tabs>
          <w:tab w:val="left" w:leader="none" w:pos="567"/>
        </w:tabs>
        <w:spacing w:after="0" w:line="240" w:lineRule="auto"/>
        <w:ind/>
        <w:contextualSpacing w:val="tru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 w:eastAsiaTheme="minorHAnsi"/>
          <w:sz w:val="24"/>
          <w:szCs w:val="24"/>
          <w:lang w:eastAsia="ru-RU"/>
        </w:rPr>
        <w:t xml:space="preserve">- выступление гостей мероприятия.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tabs>
          <w:tab w:val="left" w:leader="none" w:pos="567"/>
        </w:tabs>
        <w:spacing w:after="0" w:line="240" w:lineRule="auto"/>
        <w:ind/>
        <w:contextualSpacing w:val="tru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 w:eastAsiaTheme="minorHAnsi"/>
          <w:sz w:val="24"/>
          <w:szCs w:val="24"/>
          <w:lang w:eastAsia="ru-RU"/>
        </w:rPr>
        <w:tab/>
        <w:t xml:space="preserve">3.3.2.2. Свет на выступление творческих коллективов: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tabs>
          <w:tab w:val="left" w:leader="none" w:pos="567"/>
        </w:tabs>
        <w:spacing w:after="0" w:line="240" w:lineRule="auto"/>
        <w:ind/>
        <w:contextualSpacing w:val="tru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 w:eastAsiaTheme="minorHAnsi"/>
          <w:sz w:val="24"/>
          <w:szCs w:val="24"/>
          <w:lang w:eastAsia="ru-RU"/>
        </w:rPr>
        <w:t xml:space="preserve">- выступление вокальных коллективов: статичная подсветка номера, с движущимся световым лучом,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tabs>
          <w:tab w:val="left" w:leader="none" w:pos="567"/>
        </w:tabs>
        <w:spacing w:after="0" w:line="240" w:lineRule="auto"/>
        <w:ind/>
        <w:contextualSpacing w:val="tru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 w:eastAsiaTheme="minorHAnsi"/>
          <w:sz w:val="24"/>
          <w:szCs w:val="24"/>
          <w:lang w:eastAsia="ru-RU"/>
        </w:rPr>
        <w:t xml:space="preserve">- выступление хореографических коллективов: динамическая и статичная подсветка номера.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tabs>
          <w:tab w:val="left" w:leader="none" w:pos="567"/>
        </w:tabs>
        <w:spacing w:after="0" w:line="240" w:lineRule="auto"/>
        <w:ind/>
        <w:contextualSpacing w:val="tru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 w:eastAsiaTheme="minorHAnsi"/>
          <w:sz w:val="24"/>
          <w:szCs w:val="24"/>
          <w:lang w:eastAsia="ru-RU"/>
        </w:rPr>
        <w:tab/>
        <w:t xml:space="preserve">3.3.3.Звуковое оформление мероприятия должно включать в себя: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tabs>
          <w:tab w:val="left" w:leader="none" w:pos="567"/>
        </w:tabs>
        <w:spacing w:after="0" w:line="240" w:lineRule="auto"/>
        <w:ind/>
        <w:contextualSpacing w:val="tru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 w:eastAsiaTheme="minorHAnsi"/>
          <w:sz w:val="24"/>
          <w:szCs w:val="24"/>
          <w:lang w:eastAsia="ru-RU"/>
        </w:rPr>
        <w:tab/>
        <w:t xml:space="preserve">3.3.3.1. Звуковое оборудование для  проведения официальной  части мероприятия: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tabs>
          <w:tab w:val="left" w:leader="none" w:pos="567"/>
        </w:tabs>
        <w:spacing w:after="0" w:line="240" w:lineRule="auto"/>
        <w:ind/>
        <w:contextualSpacing w:val="tru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 w:eastAsiaTheme="minorHAnsi"/>
          <w:sz w:val="24"/>
          <w:szCs w:val="24"/>
          <w:lang w:eastAsia="ru-RU"/>
        </w:rPr>
        <w:t xml:space="preserve">- звуковые приборы должны быть настроены так, чтобы звук был слышен на сцене и в зале,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tabs>
          <w:tab w:val="left" w:leader="none" w:pos="567"/>
        </w:tabs>
        <w:spacing w:after="0" w:line="240" w:lineRule="auto"/>
        <w:ind/>
        <w:contextualSpacing w:val="tru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 w:eastAsiaTheme="minorHAnsi"/>
          <w:sz w:val="24"/>
          <w:szCs w:val="24"/>
          <w:lang w:eastAsia="ru-RU"/>
        </w:rPr>
        <w:t xml:space="preserve">- предоставление для выступления гостей мероприятия  радиомикрофонов в количестве не менее 8 шт. и микрофонных стоек типа «Журавль» - не менее 6 шт.,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tabs>
          <w:tab w:val="left" w:leader="none" w:pos="567"/>
        </w:tabs>
        <w:spacing w:after="0" w:line="240" w:lineRule="auto"/>
        <w:ind/>
        <w:contextualSpacing w:val="tru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 w:eastAsiaTheme="minorHAnsi"/>
          <w:sz w:val="24"/>
          <w:szCs w:val="24"/>
          <w:lang w:eastAsia="ru-RU"/>
        </w:rPr>
        <w:tab/>
        <w:t xml:space="preserve">3.3.3.2. Звуковое оборудование для  выступления творческих номеров: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tabs>
          <w:tab w:val="left" w:leader="none" w:pos="567"/>
        </w:tabs>
        <w:spacing w:after="0" w:line="240" w:lineRule="auto"/>
        <w:ind/>
        <w:contextualSpacing w:val="tru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 w:eastAsiaTheme="minorHAnsi"/>
          <w:sz w:val="24"/>
          <w:szCs w:val="24"/>
          <w:lang w:eastAsia="ru-RU"/>
        </w:rPr>
        <w:t xml:space="preserve">- звуковые приборы должны быть настроены так, чтобы звук был слышен на сцене и в зале,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tabs>
          <w:tab w:val="left" w:leader="none" w:pos="567"/>
        </w:tabs>
        <w:spacing w:after="0" w:line="240" w:lineRule="auto"/>
        <w:ind/>
        <w:contextualSpacing w:val="tru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 w:eastAsiaTheme="minorHAnsi"/>
          <w:sz w:val="24"/>
          <w:szCs w:val="24"/>
          <w:lang w:eastAsia="ru-RU"/>
        </w:rPr>
        <w:t xml:space="preserve">- предоставление солирующим исполнителям</w:t>
      </w:r>
      <w:r>
        <w:rPr>
          <w:rFonts w:ascii="Times New Roman" w:hAnsi="Times New Roman" w:eastAsia="Times New Roman" w:cs="Times New Roman" w:eastAsiaTheme="minorHAnsi"/>
          <w:sz w:val="24"/>
          <w:szCs w:val="24"/>
        </w:rPr>
        <w:t xml:space="preserve"> радиомикрофона или гарнитуры</w:t>
      </w:r>
      <w:r>
        <w:rPr>
          <w:rFonts w:ascii="Times New Roman" w:hAnsi="Times New Roman" w:eastAsia="Times New Roman" w:cs="Times New Roman" w:eastAsiaTheme="minorHAnsi"/>
          <w:sz w:val="24"/>
          <w:szCs w:val="24"/>
          <w:lang w:eastAsia="ru-RU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tabs>
          <w:tab w:val="left" w:leader="none" w:pos="567"/>
        </w:tabs>
        <w:spacing w:after="0" w:line="240" w:lineRule="auto"/>
        <w:ind/>
        <w:contextualSpacing w:val="tru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 w:eastAsiaTheme="minorHAnsi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 w:eastAsiaTheme="minorHAnsi"/>
          <w:sz w:val="24"/>
          <w:szCs w:val="24"/>
          <w:lang w:eastAsia="ru-RU"/>
        </w:rPr>
        <w:t xml:space="preserve">3.3.4. Мультимедийное оформление мероприятия должно включать в себя: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tabs>
          <w:tab w:val="left" w:leader="none" w:pos="567"/>
        </w:tabs>
        <w:spacing w:after="0" w:line="240" w:lineRule="auto"/>
        <w:ind w:firstLine="567"/>
        <w:contextualSpacing w:val="tru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 w:eastAsiaTheme="minorHAnsi"/>
          <w:sz w:val="24"/>
          <w:szCs w:val="24"/>
          <w:lang w:eastAsia="ru-RU"/>
        </w:rPr>
        <w:t xml:space="preserve">3.3.4.1. мультимедийные приборы должны быть настроены так, чтобы видеоряд был виден на сцене и в зале,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 w:eastAsiaTheme="minorHAnsi"/>
          <w:sz w:val="24"/>
          <w:szCs w:val="24"/>
          <w:lang w:eastAsia="ru-RU"/>
        </w:rPr>
        <w:t xml:space="preserve">3.3.4.2. выступления творческих номеров должны сопровождаться трансляцией видео- материалами, презентациями, </w:t>
      </w:r>
      <w:r>
        <w:rPr>
          <w:rFonts w:ascii="Times New Roman" w:hAnsi="Times New Roman" w:eastAsia="Times New Roman" w:cs="Times New Roman" w:eastAsiaTheme="minorHAnsi"/>
          <w:sz w:val="24"/>
          <w:szCs w:val="24"/>
          <w:lang w:eastAsia="ru-RU"/>
        </w:rPr>
        <w:t xml:space="preserve">футажами</w:t>
      </w:r>
      <w:r>
        <w:rPr>
          <w:rFonts w:ascii="Times New Roman" w:hAnsi="Times New Roman" w:eastAsia="Times New Roman" w:cs="Times New Roman" w:eastAsiaTheme="minorHAnsi"/>
          <w:sz w:val="24"/>
          <w:szCs w:val="24"/>
          <w:lang w:eastAsia="ru-RU"/>
        </w:rPr>
        <w:t xml:space="preserve"> на </w:t>
      </w:r>
      <w:r>
        <w:rPr>
          <w:rFonts w:ascii="Times New Roman" w:hAnsi="Times New Roman" w:eastAsia="Times New Roman" w:cs="Times New Roman" w:eastAsiaTheme="minorHAnsi"/>
          <w:bCs/>
          <w:color w:val="000000"/>
          <w:sz w:val="24"/>
          <w:szCs w:val="24"/>
          <w:lang w:eastAsia="ru-RU"/>
        </w:rPr>
        <w:t xml:space="preserve">светодиодном </w:t>
      </w:r>
      <w:r>
        <w:rPr>
          <w:rFonts w:ascii="Times New Roman" w:hAnsi="Times New Roman" w:eastAsia="Times New Roman" w:cs="Times New Roman" w:eastAsiaTheme="minorHAnsi"/>
          <w:sz w:val="24"/>
          <w:szCs w:val="24"/>
          <w:lang w:eastAsia="ru-RU"/>
        </w:rPr>
        <w:t xml:space="preserve">экране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tabs>
          <w:tab w:val="left" w:leader="none" w:pos="567"/>
        </w:tabs>
        <w:spacing w:after="0" w:line="240" w:lineRule="auto"/>
        <w:ind w:firstLine="567"/>
        <w:contextualSpacing w:val="tru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 w:eastAsiaTheme="minorHAnsi"/>
          <w:sz w:val="24"/>
          <w:szCs w:val="24"/>
          <w:lang w:eastAsia="ru-RU"/>
        </w:rPr>
        <w:t xml:space="preserve">3.3.4.3. исполнитель обеспечивает трансляцию необходимых визуальных эффектов на мультимедийном оборудовании.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tabs>
          <w:tab w:val="left" w:leader="none" w:pos="0"/>
          <w:tab w:val="left" w:leader="none" w:pos="567"/>
        </w:tabs>
        <w:spacing w:after="0" w:line="240" w:lineRule="auto"/>
        <w:ind/>
        <w:contextualSpacing w:val="tru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 w:eastAsiaTheme="minorHAnsi"/>
          <w:sz w:val="24"/>
          <w:szCs w:val="24"/>
          <w:lang w:eastAsia="ru-RU"/>
        </w:rPr>
        <w:tab/>
        <w:t xml:space="preserve">4. Исполнитель  организует и предоставляет специалистов для технического сопровождения мультимедийного, светового и звукового оформления мероприятия.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tabs>
          <w:tab w:val="left" w:leader="none" w:pos="567"/>
        </w:tabs>
        <w:spacing w:after="0" w:line="240" w:lineRule="auto"/>
        <w:ind w:firstLine="567"/>
        <w:contextualSpacing w:val="tru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 w:eastAsiaTheme="minorHAnsi"/>
          <w:sz w:val="24"/>
          <w:szCs w:val="24"/>
          <w:lang w:eastAsia="ru-RU"/>
        </w:rPr>
        <w:t xml:space="preserve">5. Специалисты технического сопровождения должны иметь опыт работы в области проведения мероприятий, умение работать с профессиональной аппаратурой, знание программ для работы с осветительным, звуковым и мультимедийным оборудованием.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line="240" w:lineRule="auto"/>
        <w:ind w:firstLine="567"/>
        <w:contextualSpacing w:val="tru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6. Исполнитель осуществляет техническое </w:t>
      </w:r>
      <w:r>
        <w:rPr>
          <w:rFonts w:ascii="Times New Roman" w:hAnsi="Times New Roman" w:eastAsia="Times New Roman" w:cs="Times New Roman" w:eastAsiaTheme="minorHAnsi"/>
          <w:bCs/>
          <w:sz w:val="24"/>
          <w:szCs w:val="24"/>
          <w:lang w:eastAsia="ru-RU"/>
        </w:rPr>
        <w:t xml:space="preserve">сопровождение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проведения мероприятия, в соответствии со сценарием, утвержденным Заказчиком.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tabs>
          <w:tab w:val="left" w:leader="none" w:pos="0"/>
        </w:tabs>
        <w:spacing w:after="0" w:line="240" w:lineRule="auto"/>
        <w:ind w:right="0" w:firstLine="567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 w:eastAsiaTheme="minorHAnsi"/>
          <w:bCs/>
          <w:sz w:val="24"/>
          <w:szCs w:val="24"/>
        </w:rPr>
        <w:t xml:space="preserve">7.</w:t>
      </w:r>
      <w:r>
        <w:rPr>
          <w:rFonts w:ascii="Times New Roman" w:hAnsi="Times New Roman" w:eastAsia="Times New Roman" w:cs="Times New Roman" w:eastAsiaTheme="minorHAnsi"/>
          <w:sz w:val="24"/>
          <w:szCs w:val="24"/>
          <w:lang w:eastAsia="ru-RU"/>
        </w:rPr>
        <w:t xml:space="preserve"> Исполнитель ведет фото и видеосъемку мероприятия, по окончанию предоставляет </w:t>
      </w:r>
      <w:r>
        <w:rPr>
          <w:rFonts w:ascii="Times New Roman" w:hAnsi="Times New Roman" w:eastAsia="Times New Roman" w:cs="Times New Roman" w:eastAsiaTheme="minorHAnsi"/>
          <w:sz w:val="24"/>
          <w:szCs w:val="24"/>
          <w:lang w:val="en-US" w:eastAsia="ru-RU"/>
        </w:rPr>
        <w:t xml:space="preserve">DVD</w:t>
      </w:r>
      <w:r>
        <w:rPr>
          <w:rFonts w:ascii="Times New Roman" w:hAnsi="Times New Roman" w:eastAsia="Times New Roman" w:cs="Times New Roman" w:eastAsiaTheme="minorHAnsi"/>
          <w:sz w:val="24"/>
          <w:szCs w:val="24"/>
          <w:lang w:eastAsia="ru-RU"/>
        </w:rPr>
        <w:t xml:space="preserve"> – диск с записью фото и видео мероприятия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tabs>
          <w:tab w:val="left" w:leader="none" w:pos="0"/>
        </w:tabs>
        <w:spacing w:after="0" w:line="240" w:lineRule="auto"/>
        <w:ind w:right="0" w:firstLine="567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 w:eastAsiaTheme="minorHAnsi"/>
          <w:sz w:val="24"/>
          <w:szCs w:val="24"/>
          <w:lang w:eastAsia="ru-RU"/>
        </w:rPr>
        <w:t xml:space="preserve">8. Услуги, оказание которых  преду</w:t>
      </w:r>
      <w:r>
        <w:rPr>
          <w:rFonts w:ascii="Times New Roman" w:hAnsi="Times New Roman" w:eastAsia="Times New Roman" w:cs="Times New Roman" w:eastAsiaTheme="minorHAnsi"/>
          <w:sz w:val="24"/>
          <w:szCs w:val="24"/>
          <w:lang w:eastAsia="ru-RU"/>
        </w:rPr>
        <w:t xml:space="preserve">смотрено требованиям настоящего технического задания, по своему содержанию и исполнению соответствуют требованиям действующего законодательства РФ об авторских и смежных правах. Все расчеты с авторами и обладателями смежных прав производятся Исполнителем</w:t>
      </w:r>
      <w:r>
        <w:rPr>
          <w:rFonts w:ascii="Times New Roman" w:hAnsi="Times New Roman" w:eastAsia="Times New Roman" w:cs="Times New Roman" w:eastAsiaTheme="minorHAnsi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 w:eastAsiaTheme="minorHAnsi"/>
          <w:sz w:val="24"/>
          <w:szCs w:val="24"/>
          <w:lang w:eastAsia="ru-RU"/>
        </w:rPr>
        <w:t xml:space="preserve">самостоятельно.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tabs>
          <w:tab w:val="left" w:leader="none" w:pos="0"/>
        </w:tabs>
        <w:spacing w:after="0" w:line="240" w:lineRule="auto"/>
        <w:ind w:right="0" w:firstLine="567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 w:eastAsiaTheme="minorHAnsi"/>
          <w:bCs/>
          <w:color w:val="000000" w:themeColor="text1"/>
          <w:sz w:val="24"/>
          <w:szCs w:val="24"/>
        </w:rPr>
        <w:t xml:space="preserve">9. </w:t>
      </w:r>
      <w:r>
        <w:rPr>
          <w:rFonts w:ascii="Times New Roman" w:hAnsi="Times New Roman" w:eastAsia="Times New Roman" w:cs="Times New Roman" w:eastAsiaTheme="minorHAnsi"/>
          <w:sz w:val="24"/>
          <w:szCs w:val="24"/>
          <w:lang w:eastAsia="ru-RU"/>
        </w:rPr>
        <w:t xml:space="preserve">Исполнитель на мероприятии обязуется не производить дей</w:t>
      </w:r>
      <w:r>
        <w:rPr>
          <w:rFonts w:ascii="Times New Roman" w:hAnsi="Times New Roman" w:eastAsia="Times New Roman" w:cs="Times New Roman" w:eastAsiaTheme="minorHAnsi"/>
          <w:sz w:val="24"/>
          <w:szCs w:val="24"/>
          <w:lang w:eastAsia="ru-RU"/>
        </w:rPr>
        <w:t xml:space="preserve">ствий, направленных на насильственное изменение основ конституционного строя и нарушение целостности Российской Федерации, подрыв безопасности государства, создание вооруженных формирований, разжигание социальной, расовой, национальной и религиозной розни.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tabs>
          <w:tab w:val="left" w:leader="none" w:pos="567"/>
        </w:tabs>
        <w:spacing w:after="0" w:line="240" w:lineRule="auto"/>
        <w:ind w:right="0" w:firstLine="567" w:left="0"/>
        <w:contextualSpacing w:val="tru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 w:eastAsiaTheme="minorHAnsi"/>
          <w:sz w:val="24"/>
          <w:szCs w:val="24"/>
        </w:rPr>
        <w:t xml:space="preserve">10. </w:t>
      </w:r>
      <w:r>
        <w:rPr>
          <w:rFonts w:ascii="Times New Roman" w:hAnsi="Times New Roman" w:eastAsia="Times New Roman" w:cs="Times New Roman" w:eastAsiaTheme="minorHAnsi"/>
          <w:sz w:val="24"/>
          <w:szCs w:val="24"/>
          <w:lang w:eastAsia="ru-RU"/>
        </w:rPr>
        <w:t xml:space="preserve">Качество оказанных Исполнителем услуг должно соответствовать действующим нормативным правовым актам Российской Федерации, стандартам, техническим условиям, ГОСТам и иным требованиям, предъявляемым к результатам такого рода услуг.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sectPr>
      <w:footnotePr/>
      <w:endnotePr/>
      <w:type w:val="nextPage"/>
      <w:pgSz w:h="16838" w:orient="portrait" w:w="11906"/>
      <w:pgMar w:top="567" w:right="707" w:bottom="426" w:left="851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panose1 w:val="02000506000000020000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Palatino Linotype">
    <w:panose1 w:val="02040503050406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Palatino Linotype" w:hAnsi="Palatino Linotype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/>
        <w:ind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01">
    <w:name w:val="Table Grid"/>
    <w:basedOn w:val="88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>
    <w:name w:val="Table Grid Light"/>
    <w:basedOn w:val="88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>
    <w:name w:val="Plain Table 1"/>
    <w:basedOn w:val="88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Plain Table 2"/>
    <w:basedOn w:val="88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Plain Table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Plain Table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Plain Table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Grid Table 1 Light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Grid Table 1 Light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1 Light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1 Light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1 Light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1 Light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1 Light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2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2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2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2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2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2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3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3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3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3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3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3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4"/>
    <w:basedOn w:val="8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4 - Accent 1"/>
    <w:basedOn w:val="8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4 - Accent 2"/>
    <w:basedOn w:val="8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4 - Accent 3"/>
    <w:basedOn w:val="8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4 - Accent 4"/>
    <w:basedOn w:val="8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4 - Accent 5"/>
    <w:basedOn w:val="8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4 - Accent 6"/>
    <w:basedOn w:val="8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5 Dark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5 Dark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5 Dark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5 Dark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5 Dark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5 Dark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5 Dark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6 Colorful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6 Colorful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6 Colorful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6 Colorful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6 Colorful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6 Colorful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6 Colorful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7 Colorful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7 Colorful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7 Colorful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7 Colorful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7 Colorful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7 Colorful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7 Colorful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List Table 1 Light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1 Light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1 Light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1 Light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1 Light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1 Light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1 Light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2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2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2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2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2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2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3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3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3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3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3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3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4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4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4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4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4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4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5 Dark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5 Dark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5 Dark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5 Dark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5 Dark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5 Dark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5 Dark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6 Colorful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6 Colorful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6 Colorful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6 Colorful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6 Colorful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6 Colorful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6 Colorful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7 Colorful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7 Colorful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7 Colorful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7 Colorful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7 Colorful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7 Colorful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7 Colorful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ned - Accent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ned - Accent 1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ned - Accent 2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ned - Accent 3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ned - Accent 4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ned - Accent 5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ned - Accent 6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Bordered &amp; Lined - Accent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Bordered &amp; Lined - Accent 1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Bordered &amp; Lined - Accent 2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Bordered &amp; Lined - Accent 3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Bordered &amp; Lined - Accent 4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Bordered &amp; Lined - Accent 5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Bordered &amp; Lined - Accent 6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Bordered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Bordered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Bordered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Bordered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Bordered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Bordered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27">
    <w:name w:val="Heading 1"/>
    <w:basedOn w:val="884"/>
    <w:next w:val="884"/>
    <w:link w:val="836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28">
    <w:name w:val="Heading 2"/>
    <w:basedOn w:val="884"/>
    <w:next w:val="884"/>
    <w:link w:val="837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29">
    <w:name w:val="Heading 3"/>
    <w:basedOn w:val="884"/>
    <w:next w:val="884"/>
    <w:link w:val="838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30">
    <w:name w:val="Heading 4"/>
    <w:basedOn w:val="884"/>
    <w:next w:val="884"/>
    <w:link w:val="839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31">
    <w:name w:val="Heading 5"/>
    <w:basedOn w:val="884"/>
    <w:next w:val="884"/>
    <w:link w:val="840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32">
    <w:name w:val="Heading 6"/>
    <w:basedOn w:val="884"/>
    <w:next w:val="884"/>
    <w:link w:val="841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33">
    <w:name w:val="Heading 7"/>
    <w:basedOn w:val="884"/>
    <w:next w:val="884"/>
    <w:link w:val="842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34">
    <w:name w:val="Heading 8"/>
    <w:basedOn w:val="884"/>
    <w:next w:val="884"/>
    <w:link w:val="843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35">
    <w:name w:val="Heading 9"/>
    <w:basedOn w:val="884"/>
    <w:next w:val="884"/>
    <w:link w:val="844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36">
    <w:name w:val="Heading 1 Char"/>
    <w:basedOn w:val="885"/>
    <w:link w:val="82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37">
    <w:name w:val="Heading 2 Char"/>
    <w:basedOn w:val="885"/>
    <w:link w:val="82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38">
    <w:name w:val="Heading 3 Char"/>
    <w:basedOn w:val="885"/>
    <w:link w:val="82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39">
    <w:name w:val="Heading 4 Char"/>
    <w:basedOn w:val="885"/>
    <w:link w:val="830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40">
    <w:name w:val="Heading 5 Char"/>
    <w:basedOn w:val="885"/>
    <w:link w:val="83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41">
    <w:name w:val="Heading 6 Char"/>
    <w:basedOn w:val="885"/>
    <w:link w:val="832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42">
    <w:name w:val="Heading 7 Char"/>
    <w:basedOn w:val="885"/>
    <w:link w:val="833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43">
    <w:name w:val="Heading 8 Char"/>
    <w:basedOn w:val="885"/>
    <w:link w:val="83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44">
    <w:name w:val="Heading 9 Char"/>
    <w:basedOn w:val="885"/>
    <w:link w:val="83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45">
    <w:name w:val="Title Char"/>
    <w:basedOn w:val="885"/>
    <w:link w:val="890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846">
    <w:name w:val="Subtitle Char"/>
    <w:basedOn w:val="885"/>
    <w:link w:val="892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47">
    <w:name w:val="Quote"/>
    <w:basedOn w:val="884"/>
    <w:next w:val="884"/>
    <w:link w:val="848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48">
    <w:name w:val="Quote Char"/>
    <w:basedOn w:val="885"/>
    <w:link w:val="847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49">
    <w:name w:val="List Paragraph"/>
    <w:basedOn w:val="884"/>
    <w:uiPriority w:val="34"/>
    <w:qFormat/>
    <w:pPr>
      <w:pBdr/>
      <w:spacing/>
      <w:ind w:left="720"/>
      <w:contextualSpacing w:val="true"/>
    </w:pPr>
  </w:style>
  <w:style w:type="character" w:styleId="850">
    <w:name w:val="Intense Emphasis"/>
    <w:basedOn w:val="885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51">
    <w:name w:val="Intense Quote"/>
    <w:basedOn w:val="884"/>
    <w:next w:val="884"/>
    <w:link w:val="852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52">
    <w:name w:val="Intense Quote Char"/>
    <w:basedOn w:val="885"/>
    <w:link w:val="851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53">
    <w:name w:val="Intense Reference"/>
    <w:basedOn w:val="885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54">
    <w:name w:val="No Spacing"/>
    <w:basedOn w:val="884"/>
    <w:uiPriority w:val="1"/>
    <w:qFormat/>
    <w:pPr>
      <w:pBdr/>
      <w:spacing w:after="0" w:line="240" w:lineRule="auto"/>
      <w:ind/>
    </w:pPr>
  </w:style>
  <w:style w:type="character" w:styleId="855">
    <w:name w:val="Subtle Emphasis"/>
    <w:basedOn w:val="885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56">
    <w:name w:val="Emphasis"/>
    <w:basedOn w:val="885"/>
    <w:uiPriority w:val="20"/>
    <w:qFormat/>
    <w:pPr>
      <w:pBdr/>
      <w:spacing/>
      <w:ind/>
    </w:pPr>
    <w:rPr>
      <w:i/>
      <w:iCs/>
    </w:rPr>
  </w:style>
  <w:style w:type="character" w:styleId="857">
    <w:name w:val="Strong"/>
    <w:basedOn w:val="885"/>
    <w:uiPriority w:val="22"/>
    <w:qFormat/>
    <w:pPr>
      <w:pBdr/>
      <w:spacing/>
      <w:ind/>
    </w:pPr>
    <w:rPr>
      <w:b/>
      <w:bCs/>
    </w:rPr>
  </w:style>
  <w:style w:type="character" w:styleId="858">
    <w:name w:val="Subtle Reference"/>
    <w:basedOn w:val="885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59">
    <w:name w:val="Book Title"/>
    <w:basedOn w:val="885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60">
    <w:name w:val="Header"/>
    <w:basedOn w:val="884"/>
    <w:link w:val="861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1">
    <w:name w:val="Header Char"/>
    <w:basedOn w:val="885"/>
    <w:link w:val="860"/>
    <w:uiPriority w:val="99"/>
    <w:pPr>
      <w:pBdr/>
      <w:spacing/>
      <w:ind/>
    </w:pPr>
  </w:style>
  <w:style w:type="paragraph" w:styleId="862">
    <w:name w:val="Footer"/>
    <w:basedOn w:val="884"/>
    <w:link w:val="863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3">
    <w:name w:val="Footer Char"/>
    <w:basedOn w:val="885"/>
    <w:link w:val="862"/>
    <w:uiPriority w:val="99"/>
    <w:pPr>
      <w:pBdr/>
      <w:spacing/>
      <w:ind/>
    </w:pPr>
  </w:style>
  <w:style w:type="paragraph" w:styleId="864">
    <w:name w:val="Caption"/>
    <w:basedOn w:val="884"/>
    <w:next w:val="88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65">
    <w:name w:val="footnote text"/>
    <w:basedOn w:val="884"/>
    <w:link w:val="866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66">
    <w:name w:val="Footnote Text Char"/>
    <w:basedOn w:val="885"/>
    <w:link w:val="865"/>
    <w:uiPriority w:val="99"/>
    <w:semiHidden/>
    <w:pPr>
      <w:pBdr/>
      <w:spacing/>
      <w:ind/>
    </w:pPr>
    <w:rPr>
      <w:sz w:val="20"/>
      <w:szCs w:val="20"/>
    </w:rPr>
  </w:style>
  <w:style w:type="character" w:styleId="867">
    <w:name w:val="footnote reference"/>
    <w:basedOn w:val="885"/>
    <w:uiPriority w:val="99"/>
    <w:semiHidden/>
    <w:unhideWhenUsed/>
    <w:pPr>
      <w:pBdr/>
      <w:spacing/>
      <w:ind/>
    </w:pPr>
    <w:rPr>
      <w:vertAlign w:val="superscript"/>
    </w:rPr>
  </w:style>
  <w:style w:type="paragraph" w:styleId="868">
    <w:name w:val="endnote text"/>
    <w:basedOn w:val="884"/>
    <w:link w:val="869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69">
    <w:name w:val="Endnote Text Char"/>
    <w:basedOn w:val="885"/>
    <w:link w:val="868"/>
    <w:uiPriority w:val="99"/>
    <w:semiHidden/>
    <w:pPr>
      <w:pBdr/>
      <w:spacing/>
      <w:ind/>
    </w:pPr>
    <w:rPr>
      <w:sz w:val="20"/>
      <w:szCs w:val="20"/>
    </w:rPr>
  </w:style>
  <w:style w:type="character" w:styleId="870">
    <w:name w:val="endnote reference"/>
    <w:basedOn w:val="885"/>
    <w:uiPriority w:val="99"/>
    <w:semiHidden/>
    <w:unhideWhenUsed/>
    <w:pPr>
      <w:pBdr/>
      <w:spacing/>
      <w:ind/>
    </w:pPr>
    <w:rPr>
      <w:vertAlign w:val="superscript"/>
    </w:rPr>
  </w:style>
  <w:style w:type="character" w:styleId="871">
    <w:name w:val="FollowedHyperlink"/>
    <w:basedOn w:val="885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72">
    <w:name w:val="toc 1"/>
    <w:basedOn w:val="884"/>
    <w:next w:val="884"/>
    <w:uiPriority w:val="39"/>
    <w:unhideWhenUsed/>
    <w:pPr>
      <w:pBdr/>
      <w:spacing w:after="100"/>
      <w:ind/>
    </w:pPr>
  </w:style>
  <w:style w:type="paragraph" w:styleId="873">
    <w:name w:val="toc 2"/>
    <w:basedOn w:val="884"/>
    <w:next w:val="884"/>
    <w:uiPriority w:val="39"/>
    <w:unhideWhenUsed/>
    <w:pPr>
      <w:pBdr/>
      <w:spacing w:after="100"/>
      <w:ind w:left="220"/>
    </w:pPr>
  </w:style>
  <w:style w:type="paragraph" w:styleId="874">
    <w:name w:val="toc 3"/>
    <w:basedOn w:val="884"/>
    <w:next w:val="884"/>
    <w:uiPriority w:val="39"/>
    <w:unhideWhenUsed/>
    <w:pPr>
      <w:pBdr/>
      <w:spacing w:after="100"/>
      <w:ind w:left="440"/>
    </w:pPr>
  </w:style>
  <w:style w:type="paragraph" w:styleId="875">
    <w:name w:val="toc 4"/>
    <w:basedOn w:val="884"/>
    <w:next w:val="884"/>
    <w:uiPriority w:val="39"/>
    <w:unhideWhenUsed/>
    <w:pPr>
      <w:pBdr/>
      <w:spacing w:after="100"/>
      <w:ind w:left="660"/>
    </w:pPr>
  </w:style>
  <w:style w:type="paragraph" w:styleId="876">
    <w:name w:val="toc 5"/>
    <w:basedOn w:val="884"/>
    <w:next w:val="884"/>
    <w:uiPriority w:val="39"/>
    <w:unhideWhenUsed/>
    <w:pPr>
      <w:pBdr/>
      <w:spacing w:after="100"/>
      <w:ind w:left="880"/>
    </w:pPr>
  </w:style>
  <w:style w:type="paragraph" w:styleId="877">
    <w:name w:val="toc 6"/>
    <w:basedOn w:val="884"/>
    <w:next w:val="884"/>
    <w:uiPriority w:val="39"/>
    <w:unhideWhenUsed/>
    <w:pPr>
      <w:pBdr/>
      <w:spacing w:after="100"/>
      <w:ind w:left="1100"/>
    </w:pPr>
  </w:style>
  <w:style w:type="paragraph" w:styleId="878">
    <w:name w:val="toc 7"/>
    <w:basedOn w:val="884"/>
    <w:next w:val="884"/>
    <w:uiPriority w:val="39"/>
    <w:unhideWhenUsed/>
    <w:pPr>
      <w:pBdr/>
      <w:spacing w:after="100"/>
      <w:ind w:left="1320"/>
    </w:pPr>
  </w:style>
  <w:style w:type="paragraph" w:styleId="879">
    <w:name w:val="toc 8"/>
    <w:basedOn w:val="884"/>
    <w:next w:val="884"/>
    <w:uiPriority w:val="39"/>
    <w:unhideWhenUsed/>
    <w:pPr>
      <w:pBdr/>
      <w:spacing w:after="100"/>
      <w:ind w:left="1540"/>
    </w:pPr>
  </w:style>
  <w:style w:type="paragraph" w:styleId="880">
    <w:name w:val="toc 9"/>
    <w:basedOn w:val="884"/>
    <w:next w:val="884"/>
    <w:uiPriority w:val="39"/>
    <w:unhideWhenUsed/>
    <w:pPr>
      <w:pBdr/>
      <w:spacing w:after="100"/>
      <w:ind w:left="1760"/>
    </w:pPr>
  </w:style>
  <w:style w:type="character" w:styleId="881">
    <w:name w:val="Placeholder Text"/>
    <w:basedOn w:val="885"/>
    <w:uiPriority w:val="99"/>
    <w:semiHidden/>
    <w:pPr>
      <w:pBdr/>
      <w:spacing/>
      <w:ind/>
    </w:pPr>
    <w:rPr>
      <w:color w:val="666666"/>
    </w:rPr>
  </w:style>
  <w:style w:type="paragraph" w:styleId="882">
    <w:name w:val="TOC Heading"/>
    <w:uiPriority w:val="39"/>
    <w:unhideWhenUsed/>
    <w:pPr>
      <w:pBdr/>
      <w:spacing/>
      <w:ind/>
    </w:pPr>
  </w:style>
  <w:style w:type="paragraph" w:styleId="883">
    <w:name w:val="table of figures"/>
    <w:basedOn w:val="884"/>
    <w:next w:val="884"/>
    <w:uiPriority w:val="99"/>
    <w:unhideWhenUsed/>
    <w:pPr>
      <w:pBdr/>
      <w:spacing w:after="0" w:afterAutospacing="0"/>
      <w:ind/>
    </w:pPr>
  </w:style>
  <w:style w:type="paragraph" w:styleId="884" w:default="1">
    <w:name w:val="Normal"/>
    <w:qFormat/>
    <w:pPr>
      <w:pBdr/>
      <w:spacing w:after="200" w:line="276" w:lineRule="auto"/>
      <w:ind/>
      <w:jc w:val="left"/>
    </w:pPr>
    <w:rPr>
      <w:rFonts w:ascii="Calibri" w:hAnsi="Calibri" w:eastAsia="Times New Roman" w:cs="Times New Roman"/>
    </w:rPr>
  </w:style>
  <w:style w:type="character" w:styleId="885" w:default="1">
    <w:name w:val="Default Paragraph Font"/>
    <w:uiPriority w:val="1"/>
    <w:semiHidden/>
    <w:unhideWhenUsed/>
    <w:pPr>
      <w:pBdr/>
      <w:spacing/>
      <w:ind/>
    </w:pPr>
  </w:style>
  <w:style w:type="table" w:styleId="886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87" w:default="1">
    <w:name w:val="No List"/>
    <w:uiPriority w:val="99"/>
    <w:semiHidden/>
    <w:unhideWhenUsed/>
    <w:pPr>
      <w:pBdr/>
      <w:spacing/>
      <w:ind/>
    </w:pPr>
  </w:style>
  <w:style w:type="paragraph" w:styleId="888">
    <w:name w:val="Body Text"/>
    <w:basedOn w:val="884"/>
    <w:link w:val="889"/>
    <w:uiPriority w:val="99"/>
    <w:pPr>
      <w:pBdr/>
      <w:spacing w:after="0" w:line="240" w:lineRule="auto"/>
      <w:ind/>
      <w:jc w:val="center"/>
    </w:pPr>
    <w:rPr>
      <w:rFonts w:ascii="Times New Roman" w:hAnsi="Times New Roman" w:eastAsia="Calibri"/>
      <w:szCs w:val="20"/>
      <w:lang w:val="en-US" w:eastAsia="ru-RU"/>
    </w:rPr>
  </w:style>
  <w:style w:type="character" w:styleId="889" w:customStyle="1">
    <w:name w:val="Основной текст Знак"/>
    <w:basedOn w:val="885"/>
    <w:link w:val="888"/>
    <w:uiPriority w:val="99"/>
    <w:pPr>
      <w:pBdr/>
      <w:spacing/>
      <w:ind/>
    </w:pPr>
    <w:rPr>
      <w:rFonts w:ascii="Times New Roman" w:hAnsi="Times New Roman" w:eastAsia="Calibri" w:cs="Times New Roman"/>
      <w:szCs w:val="20"/>
      <w:lang w:val="en-US" w:eastAsia="ru-RU"/>
    </w:rPr>
  </w:style>
  <w:style w:type="paragraph" w:styleId="890">
    <w:name w:val="Title"/>
    <w:basedOn w:val="884"/>
    <w:link w:val="891"/>
    <w:uiPriority w:val="99"/>
    <w:qFormat/>
    <w:pPr>
      <w:pBdr/>
      <w:spacing w:after="0" w:line="240" w:lineRule="auto"/>
      <w:ind w:left="-900"/>
      <w:jc w:val="center"/>
    </w:pPr>
    <w:rPr>
      <w:rFonts w:ascii="Times New Roman" w:hAnsi="Times New Roman" w:eastAsia="Calibri"/>
      <w:b/>
      <w:sz w:val="28"/>
      <w:szCs w:val="20"/>
      <w:lang w:eastAsia="ru-RU"/>
    </w:rPr>
  </w:style>
  <w:style w:type="character" w:styleId="891" w:customStyle="1">
    <w:name w:val="Заголовок Знак"/>
    <w:basedOn w:val="885"/>
    <w:link w:val="890"/>
    <w:uiPriority w:val="99"/>
    <w:pPr>
      <w:pBdr/>
      <w:spacing/>
      <w:ind/>
    </w:pPr>
    <w:rPr>
      <w:rFonts w:ascii="Times New Roman" w:hAnsi="Times New Roman" w:eastAsia="Calibri" w:cs="Times New Roman"/>
      <w:b/>
      <w:sz w:val="28"/>
      <w:szCs w:val="20"/>
      <w:lang w:eastAsia="ru-RU"/>
    </w:rPr>
  </w:style>
  <w:style w:type="paragraph" w:styleId="892">
    <w:name w:val="Subtitle"/>
    <w:basedOn w:val="884"/>
    <w:link w:val="893"/>
    <w:uiPriority w:val="99"/>
    <w:qFormat/>
    <w:pPr>
      <w:pBdr/>
      <w:tabs>
        <w:tab w:val="left" w:leader="none" w:pos="6804"/>
      </w:tabs>
      <w:spacing w:after="0" w:line="240" w:lineRule="auto"/>
      <w:ind/>
    </w:pPr>
    <w:rPr>
      <w:rFonts w:ascii="Times New Roman" w:hAnsi="Times New Roman" w:eastAsia="Calibri"/>
      <w:b/>
      <w:color w:val="000000"/>
      <w:sz w:val="16"/>
      <w:szCs w:val="20"/>
      <w:lang w:eastAsia="ru-RU"/>
    </w:rPr>
  </w:style>
  <w:style w:type="character" w:styleId="893" w:customStyle="1">
    <w:name w:val="Подзаголовок Знак"/>
    <w:basedOn w:val="885"/>
    <w:link w:val="892"/>
    <w:uiPriority w:val="99"/>
    <w:pPr>
      <w:pBdr/>
      <w:spacing/>
      <w:ind/>
    </w:pPr>
    <w:rPr>
      <w:rFonts w:ascii="Times New Roman" w:hAnsi="Times New Roman" w:eastAsia="Calibri" w:cs="Times New Roman"/>
      <w:b/>
      <w:color w:val="000000"/>
      <w:sz w:val="16"/>
      <w:szCs w:val="20"/>
      <w:lang w:eastAsia="ru-RU"/>
    </w:rPr>
  </w:style>
  <w:style w:type="character" w:styleId="894">
    <w:name w:val="Hyperlink"/>
    <w:basedOn w:val="885"/>
    <w:uiPriority w:val="99"/>
    <w:pPr>
      <w:pBdr/>
      <w:spacing/>
      <w:ind/>
    </w:pPr>
    <w:rPr>
      <w:rFonts w:cs="Times New Roman"/>
      <w:color w:val="0563c1"/>
      <w:u w:val="single"/>
    </w:rPr>
  </w:style>
  <w:style w:type="paragraph" w:styleId="895" w:customStyle="1">
    <w:name w:val="ConsPlusNormal"/>
    <w:link w:val="896"/>
    <w:pPr>
      <w:widowControl w:val="false"/>
      <w:pBdr/>
      <w:spacing/>
      <w:ind w:firstLine="720"/>
      <w:jc w:val="left"/>
    </w:pPr>
    <w:rPr>
      <w:rFonts w:ascii="Arial" w:hAnsi="Arial" w:eastAsia="Calibri" w:cs="Times New Roman"/>
      <w:lang w:eastAsia="ru-RU"/>
    </w:rPr>
  </w:style>
  <w:style w:type="character" w:styleId="896" w:customStyle="1">
    <w:name w:val="ConsPlusNormal Знак"/>
    <w:link w:val="895"/>
    <w:pPr>
      <w:pBdr/>
      <w:spacing/>
      <w:ind/>
    </w:pPr>
    <w:rPr>
      <w:rFonts w:ascii="Arial" w:hAnsi="Arial" w:eastAsia="Calibri" w:cs="Times New Roman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ONLYOFFICE/9.2.1.43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244-01</dc:creator>
  <cp:revision>14</cp:revision>
  <dcterms:created xsi:type="dcterms:W3CDTF">2026-06-23T00:37:00Z</dcterms:created>
  <dcterms:modified xsi:type="dcterms:W3CDTF">2026-08-19T23:06:54Z</dcterms:modified>
</cp:coreProperties>
</file>