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795A19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изготовление и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907F9F">
        <w:rPr>
          <w:rFonts w:ascii="Times New Roman" w:hAnsi="Times New Roman"/>
          <w:bCs/>
          <w:color w:val="000000"/>
          <w:sz w:val="24"/>
          <w:szCs w:val="24"/>
          <w:lang w:eastAsia="zh-CN"/>
        </w:rPr>
        <w:t>мебели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указанно</w:t>
      </w:r>
      <w:r w:rsidR="00907F9F">
        <w:rPr>
          <w:rFonts w:ascii="Times New Roman" w:hAnsi="Times New Roman"/>
          <w:bCs/>
          <w:color w:val="000000"/>
          <w:sz w:val="24"/>
          <w:szCs w:val="24"/>
          <w:lang w:eastAsia="zh-CN"/>
        </w:rPr>
        <w:t>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843"/>
        <w:gridCol w:w="709"/>
        <w:gridCol w:w="709"/>
        <w:gridCol w:w="1559"/>
        <w:gridCol w:w="1417"/>
      </w:tblGrid>
      <w:tr w:rsidR="00204406" w:rsidTr="00083EE0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DB722A" w:rsidRDefault="009A0214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Кровать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DB722A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31.09.99.21</w:t>
            </w:r>
            <w:r w:rsidR="00083EE0"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DB72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Прикроватная тумба с выдвижными ящиками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B44D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Стол </w:t>
            </w:r>
            <w:r w:rsidR="00B44D06">
              <w:rPr>
                <w:rFonts w:ascii="Times New Roman" w:hAnsi="Times New Roman"/>
                <w:bCs/>
                <w:color w:val="000000"/>
                <w:lang w:eastAsia="zh-CN"/>
              </w:rPr>
              <w:t>туалетный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B44D06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Пуф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Pr="00CE5002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083EE0" w:rsidTr="00083EE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B44D06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  <w:r w:rsidR="00083EE0">
              <w:rPr>
                <w:rFonts w:ascii="Times New Roman" w:hAnsi="Times New Roman"/>
                <w:bCs/>
                <w:color w:val="000000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Стул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Default="00083EE0" w:rsidP="00083EE0">
            <w:pPr>
              <w:jc w:val="center"/>
            </w:pPr>
            <w:r w:rsidRPr="00225697">
              <w:rPr>
                <w:rFonts w:ascii="Times New Roman" w:hAnsi="Times New Roman"/>
                <w:bCs/>
                <w:color w:val="000000"/>
                <w:lang w:eastAsia="zh-CN"/>
              </w:rPr>
              <w:t>31.09.99.215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3EE0" w:rsidRPr="00CE5002" w:rsidRDefault="00083EE0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83EE0" w:rsidRDefault="00B44D06" w:rsidP="00083EE0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83EE0" w:rsidRDefault="00083EE0" w:rsidP="00083E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</w:t>
      </w:r>
      <w:r w:rsidR="00907F9F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(Техническое задание)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</w:t>
      </w: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7A660B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216319" w:rsidP="007A660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ab/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передать товар Заказчику </w:t>
      </w:r>
      <w:r w:rsidR="00326CC8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7A660B">
        <w:rPr>
          <w:rFonts w:ascii="Times New Roman" w:hAnsi="Times New Roman"/>
          <w:kern w:val="2"/>
          <w:sz w:val="24"/>
          <w:szCs w:val="24"/>
          <w:lang w:eastAsia="zh-CN"/>
        </w:rPr>
        <w:t>14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A660B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083EE0">
        <w:rPr>
          <w:rFonts w:ascii="Times New Roman" w:hAnsi="Times New Roman"/>
          <w:kern w:val="2"/>
          <w:sz w:val="24"/>
          <w:szCs w:val="24"/>
          <w:lang w:eastAsia="zh-CN"/>
        </w:rPr>
        <w:t>даты заключения Контракта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</w:t>
      </w:r>
      <w:r w:rsidR="006820E0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>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</w:t>
      </w:r>
      <w:r w:rsidR="006820E0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</w:t>
      </w:r>
      <w:r w:rsidR="006820E0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>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6820E0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</w:t>
      </w:r>
      <w:r w:rsidR="006820E0">
        <w:rPr>
          <w:rFonts w:ascii="Times New Roman" w:hAnsi="Times New Roman"/>
          <w:kern w:val="2"/>
          <w:sz w:val="24"/>
          <w:szCs w:val="24"/>
          <w:lang w:eastAsia="zh-CN"/>
        </w:rPr>
        <w:t>9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0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1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2</w:t>
      </w:r>
      <w:r w:rsidRPr="0020440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6820E0">
        <w:rPr>
          <w:rFonts w:ascii="Times New Roman" w:hAnsi="Times New Roman"/>
          <w:sz w:val="24"/>
          <w:szCs w:val="24"/>
          <w:lang w:eastAsia="ru-RU"/>
        </w:rPr>
        <w:t>3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6820E0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D85ADB" w:rsidRDefault="00D85ADB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B44D06" w:rsidRPr="00B44D06" w:rsidRDefault="00B44D06" w:rsidP="00B44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B44D06" w:rsidRPr="00B44D06" w:rsidRDefault="00B44D06" w:rsidP="00B44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B44D06" w:rsidRPr="00B44D06" w:rsidRDefault="00B44D06" w:rsidP="00B44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sz w:val="24"/>
          <w:szCs w:val="24"/>
          <w:lang w:eastAsia="ru-RU"/>
        </w:rPr>
        <w:t>на изготовление и поставку мебели для нужд ФБЛПУ «Санаторий «Радуга» ФНС России»</w:t>
      </w: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44D06" w:rsidRPr="00B44D06" w:rsidRDefault="00B44D06" w:rsidP="00B44D06">
      <w:pPr>
        <w:numPr>
          <w:ilvl w:val="0"/>
          <w:numId w:val="15"/>
        </w:numPr>
        <w:spacing w:after="0" w:line="240" w:lineRule="auto"/>
        <w:ind w:left="106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поставки:</w:t>
      </w: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44D06" w:rsidRPr="00B44D06" w:rsidRDefault="00B44D06" w:rsidP="00B44D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B44D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4D06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B44D06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B44D06">
        <w:rPr>
          <w:rFonts w:ascii="Times New Roman" w:hAnsi="Times New Roman"/>
          <w:sz w:val="24"/>
          <w:szCs w:val="24"/>
          <w:lang w:eastAsia="ru-RU"/>
        </w:rPr>
        <w:t>Поставка мебели (далее – Товар) осуществляется только после согласования с Заказчиком</w:t>
      </w:r>
    </w:p>
    <w:p w:rsidR="00B44D06" w:rsidRPr="00B44D06" w:rsidRDefault="00B44D06" w:rsidP="00B44D06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Поставщик обязан не позднее чем за 2 (два) рабочих дня согласовать с Заказчиком дату и время поставки Товара. Время поставки Товара не должно совпадать с обеденным временем Заказчика и быть позднее, чем за 2 (два) часа до окончания рабочего времени Заказчика.</w:t>
      </w:r>
      <w:r w:rsidRPr="00B44D0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44D06" w:rsidRPr="00B44D06" w:rsidRDefault="00B44D06" w:rsidP="00B44D0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44D06" w:rsidRPr="00B44D06" w:rsidRDefault="00B44D06" w:rsidP="00B44D06">
      <w:pPr>
        <w:numPr>
          <w:ilvl w:val="0"/>
          <w:numId w:val="15"/>
        </w:numPr>
        <w:suppressAutoHyphens/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B44D06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 поставки:</w:t>
      </w: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14 календарных дней с даты заключения Контракта. </w:t>
      </w:r>
    </w:p>
    <w:p w:rsidR="00B44D06" w:rsidRPr="00B44D06" w:rsidRDefault="00B44D06" w:rsidP="00B44D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sz w:val="24"/>
          <w:szCs w:val="24"/>
          <w:lang w:eastAsia="zh-CN"/>
        </w:rPr>
        <w:t>В течение трех рабочих дней, следующих за днем заключения контракта, Поставщик обязан предоставить на согласование цветные фотографии (эскизы) с образцами товара,</w:t>
      </w:r>
      <w:r w:rsidRPr="00B44D06">
        <w:rPr>
          <w:rFonts w:ascii="Times New Roman" w:hAnsi="Times New Roman"/>
          <w:sz w:val="24"/>
          <w:szCs w:val="24"/>
          <w:lang w:eastAsia="ru-RU"/>
        </w:rPr>
        <w:t xml:space="preserve"> образцы обивочного материала с указанием характеристик и наименованием производителя.</w:t>
      </w:r>
      <w:r w:rsidRPr="00B44D06">
        <w:rPr>
          <w:rFonts w:ascii="Times New Roman" w:hAnsi="Times New Roman"/>
          <w:sz w:val="24"/>
          <w:szCs w:val="24"/>
          <w:lang w:eastAsia="zh-CN"/>
        </w:rPr>
        <w:t xml:space="preserve"> Заказчик обязан согласовать представленные образцы в срок, не превышающий двух рабочих дней с момента предоставления фотографий. В случае, если представленные образцы не соответствуют условиям Контракта и приложений к нему,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двух рабочих дней. </w:t>
      </w: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4D06" w:rsidRPr="00B44D06" w:rsidRDefault="00B44D06" w:rsidP="00B44D06">
      <w:pPr>
        <w:numPr>
          <w:ilvl w:val="0"/>
          <w:numId w:val="15"/>
        </w:numPr>
        <w:suppressAutoHyphens/>
        <w:spacing w:after="0" w:line="240" w:lineRule="auto"/>
        <w:ind w:left="1069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B44D06">
        <w:rPr>
          <w:rFonts w:ascii="Times New Roman" w:hAnsi="Times New Roman"/>
          <w:b/>
          <w:sz w:val="24"/>
          <w:szCs w:val="24"/>
          <w:lang w:eastAsia="zh-CN"/>
        </w:rPr>
        <w:t xml:space="preserve"> Нормативно-правовая база.</w:t>
      </w:r>
    </w:p>
    <w:p w:rsidR="00B44D06" w:rsidRPr="00B44D06" w:rsidRDefault="00B44D06" w:rsidP="00B44D0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4D06">
        <w:rPr>
          <w:rFonts w:ascii="Times New Roman" w:hAnsi="Times New Roman"/>
          <w:sz w:val="24"/>
          <w:szCs w:val="24"/>
          <w:lang w:eastAsia="zh-CN"/>
        </w:rPr>
        <w:t xml:space="preserve">  Товар должен соответствовать требованиям:</w:t>
      </w:r>
    </w:p>
    <w:p w:rsidR="00B44D06" w:rsidRPr="00B44D06" w:rsidRDefault="00B44D06" w:rsidP="00B44D06">
      <w:pPr>
        <w:tabs>
          <w:tab w:val="left" w:pos="360"/>
        </w:tabs>
        <w:suppressAutoHyphens/>
        <w:spacing w:after="0" w:line="240" w:lineRule="exact"/>
        <w:ind w:firstLine="624"/>
        <w:rPr>
          <w:rFonts w:ascii="Times New Roman" w:hAnsi="Times New Roman"/>
          <w:sz w:val="24"/>
          <w:szCs w:val="24"/>
          <w:lang w:eastAsia="zh-CN"/>
        </w:rPr>
      </w:pPr>
      <w:r w:rsidRPr="00B44D06">
        <w:rPr>
          <w:rFonts w:ascii="Times New Roman" w:hAnsi="Times New Roman"/>
          <w:sz w:val="24"/>
          <w:szCs w:val="24"/>
          <w:lang w:eastAsia="zh-CN"/>
        </w:rPr>
        <w:t xml:space="preserve">- </w:t>
      </w:r>
      <w:r w:rsidRPr="00B44D06">
        <w:rPr>
          <w:rFonts w:ascii="Times New Roman" w:eastAsia="Liberation Serif" w:hAnsi="Times New Roman"/>
          <w:color w:val="00000A"/>
          <w:sz w:val="24"/>
          <w:szCs w:val="24"/>
          <w:highlight w:val="white"/>
          <w:lang w:eastAsia="zh-CN"/>
        </w:rPr>
        <w:t>ГОСТ 16371-2014 Мебель. Общие технические условия</w:t>
      </w:r>
    </w:p>
    <w:p w:rsidR="00B44D06" w:rsidRPr="00B44D06" w:rsidRDefault="00B44D06" w:rsidP="00B44D06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4D06">
        <w:rPr>
          <w:rFonts w:ascii="Times New Roman" w:eastAsia="Liberation Serif" w:hAnsi="Times New Roman"/>
          <w:color w:val="00000A"/>
          <w:sz w:val="24"/>
          <w:szCs w:val="24"/>
          <w:highlight w:val="white"/>
          <w:lang w:eastAsia="zh-CN"/>
        </w:rPr>
        <w:t xml:space="preserve">- </w:t>
      </w:r>
      <w:r w:rsidRPr="00B44D06">
        <w:rPr>
          <w:rFonts w:ascii="Times New Roman" w:hAnsi="Times New Roman"/>
          <w:sz w:val="24"/>
          <w:szCs w:val="24"/>
          <w:lang w:eastAsia="ru-RU"/>
        </w:rPr>
        <w:t>ТР ТС 025/2012 «Технический регламент Таможенного союза «О безопасности мебельной продукции»</w:t>
      </w:r>
    </w:p>
    <w:p w:rsidR="00B44D06" w:rsidRPr="00B44D06" w:rsidRDefault="00B44D06" w:rsidP="00B44D0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sz w:val="24"/>
          <w:szCs w:val="24"/>
          <w:lang w:eastAsia="ru-RU"/>
        </w:rPr>
        <w:t>- ГОСТ 19917-2014 «Мебель для сидения и лежания. Общие технические условия (с Изменением № 1)».</w:t>
      </w:r>
    </w:p>
    <w:p w:rsidR="00B44D06" w:rsidRPr="00B44D06" w:rsidRDefault="00B44D06" w:rsidP="00B44D06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4D06" w:rsidRPr="00B44D06" w:rsidRDefault="00B44D06" w:rsidP="00B44D06">
      <w:pPr>
        <w:numPr>
          <w:ilvl w:val="0"/>
          <w:numId w:val="15"/>
        </w:numPr>
        <w:tabs>
          <w:tab w:val="left" w:pos="708"/>
          <w:tab w:val="center" w:pos="4153"/>
          <w:tab w:val="right" w:pos="8306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 Товара:</w:t>
      </w:r>
    </w:p>
    <w:tbl>
      <w:tblPr>
        <w:tblStyle w:val="4"/>
        <w:tblpPr w:leftFromText="180" w:rightFromText="180" w:vertAnchor="page" w:horzAnchor="margin" w:tblpY="3699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3118"/>
        <w:gridCol w:w="5812"/>
        <w:gridCol w:w="1276"/>
        <w:gridCol w:w="992"/>
      </w:tblGrid>
      <w:tr w:rsidR="00B44D06" w:rsidRPr="00B44D06" w:rsidTr="00B44D06">
        <w:tc>
          <w:tcPr>
            <w:tcW w:w="562" w:type="dxa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КТРУ/ОКПД</w:t>
            </w: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276" w:type="dxa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B44D06" w:rsidRPr="00B44D06" w:rsidTr="00B44D06">
        <w:tc>
          <w:tcPr>
            <w:tcW w:w="56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Кровать</w:t>
            </w:r>
          </w:p>
        </w:tc>
        <w:tc>
          <w:tcPr>
            <w:tcW w:w="1560" w:type="dxa"/>
            <w:vMerge w:val="restart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lang w:eastAsia="ru-RU"/>
              </w:rPr>
              <w:t>визуализация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i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размер кровати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ширина 1040, длина 2070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высота изножья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340-450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размер спального места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900*2000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опоры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4 шт. (2 опоры, у изголовья, оснащены полиуретановыми колесами)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материал опор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металл 40*40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высота опор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100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цвет опор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черный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материал каркаса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 xml:space="preserve">калиброванный брус хвойных пород 30*60 мм  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березовая фанера 18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ребра жесткости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 xml:space="preserve">березовая фанера 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толщина 18 мм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высота 200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особенности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ребра жесткости в каркасе по узкой стороне, по всей ширине, расположены с шагом 90мм. - 20шт.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подложка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 xml:space="preserve">- по видимым частям высокоэластичный ППУ от 10мм до 30мм, </w:t>
            </w:r>
            <w:proofErr w:type="spellStart"/>
            <w:r w:rsidRPr="00B44D06">
              <w:rPr>
                <w:rFonts w:ascii="Times New Roman" w:hAnsi="Times New Roman"/>
                <w:bCs/>
                <w:lang w:eastAsia="ru-RU"/>
              </w:rPr>
              <w:t>холофайбер</w:t>
            </w:r>
            <w:proofErr w:type="spellEnd"/>
            <w:r w:rsidRPr="00B44D06">
              <w:rPr>
                <w:rFonts w:ascii="Times New Roman" w:hAnsi="Times New Roman"/>
                <w:bCs/>
                <w:lang w:eastAsia="ru-RU"/>
              </w:rPr>
              <w:t xml:space="preserve"> 300г/м² 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- со стороны матраса высокоэластичный ППУ10мм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- подложка от пола - отсутствует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обивка по видимым частям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 xml:space="preserve">ткань </w:t>
            </w:r>
            <w:proofErr w:type="spellStart"/>
            <w:r w:rsidRPr="00B44D06">
              <w:rPr>
                <w:rFonts w:ascii="Times New Roman" w:hAnsi="Times New Roman"/>
                <w:bCs/>
                <w:lang w:eastAsia="ru-RU"/>
              </w:rPr>
              <w:t>микровелюр</w:t>
            </w:r>
            <w:proofErr w:type="spellEnd"/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цвет обивки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оттенки бежевого по согласованию с Заказчиком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обивка от пола и со стороны матраса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B44D06">
              <w:rPr>
                <w:rFonts w:ascii="Times New Roman" w:hAnsi="Times New Roman"/>
                <w:bCs/>
                <w:lang w:eastAsia="ru-RU"/>
              </w:rPr>
              <w:t>спанбонд</w:t>
            </w:r>
            <w:proofErr w:type="spellEnd"/>
            <w:r w:rsidRPr="00B44D06">
              <w:rPr>
                <w:rFonts w:ascii="Times New Roman" w:hAnsi="Times New Roman"/>
                <w:bCs/>
                <w:lang w:eastAsia="ru-RU"/>
              </w:rPr>
              <w:t xml:space="preserve"> белого, серого цвета по согласованию. С Заказчиком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тип изголовья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мягкое, с вертикальными строчками, прямое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материал изголовья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калиброванный брус хвойных пород 30*60</w:t>
            </w:r>
            <w:proofErr w:type="gramStart"/>
            <w:r w:rsidRPr="00B44D06">
              <w:rPr>
                <w:rFonts w:ascii="Times New Roman" w:hAnsi="Times New Roman"/>
                <w:bCs/>
                <w:lang w:eastAsia="ru-RU"/>
              </w:rPr>
              <w:t>мм.,</w:t>
            </w:r>
            <w:proofErr w:type="gramEnd"/>
            <w:r w:rsidRPr="00B44D06">
              <w:rPr>
                <w:rFonts w:ascii="Times New Roman" w:hAnsi="Times New Roman"/>
                <w:bCs/>
                <w:lang w:eastAsia="ru-RU"/>
              </w:rPr>
              <w:t xml:space="preserve">березовая фанера 18 мм. 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размер изголовья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ширина 1040</w:t>
            </w: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мм. </w:t>
            </w:r>
            <w:proofErr w:type="gramStart"/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( по</w:t>
            </w:r>
            <w:proofErr w:type="gramEnd"/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ширине кровати)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высота – 1000мм.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толщина – 50мм.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подложка изголовья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 xml:space="preserve">по видимым частям -высокоэластичный ППУ 30мм, </w:t>
            </w:r>
            <w:proofErr w:type="spellStart"/>
            <w:r w:rsidRPr="00B44D06">
              <w:rPr>
                <w:rFonts w:ascii="Times New Roman" w:hAnsi="Times New Roman"/>
                <w:bCs/>
                <w:lang w:eastAsia="ru-RU"/>
              </w:rPr>
              <w:t>холофайбер</w:t>
            </w:r>
            <w:proofErr w:type="spellEnd"/>
            <w:r w:rsidRPr="00B44D06">
              <w:rPr>
                <w:rFonts w:ascii="Times New Roman" w:hAnsi="Times New Roman"/>
                <w:bCs/>
                <w:lang w:eastAsia="ru-RU"/>
              </w:rPr>
              <w:t xml:space="preserve"> 300г/м</w:t>
            </w:r>
            <w:proofErr w:type="gramStart"/>
            <w:r w:rsidRPr="00B44D06">
              <w:rPr>
                <w:rFonts w:ascii="Times New Roman" w:hAnsi="Times New Roman"/>
                <w:bCs/>
                <w:lang w:eastAsia="ru-RU"/>
              </w:rPr>
              <w:t>² .</w:t>
            </w:r>
            <w:proofErr w:type="gramEnd"/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материал обивки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 xml:space="preserve">ткань </w:t>
            </w:r>
            <w:proofErr w:type="spellStart"/>
            <w:r w:rsidRPr="00B44D06">
              <w:rPr>
                <w:rFonts w:ascii="Times New Roman" w:hAnsi="Times New Roman"/>
                <w:bCs/>
                <w:lang w:eastAsia="ru-RU"/>
              </w:rPr>
              <w:t>жаккард</w:t>
            </w:r>
            <w:proofErr w:type="spellEnd"/>
            <w:r w:rsidRPr="00B44D06">
              <w:rPr>
                <w:rFonts w:ascii="Times New Roman" w:hAnsi="Times New Roman"/>
                <w:bCs/>
                <w:lang w:eastAsia="ru-RU"/>
              </w:rPr>
              <w:t>, велюр, плюш с коротким ворсом</w:t>
            </w: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по согласованию с Заказчиком</w:t>
            </w:r>
            <w:r w:rsidRPr="00B44D06">
              <w:rPr>
                <w:rFonts w:ascii="Times New Roman" w:hAnsi="Times New Roman"/>
                <w:bCs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цвет изделия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бежево- серый, бежевый (по согласованию с Заказчиком)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лицевая часть изголовья</w:t>
            </w:r>
          </w:p>
        </w:tc>
        <w:tc>
          <w:tcPr>
            <w:tcW w:w="5812" w:type="dxa"/>
          </w:tcPr>
          <w:p w:rsid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4 вертикальные утяжки с шагом 260</w:t>
            </w:r>
            <w:proofErr w:type="gramStart"/>
            <w:r w:rsidRPr="00B44D06">
              <w:rPr>
                <w:rFonts w:ascii="Times New Roman" w:hAnsi="Times New Roman"/>
                <w:bCs/>
                <w:lang w:eastAsia="ru-RU"/>
              </w:rPr>
              <w:t>мм.,</w:t>
            </w:r>
            <w:proofErr w:type="gramEnd"/>
            <w:r w:rsidRPr="00B44D06">
              <w:rPr>
                <w:rFonts w:ascii="Times New Roman" w:hAnsi="Times New Roman"/>
                <w:bCs/>
                <w:lang w:eastAsia="ru-RU"/>
              </w:rPr>
              <w:t xml:space="preserve"> по всей высоте до основания кровати.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крепление 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>изголовье крепится к кровати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lang w:val="ru" w:eastAsia="ru-RU"/>
              </w:rPr>
              <w:t xml:space="preserve">Прикроватная тумба </w:t>
            </w:r>
            <w:r w:rsidRPr="00B44D06">
              <w:rPr>
                <w:rFonts w:ascii="Times New Roman" w:hAnsi="Times New Roman"/>
                <w:b/>
                <w:lang w:eastAsia="ru-RU"/>
              </w:rPr>
              <w:t>с выдвижными ящиками</w:t>
            </w:r>
          </w:p>
        </w:tc>
        <w:tc>
          <w:tcPr>
            <w:tcW w:w="1560" w:type="dxa"/>
            <w:vMerge w:val="restart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визуализация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i/>
                <w:lang w:eastAsia="ru-RU"/>
              </w:rPr>
              <w:t>Рисунок 1</w:t>
            </w:r>
          </w:p>
        </w:tc>
        <w:tc>
          <w:tcPr>
            <w:tcW w:w="1276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каркас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МДФ 19мм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фасад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МДФ 19мм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отделка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B44D06">
              <w:rPr>
                <w:rFonts w:ascii="Times New Roman" w:hAnsi="Times New Roman"/>
                <w:lang w:val="ru" w:eastAsia="ru-RU"/>
              </w:rPr>
              <w:t>эмаль</w:t>
            </w:r>
            <w:proofErr w:type="gramEnd"/>
            <w:r w:rsidRPr="00B44D06">
              <w:rPr>
                <w:rFonts w:ascii="Times New Roman" w:hAnsi="Times New Roman"/>
                <w:lang w:val="ru" w:eastAsia="ru-RU"/>
              </w:rPr>
              <w:t xml:space="preserve"> покрытая матовым лаком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размер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ширина 600, 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глубина 430-450 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высота 500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количество ящиков 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материал ящиков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МДФ 19мм.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направляющие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скрытого монтажа, полного выдвижения с доводчиком.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ручки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металл, цвет золото матовое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цвет корпуса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белый теплый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цвет фасадов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серо-бежевый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опоры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дерево, цвет – светлое дерево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высота опор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100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Стол туалетный</w:t>
            </w:r>
          </w:p>
        </w:tc>
        <w:tc>
          <w:tcPr>
            <w:tcW w:w="1560" w:type="dxa"/>
            <w:vMerge w:val="restart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визуализация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i/>
                <w:lang w:eastAsia="ru-RU"/>
              </w:rPr>
              <w:t>Рисунок 2</w:t>
            </w:r>
          </w:p>
        </w:tc>
        <w:tc>
          <w:tcPr>
            <w:tcW w:w="1276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материал столешницы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МДФ 19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материал фасада и корпуса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МДФ 19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отделка корпуса и фасадов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proofErr w:type="gramStart"/>
            <w:r w:rsidRPr="00B44D06">
              <w:rPr>
                <w:rFonts w:ascii="Times New Roman" w:hAnsi="Times New Roman"/>
                <w:lang w:eastAsia="ru-RU"/>
              </w:rPr>
              <w:t>эмаль</w:t>
            </w:r>
            <w:proofErr w:type="gramEnd"/>
            <w:r w:rsidRPr="00B44D06">
              <w:rPr>
                <w:rFonts w:ascii="Times New Roman" w:hAnsi="Times New Roman"/>
                <w:lang w:eastAsia="ru-RU"/>
              </w:rPr>
              <w:t xml:space="preserve"> покрытая матовым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44D06">
              <w:rPr>
                <w:rFonts w:ascii="Times New Roman" w:hAnsi="Times New Roman"/>
                <w:lang w:eastAsia="ru-RU"/>
              </w:rPr>
              <w:t>лаком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фрезеровка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по всей высоте с шагом 15мм.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длина 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  <w:r w:rsidRPr="00B44D06">
              <w:rPr>
                <w:rFonts w:ascii="Times New Roman" w:hAnsi="Times New Roman"/>
                <w:bCs/>
                <w:color w:val="000000"/>
                <w:lang w:val="en-US" w:eastAsia="ru-RU"/>
              </w:rPr>
              <w:t>2</w:t>
            </w: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00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глубина 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420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высота изделия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760-800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корпус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с закруглением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количество ящиков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тип направляющих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шариковые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направляющие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скрытого монтажа, полного выдвижения с доводчиком.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ручки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 xml:space="preserve">металл, 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 xml:space="preserve">цвет золото матовое, </w:t>
            </w: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по согласованию с Заказчиком</w:t>
            </w:r>
            <w:r w:rsidRPr="00B44D06">
              <w:rPr>
                <w:rFonts w:ascii="Times New Roman" w:hAnsi="Times New Roman"/>
                <w:bCs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цвет изделия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белый теплый, крем </w:t>
            </w:r>
            <w:proofErr w:type="spellStart"/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брюле</w:t>
            </w:r>
            <w:proofErr w:type="spellEnd"/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по согласованию с Заказчиком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опоры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металлическая труба 15*15 мм, </w:t>
            </w:r>
            <w:r w:rsidRPr="00B44D06">
              <w:rPr>
                <w:rFonts w:ascii="Times New Roman" w:hAnsi="Times New Roman"/>
                <w:lang w:val="ru" w:eastAsia="ru-RU"/>
              </w:rPr>
              <w:t xml:space="preserve">цвет золото матовое, </w:t>
            </w: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по согласованию с Заказчиком</w:t>
            </w:r>
            <w:r w:rsidRPr="00B44D06">
              <w:rPr>
                <w:rFonts w:ascii="Times New Roman" w:hAnsi="Times New Roman"/>
                <w:bCs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высота опор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600-620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заглушки на опоры</w:t>
            </w:r>
          </w:p>
        </w:tc>
        <w:tc>
          <w:tcPr>
            <w:tcW w:w="5812" w:type="dxa"/>
            <w:vAlign w:val="center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из мягкого пластика для защиты пола от царапин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Пуф</w:t>
            </w:r>
          </w:p>
        </w:tc>
        <w:tc>
          <w:tcPr>
            <w:tcW w:w="1560" w:type="dxa"/>
            <w:vMerge w:val="restart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lang w:val="ru" w:eastAsia="ru-RU"/>
              </w:rPr>
              <w:t>визуализация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i/>
                <w:lang w:eastAsia="ru-RU"/>
              </w:rPr>
              <w:t>Рисунок 2</w:t>
            </w:r>
          </w:p>
        </w:tc>
        <w:tc>
          <w:tcPr>
            <w:tcW w:w="1276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размер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высота 440- 460мм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lang w:val="ru"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ширина 400- 420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форма  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цилиндр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каркас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МДФ 19мм.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обивка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lang w:eastAsia="ru-RU"/>
              </w:rPr>
              <w:t xml:space="preserve">ткань </w:t>
            </w:r>
            <w:proofErr w:type="spellStart"/>
            <w:r w:rsidRPr="00B44D06">
              <w:rPr>
                <w:rFonts w:ascii="Times New Roman" w:hAnsi="Times New Roman"/>
                <w:bCs/>
                <w:lang w:eastAsia="ru-RU"/>
              </w:rPr>
              <w:t>жаккард</w:t>
            </w:r>
            <w:proofErr w:type="spellEnd"/>
            <w:r w:rsidRPr="00B44D06">
              <w:rPr>
                <w:rFonts w:ascii="Times New Roman" w:hAnsi="Times New Roman"/>
                <w:bCs/>
                <w:lang w:eastAsia="ru-RU"/>
              </w:rPr>
              <w:t>, велюр, плюш с коротким ворсом</w:t>
            </w: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по согласованию с Заказчиком</w:t>
            </w:r>
            <w:r w:rsidRPr="00B44D06">
              <w:rPr>
                <w:rFonts w:ascii="Times New Roman" w:hAnsi="Times New Roman"/>
                <w:bCs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утяжки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3 горизонтальные утяжки, с шагом 130мм по всему диаметру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ножки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4шт. прорезиненные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основание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40мм дерево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цвет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светло-серый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Стул</w:t>
            </w:r>
          </w:p>
        </w:tc>
        <w:tc>
          <w:tcPr>
            <w:tcW w:w="1560" w:type="dxa"/>
            <w:vMerge w:val="restart"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val="ru" w:eastAsia="ru-RU"/>
              </w:rPr>
              <w:t>визуализация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/>
                <w:bCs/>
                <w:i/>
                <w:color w:val="000000"/>
                <w:lang w:eastAsia="ru-RU"/>
              </w:rPr>
              <w:t>Рисунок 2</w:t>
            </w:r>
          </w:p>
        </w:tc>
        <w:tc>
          <w:tcPr>
            <w:tcW w:w="1276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материал корпуса 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фанера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материал обивки</w:t>
            </w:r>
            <w:r w:rsidRPr="00B44D06">
              <w:rPr>
                <w:rFonts w:ascii="Times New Roman" w:hAnsi="Times New Roman"/>
                <w:lang w:val="ru" w:eastAsia="ru-RU"/>
              </w:rPr>
              <w:t xml:space="preserve"> </w:t>
            </w:r>
            <w:r w:rsidRPr="00B44D06">
              <w:rPr>
                <w:rFonts w:ascii="Times New Roman" w:hAnsi="Times New Roman"/>
                <w:lang w:eastAsia="ru-RU"/>
              </w:rPr>
              <w:t>сидения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B44D06">
              <w:rPr>
                <w:rFonts w:ascii="Times New Roman" w:hAnsi="Times New Roman"/>
                <w:lang w:eastAsia="ru-RU"/>
              </w:rPr>
              <w:t>микровелюр</w:t>
            </w:r>
            <w:proofErr w:type="spellEnd"/>
            <w:r w:rsidRPr="00B44D06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B44D06">
              <w:rPr>
                <w:rFonts w:ascii="Times New Roman" w:hAnsi="Times New Roman"/>
                <w:lang w:eastAsia="ru-RU"/>
              </w:rPr>
              <w:t>шенилл</w:t>
            </w:r>
            <w:proofErr w:type="spellEnd"/>
            <w:r w:rsidRPr="00B44D06">
              <w:rPr>
                <w:rFonts w:ascii="Times New Roman" w:hAnsi="Times New Roman"/>
                <w:lang w:eastAsia="ru-RU"/>
              </w:rPr>
              <w:t xml:space="preserve"> (по согласованию с Заказчиком)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спинка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полукруглая цельная конструкция 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сиденье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мягкое ППУ 35г/м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толщина сидения 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50мм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опоры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деревянные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цвет опор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темно коричневый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44D06" w:rsidRPr="00B44D06" w:rsidTr="00B44D06">
        <w:tc>
          <w:tcPr>
            <w:tcW w:w="56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44D06" w:rsidRPr="00B44D06" w:rsidRDefault="00B44D06" w:rsidP="00B44D06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 xml:space="preserve">размер изделия  </w:t>
            </w:r>
          </w:p>
        </w:tc>
        <w:tc>
          <w:tcPr>
            <w:tcW w:w="5812" w:type="dxa"/>
          </w:tcPr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высота 920-950 мм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ширина 450-470 мм</w:t>
            </w:r>
          </w:p>
          <w:p w:rsidR="00B44D06" w:rsidRPr="00B44D06" w:rsidRDefault="00B44D06" w:rsidP="00B44D06">
            <w:pPr>
              <w:rPr>
                <w:rFonts w:ascii="Times New Roman" w:hAnsi="Times New Roman"/>
                <w:lang w:eastAsia="ru-RU"/>
              </w:rPr>
            </w:pPr>
            <w:r w:rsidRPr="00B44D06">
              <w:rPr>
                <w:rFonts w:ascii="Times New Roman" w:hAnsi="Times New Roman"/>
                <w:lang w:eastAsia="ru-RU"/>
              </w:rPr>
              <w:t>глубина 450-500 мм</w:t>
            </w:r>
          </w:p>
        </w:tc>
        <w:tc>
          <w:tcPr>
            <w:tcW w:w="1276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B44D06" w:rsidRPr="00B44D06" w:rsidRDefault="00B44D06" w:rsidP="00B44D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B44D06" w:rsidRPr="00B44D06" w:rsidRDefault="00B44D06" w:rsidP="00B44D06">
      <w:pPr>
        <w:widowControl w:val="0"/>
        <w:tabs>
          <w:tab w:val="num" w:pos="142"/>
          <w:tab w:val="num" w:pos="284"/>
        </w:tabs>
        <w:suppressAutoHyphens/>
        <w:spacing w:after="0" w:line="100" w:lineRule="atLeast"/>
        <w:jc w:val="both"/>
        <w:rPr>
          <w:rFonts w:ascii="Times New Roman" w:hAnsi="Times New Roman"/>
          <w:i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4D06" w:rsidRPr="00B44D06" w:rsidRDefault="00B44D06" w:rsidP="00B44D06">
      <w:pPr>
        <w:widowControl w:val="0"/>
        <w:numPr>
          <w:ilvl w:val="0"/>
          <w:numId w:val="15"/>
        </w:numPr>
        <w:adjustRightInd w:val="0"/>
        <w:spacing w:after="0" w:line="240" w:lineRule="auto"/>
        <w:ind w:left="1069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Требования к упаковке и транспортной таре Товара:</w:t>
      </w:r>
    </w:p>
    <w:p w:rsidR="00B44D06" w:rsidRPr="00B44D06" w:rsidRDefault="00B44D06" w:rsidP="00B44D06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4D06" w:rsidRPr="00B44D06" w:rsidRDefault="00B44D06" w:rsidP="00B44D06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>Каждая единица Товара упакована в упаковку производителя.</w:t>
      </w:r>
    </w:p>
    <w:p w:rsidR="00B44D06" w:rsidRPr="00B44D06" w:rsidRDefault="00B44D06" w:rsidP="00B44D0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Упаковка и транспортная тара гарантируют целостность, сохранность качества Товара, его свойств, а также предотвращают его повреждение или порчу при перевозке и хранении.</w:t>
      </w:r>
    </w:p>
    <w:p w:rsidR="00B44D06" w:rsidRPr="00B44D06" w:rsidRDefault="00B44D06" w:rsidP="00B44D0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Маркировка на каждой упаковке и транспортной таре на русском языке или содержит продублированную на русском языке информацию о Товаре: наименование и характеристики Товара, наименование производителя, наименование страны происхождения Товара, количество Товара. </w:t>
      </w:r>
    </w:p>
    <w:p w:rsidR="00B44D06" w:rsidRPr="00B44D06" w:rsidRDefault="00B44D06" w:rsidP="00B44D06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Поставка Товара до места доставки, погрузочно-разгрузочные работы, сборка Товара осуществляются силами и за счёт Поставщика.</w:t>
      </w:r>
    </w:p>
    <w:p w:rsidR="00B44D06" w:rsidRPr="00B44D06" w:rsidRDefault="00B44D06" w:rsidP="00B44D0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44D06" w:rsidRPr="00B44D06" w:rsidRDefault="00B44D06" w:rsidP="00B44D06">
      <w:pPr>
        <w:numPr>
          <w:ilvl w:val="0"/>
          <w:numId w:val="15"/>
        </w:numPr>
        <w:tabs>
          <w:tab w:val="num" w:pos="1667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>Требования к поставке товара</w:t>
      </w:r>
    </w:p>
    <w:p w:rsidR="00B44D06" w:rsidRPr="00B44D06" w:rsidRDefault="00B44D06" w:rsidP="00B44D06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B44D06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Поставляемый Товар сопровождается соответствующими сертификатами, выданными в соответствии с законодательством Российской Федерации.</w:t>
      </w:r>
    </w:p>
    <w:p w:rsidR="00B44D06" w:rsidRPr="00B44D06" w:rsidRDefault="00B44D06" w:rsidP="00B44D06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Поставляемый</w:t>
      </w:r>
      <w:r w:rsidRPr="00B44D06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Pr="00B44D06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B44D06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овар является новым (Товаром, который не был в употреблении, не был восстановлен, не были восстановлены потребительские свойства).</w:t>
      </w: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44D06" w:rsidRPr="00B44D06" w:rsidRDefault="00B44D06" w:rsidP="00B44D06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>Товар не должен иметь царапин, сколов, трещин, вздутий, потертостей, вмятин.</w:t>
      </w:r>
    </w:p>
    <w:p w:rsidR="00B44D06" w:rsidRPr="00B44D06" w:rsidRDefault="00B44D06" w:rsidP="00B44D06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Качество Товара должно соответствовать параметрам, условиям, характеристикам, установленным в настоящем Техническом задании. </w:t>
      </w:r>
    </w:p>
    <w:p w:rsidR="00B44D06" w:rsidRPr="00B44D06" w:rsidRDefault="00B44D06" w:rsidP="00B44D06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B44D06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овар должен быть не</w:t>
      </w: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44D06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токсичен</w:t>
      </w: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>, не иметь резкого химического отталкивающего запаха, не должен оказывать в процессе эксплуатации вредного влияния на человека и окружающую среду.</w:t>
      </w:r>
    </w:p>
    <w:p w:rsidR="00B44D06" w:rsidRPr="00B44D06" w:rsidRDefault="00B44D06" w:rsidP="00B44D06">
      <w:pPr>
        <w:tabs>
          <w:tab w:val="num" w:pos="1667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4D06">
        <w:rPr>
          <w:rFonts w:ascii="Times New Roman" w:hAnsi="Times New Roman"/>
          <w:color w:val="000000"/>
          <w:sz w:val="24"/>
          <w:szCs w:val="24"/>
          <w:lang w:eastAsia="ru-RU"/>
        </w:rPr>
        <w:t>В цену каждой единицы Товара входят: стоимость упаковки и транспортной тары, транспортные расходы (включая поставку Товара в место доставки, погрузочно-разгрузочные работы), сборка и крепление Товара, страхование, налоги, таможенные пошлины, сборы и обязательные платежи и иные затраты, связанные с исполнением обязательств по Контракту.</w:t>
      </w:r>
    </w:p>
    <w:p w:rsidR="00B44D06" w:rsidRPr="00B44D06" w:rsidRDefault="00B44D06" w:rsidP="00B44D0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44D06" w:rsidRPr="00B44D06" w:rsidRDefault="00B44D06" w:rsidP="00B44D06">
      <w:pPr>
        <w:numPr>
          <w:ilvl w:val="0"/>
          <w:numId w:val="15"/>
        </w:num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Гарантийный срок:</w:t>
      </w:r>
      <w:r w:rsidRPr="00B44D0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44D06" w:rsidRPr="00B44D06" w:rsidRDefault="00B44D06" w:rsidP="00B44D0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sz w:val="24"/>
          <w:szCs w:val="24"/>
          <w:lang w:eastAsia="ru-RU"/>
        </w:rPr>
        <w:t>Гарантийный срок на поставляемый Товар составляет 12 (двенадцать) месяцев с даты подписания документа о приемке.</w:t>
      </w:r>
    </w:p>
    <w:p w:rsidR="00B44D06" w:rsidRPr="00B44D06" w:rsidRDefault="00B44D06" w:rsidP="00B44D0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44D06">
        <w:rPr>
          <w:rFonts w:ascii="Times New Roman" w:hAnsi="Times New Roman"/>
          <w:bCs/>
          <w:iCs/>
          <w:sz w:val="24"/>
          <w:szCs w:val="24"/>
          <w:lang w:eastAsia="ru-RU"/>
        </w:rPr>
        <w:t>Если в течении гарантийного срока Товар окажется ненадлежащего качества Поставщик обязан в течение 5 (пяти) дней с даты поступления от Заказчика письменной претензии безвозмездно по согласованию с Заказчиком заменить Товар ненадлежащего качества новым Товаром или произвести его ремонт в рамках гарантийного обслуживания.</w:t>
      </w:r>
    </w:p>
    <w:p w:rsidR="006820E0" w:rsidRPr="006820E0" w:rsidRDefault="006820E0" w:rsidP="006820E0">
      <w:pPr>
        <w:spacing w:after="0" w:line="240" w:lineRule="auto"/>
        <w:ind w:left="5103" w:firstLine="5529"/>
        <w:rPr>
          <w:rFonts w:ascii="Times New Roman" w:hAnsi="Times New Roman"/>
          <w:sz w:val="24"/>
          <w:szCs w:val="24"/>
          <w:lang w:eastAsia="ru-RU"/>
        </w:rPr>
      </w:pPr>
    </w:p>
    <w:p w:rsidR="006820E0" w:rsidRDefault="006820E0" w:rsidP="006820E0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lang w:eastAsia="ru-RU"/>
        </w:rPr>
      </w:pPr>
    </w:p>
    <w:p w:rsidR="006820E0" w:rsidRDefault="006820E0" w:rsidP="006820E0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lang w:eastAsia="ru-RU"/>
        </w:rPr>
      </w:pPr>
    </w:p>
    <w:p w:rsidR="006820E0" w:rsidRPr="001D3315" w:rsidRDefault="006820E0" w:rsidP="006820E0">
      <w:pPr>
        <w:pStyle w:val="a0"/>
        <w:jc w:val="left"/>
        <w:rPr>
          <w:b w:val="0"/>
          <w:color w:val="000000"/>
          <w:sz w:val="22"/>
          <w:szCs w:val="22"/>
        </w:rPr>
      </w:pPr>
      <w:r w:rsidRPr="001D3315">
        <w:rPr>
          <w:b w:val="0"/>
          <w:bCs w:val="0"/>
          <w:sz w:val="22"/>
          <w:szCs w:val="22"/>
        </w:rPr>
        <w:t>ЗАКАЗЧИК</w:t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             </w:t>
      </w:r>
      <w:r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6820E0" w:rsidRPr="001D3315" w:rsidTr="009A0214">
        <w:trPr>
          <w:trHeight w:val="1270"/>
        </w:trPr>
        <w:tc>
          <w:tcPr>
            <w:tcW w:w="5846" w:type="dxa"/>
          </w:tcPr>
          <w:p w:rsidR="006820E0" w:rsidRPr="001D3315" w:rsidRDefault="006820E0" w:rsidP="009A0214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6820E0" w:rsidRPr="001D3315" w:rsidRDefault="006820E0" w:rsidP="009A0214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6820E0" w:rsidRPr="001D3315" w:rsidRDefault="006820E0" w:rsidP="009A0214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6820E0" w:rsidRPr="001D3315" w:rsidRDefault="006820E0" w:rsidP="009A02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6820E0" w:rsidRPr="001D3315" w:rsidRDefault="006820E0" w:rsidP="009A02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6820E0" w:rsidRPr="001D3315" w:rsidRDefault="006820E0" w:rsidP="009A021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6820E0" w:rsidRPr="001D3315" w:rsidRDefault="006820E0" w:rsidP="009A021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6820E0" w:rsidRPr="001D3315" w:rsidRDefault="006820E0" w:rsidP="009A021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6820E0" w:rsidRPr="001D3315" w:rsidRDefault="006820E0" w:rsidP="009A0214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  <w:bookmarkStart w:id="1" w:name="_GoBack"/>
        <w:bookmarkEnd w:id="1"/>
      </w:tr>
    </w:tbl>
    <w:p w:rsidR="006820E0" w:rsidRDefault="006820E0" w:rsidP="006820E0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lang w:eastAsia="ru-RU"/>
        </w:rPr>
      </w:pPr>
    </w:p>
    <w:p w:rsidR="00EF4FAA" w:rsidRPr="00EF4FAA" w:rsidRDefault="00060A6D" w:rsidP="006820E0">
      <w:pPr>
        <w:pStyle w:val="a0"/>
        <w:jc w:val="left"/>
        <w:rPr>
          <w:rFonts w:eastAsia="SimSun" w:cs="Mangal"/>
          <w:color w:val="00000A"/>
          <w:kern w:val="2"/>
          <w:sz w:val="20"/>
          <w:szCs w:val="20"/>
          <w:lang w:eastAsia="zh-CN" w:bidi="hi-IN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5515" w:rsidRPr="00BC5515" w:rsidRDefault="00BC5515" w:rsidP="00BC551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C5515" w:rsidRDefault="00BC5515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D06" w:rsidRDefault="00B44D06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D06" w:rsidRDefault="00B44D06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D06" w:rsidRDefault="00B44D06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D06" w:rsidRDefault="00B44D06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Рисунок 1</w:t>
      </w: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98B762" wp14:editId="76BFFF44">
            <wp:extent cx="5838825" cy="3705225"/>
            <wp:effectExtent l="0" t="0" r="9525" b="9525"/>
            <wp:docPr id="1" name="Рисунок 1" descr="D:\Downloads\Снимок экрана_21-4-2026_124120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Снимок экрана_21-4-2026_124120_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B44D0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Рисунок 2</w:t>
      </w: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Pr="00B44D06" w:rsidRDefault="00B44D06" w:rsidP="00B44D0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4D0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B0DDA6" wp14:editId="2233EC38">
            <wp:extent cx="5648325" cy="4171950"/>
            <wp:effectExtent l="0" t="0" r="9525" b="0"/>
            <wp:docPr id="2" name="Рисунок 2" descr="D:\Downloads\Снимок экрана_21-4-2026_124221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Снимок экрана_21-4-2026_124221_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06" w:rsidRPr="00B44D06" w:rsidRDefault="00B44D06" w:rsidP="00B44D0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4D06" w:rsidRDefault="00B44D06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44D06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06" w:rsidRDefault="00B44D06" w:rsidP="00202AFF">
      <w:pPr>
        <w:spacing w:after="0" w:line="240" w:lineRule="auto"/>
      </w:pPr>
      <w:r>
        <w:separator/>
      </w:r>
    </w:p>
  </w:endnote>
  <w:endnote w:type="continuationSeparator" w:id="0">
    <w:p w:rsidR="00B44D06" w:rsidRDefault="00B44D06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06" w:rsidRDefault="00B44D06" w:rsidP="00202AFF">
      <w:pPr>
        <w:spacing w:after="0" w:line="240" w:lineRule="auto"/>
      </w:pPr>
      <w:r>
        <w:separator/>
      </w:r>
    </w:p>
  </w:footnote>
  <w:footnote w:type="continuationSeparator" w:id="0">
    <w:p w:rsidR="00B44D06" w:rsidRDefault="00B44D06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06" w:rsidRDefault="00B44D06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83EE0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6319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5D60"/>
    <w:rsid w:val="00426A0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820E0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A660B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07F9F"/>
    <w:rsid w:val="009137EE"/>
    <w:rsid w:val="00945316"/>
    <w:rsid w:val="009509A2"/>
    <w:rsid w:val="009646AF"/>
    <w:rsid w:val="00971243"/>
    <w:rsid w:val="00974114"/>
    <w:rsid w:val="00974C87"/>
    <w:rsid w:val="00996540"/>
    <w:rsid w:val="009A0214"/>
    <w:rsid w:val="009B1FA4"/>
    <w:rsid w:val="009C119A"/>
    <w:rsid w:val="00A01CBC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4D06"/>
    <w:rsid w:val="00B450F6"/>
    <w:rsid w:val="00B50391"/>
    <w:rsid w:val="00B52BC3"/>
    <w:rsid w:val="00B94D3D"/>
    <w:rsid w:val="00B964E1"/>
    <w:rsid w:val="00BC5515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B722A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3119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59"/>
    <w:rsid w:val="006820E0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c"/>
    <w:uiPriority w:val="59"/>
    <w:rsid w:val="00083EE0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c"/>
    <w:uiPriority w:val="59"/>
    <w:rsid w:val="00B44D06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39F1-EF40-4A3A-8A6F-B1F60663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12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19</cp:revision>
  <cp:lastPrinted>2026-05-26T13:48:00Z</cp:lastPrinted>
  <dcterms:created xsi:type="dcterms:W3CDTF">2025-05-23T08:06:00Z</dcterms:created>
  <dcterms:modified xsi:type="dcterms:W3CDTF">2026-05-26T13:51:00Z</dcterms:modified>
</cp:coreProperties>
</file>