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карт флеш памяти, картридеров, аккумуляторных батарей и зарядных устройств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246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25.05.2026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Батарея аккумуляторная литиевая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: 27.20.23.130-00000002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16 829,67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84 148,35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17 300,00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86 503,35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Зарядное устройство для аккумуляторных батареек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27.11.50.120-00000001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green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  <w:highlight w:val="green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4 449,67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17 798,68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4 649,67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18 598,68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4 549,50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18 198,00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Карта флеш памяти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26.20.21.120-00000011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33 459,67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66 919,34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65 990,00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131 980,00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65 990,00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131 980,00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Картридер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26.20.16.190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8 804,67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17 609,34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9 500,00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8 904,00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17 808,00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Картридер с разъемом </w:t>
              <w:br/>
              <w:t xml:space="preserve">USB-C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ОКПД2: 26.20.16.190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4 439,67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17 758,68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4 458,67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17 834,68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Карта флеш памяти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26.20.21.120-00000011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40 860,00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163 440,00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172 000,00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41 200,00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164 800,00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  <w:lang w:eastAsia="ru-RU"/>
              </w:rPr>
              <w:t xml:space="preserve">Батарея аккумуляторная литиевая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  <w:lang w:eastAsia="ru-RU"/>
                <w14:ligatures w14:val="none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27.20.23.130-00000002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5 246,33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31 477,98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5 500,00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5 400,33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32 401,98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Провода и кабели электронные и электрические прочие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shd w:val="clear" w:color="auto" w:fill="ffffff"/>
              </w:rPr>
              <w:t xml:space="preserve">27.32.10.000-00000002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2 736,33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16 417,98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2 900,00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17 400,00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16 800,00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  <w:t xml:space="preserve">Сетевое зарядное устройство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pacing w:val="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  <w:highlight w:val="none"/>
              </w:rPr>
              <w:t xml:space="preserve">ОКПД2: 27.90.40.19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3 123,00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18 738,00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3 450,00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20 700,00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19 200,00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ff0000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  <w:t xml:space="preserve">аб (разветвител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  <w:highlight w:val="none"/>
              </w:rPr>
              <w:t xml:space="preserve">ОКПД2: 27.90.40.19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643,00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2 572,00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663,00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2 652,00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653,00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2 612,00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5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Карта флеш памяти 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  <w:p>
            <w:pPr>
              <w:contextualSpacing w:val="0"/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КТРУ: 26.20.21.120-00000004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/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pacing w:val="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5 390,00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21 560,00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5 700,00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22 800,00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5 600,00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22 400,00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458 840,35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546 130,68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530 538,01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20.05.2026 года № СЗ-ОПИМ-53.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предложенной Источником № 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ptos"/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  <w:style w:type="table" w:styleId="1_1265" w:customStyle="1">
    <w:name w:val="Сетка таблицы20"/>
    <w:next w:val="1275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Aptos" w:hAnsi="Aptos" w:eastAsia="Aptos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54</cp:revision>
  <dcterms:created xsi:type="dcterms:W3CDTF">2023-07-23T09:31:00Z</dcterms:created>
  <dcterms:modified xsi:type="dcterms:W3CDTF">2026-05-26T08:40:05Z</dcterms:modified>
</cp:coreProperties>
</file>