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5"/>
        <w:pBdr/>
        <w:spacing/>
        <w:ind/>
        <w:contextualSpacing w:val="true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К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онтракт N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11/26-ЕП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</w:r>
    </w:p>
    <w:p>
      <w:pPr>
        <w:pStyle w:val="911"/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000000" w:themeColor="text1"/>
          <w:sz w:val="25"/>
          <w:szCs w:val="25"/>
        </w:rPr>
      </w:pPr>
      <w:r>
        <w:rPr>
          <w:rFonts w:ascii="Times New Roman" w:hAnsi="Times New Roman"/>
          <w:b/>
          <w:bCs/>
          <w:color w:val="000000" w:themeColor="text1"/>
          <w:sz w:val="25"/>
          <w:szCs w:val="25"/>
          <w:lang w:eastAsia="ru-RU"/>
        </w:rPr>
        <w:t xml:space="preserve">на поставку </w:t>
      </w:r>
      <w:r>
        <w:rPr>
          <w:rFonts w:ascii="Times New Roman" w:hAnsi="Times New Roman"/>
          <w:b/>
          <w:bCs/>
          <w:color w:val="000000" w:themeColor="text1"/>
          <w:sz w:val="25"/>
          <w:szCs w:val="25"/>
          <w:lang w:eastAsia="ru-RU"/>
        </w:rPr>
        <w:t xml:space="preserve">термометров стеклянных ртутных для точных измерений</w:t>
      </w:r>
      <w:r>
        <w:rPr>
          <w:rFonts w:ascii="Times New Roman" w:hAnsi="Times New Roman"/>
          <w:b/>
          <w:bCs/>
          <w:color w:val="000000" w:themeColor="text1"/>
          <w:sz w:val="25"/>
          <w:szCs w:val="25"/>
        </w:rPr>
      </w:r>
      <w:r>
        <w:rPr>
          <w:rFonts w:ascii="Times New Roman" w:hAnsi="Times New Roman"/>
          <w:b/>
          <w:bCs/>
          <w:color w:val="000000" w:themeColor="text1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Идентификационный код закупки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(ИКЗ)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№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261272111119827210100100050000000244</w:t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r>
      <w:r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6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_</w:t>
      </w:r>
      <w:r>
        <w:rPr>
          <w:rFonts w:ascii="Times New Roman" w:hAnsi="Times New Roman" w:cs="Times New Roman"/>
          <w:sz w:val="25"/>
          <w:szCs w:val="25"/>
        </w:rPr>
        <w:t xml:space="preserve">__</w:t>
      </w:r>
      <w:r>
        <w:rPr>
          <w:rFonts w:ascii="Times New Roman" w:hAnsi="Times New Roman" w:cs="Times New Roman"/>
          <w:sz w:val="25"/>
          <w:szCs w:val="25"/>
        </w:rPr>
        <w:t xml:space="preserve">_ ___</w:t>
      </w:r>
      <w:r>
        <w:rPr>
          <w:rFonts w:ascii="Times New Roman" w:hAnsi="Times New Roman" w:cs="Times New Roman"/>
          <w:sz w:val="25"/>
          <w:szCs w:val="25"/>
        </w:rPr>
        <w:t xml:space="preserve">___</w:t>
      </w:r>
      <w:r>
        <w:rPr>
          <w:rFonts w:ascii="Times New Roman" w:hAnsi="Times New Roman" w:cs="Times New Roman"/>
          <w:sz w:val="25"/>
          <w:szCs w:val="25"/>
        </w:rPr>
        <w:t xml:space="preserve">____ </w:t>
      </w:r>
      <w:r>
        <w:rPr>
          <w:rFonts w:ascii="Times New Roman" w:hAnsi="Times New Roman" w:cs="Times New Roman"/>
          <w:sz w:val="25"/>
          <w:szCs w:val="25"/>
        </w:rPr>
        <w:t xml:space="preserve">20</w:t>
      </w:r>
      <w:r>
        <w:rPr>
          <w:rFonts w:ascii="Times New Roman" w:hAnsi="Times New Roman" w:cs="Times New Roman"/>
          <w:sz w:val="25"/>
          <w:szCs w:val="25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__</w:t>
      </w:r>
      <w:r>
        <w:rPr>
          <w:rFonts w:ascii="Times New Roman" w:hAnsi="Times New Roman" w:cs="Times New Roman"/>
          <w:sz w:val="25"/>
          <w:szCs w:val="25"/>
        </w:rPr>
        <w:t xml:space="preserve"> г.</w:t>
      </w:r>
      <w:r>
        <w:rPr>
          <w:rFonts w:ascii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hAnsi="Times New Roman" w:cs="Times New Roman"/>
          <w:sz w:val="25"/>
          <w:szCs w:val="25"/>
        </w:rPr>
        <w:t xml:space="preserve">                                   </w:t>
      </w:r>
      <w:r>
        <w:rPr>
          <w:rFonts w:ascii="Times New Roman" w:hAnsi="Times New Roman" w:cs="Times New Roman"/>
          <w:sz w:val="25"/>
          <w:szCs w:val="25"/>
        </w:rPr>
        <w:tab/>
        <w:tab/>
        <w:tab/>
        <w:tab/>
      </w:r>
      <w:r>
        <w:rPr>
          <w:rFonts w:ascii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hAnsi="Times New Roman" w:cs="Times New Roman"/>
          <w:sz w:val="25"/>
          <w:szCs w:val="25"/>
        </w:rPr>
        <w:t xml:space="preserve">г</w:t>
      </w:r>
      <w:r>
        <w:rPr>
          <w:rFonts w:ascii="Times New Roman" w:hAnsi="Times New Roman" w:cs="Times New Roman"/>
          <w:sz w:val="25"/>
          <w:szCs w:val="25"/>
        </w:rPr>
        <w:t xml:space="preserve">. Хабаровск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 w:firstLine="539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Федеральное государственное бюджетное учреждение «Центр лабораторного анализа и технических измерений по Дальневосточному федеральному округу», именуемое</w:t>
      </w:r>
      <w:r>
        <w:rPr>
          <w:rFonts w:ascii="Times New Roman" w:hAnsi="Times New Roman" w:cs="Times New Roman"/>
          <w:sz w:val="25"/>
          <w:szCs w:val="25"/>
        </w:rPr>
        <w:t xml:space="preserve"> в дальнейшем </w:t>
      </w:r>
      <w:r>
        <w:rPr>
          <w:rFonts w:ascii="Times New Roman" w:hAnsi="Times New Roman" w:cs="Times New Roman"/>
          <w:sz w:val="25"/>
          <w:szCs w:val="25"/>
        </w:rPr>
        <w:t xml:space="preserve">«Заказчик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» в лице _________________________________________________________________, действующий на основании ___________________________________________________,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с одной стороны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, и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_______________________________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, именуемый в дальнейшем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«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Поставщик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»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, в лице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___________________________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,</w:t>
      </w:r>
      <w:r>
        <w:rPr>
          <w:rFonts w:ascii="Times New Roman" w:hAnsi="Times New Roman" w:cs="Times New Roman"/>
          <w:sz w:val="25"/>
          <w:szCs w:val="25"/>
        </w:rPr>
        <w:t xml:space="preserve"> с другой стороны, вместе именуемые в дальнейшем "Стороны", на основании </w:t>
      </w:r>
      <w:r>
        <w:rPr>
          <w:rFonts w:ascii="Times New Roman" w:hAnsi="Times New Roman" w:cs="Times New Roman"/>
          <w:sz w:val="25"/>
          <w:szCs w:val="25"/>
        </w:rPr>
        <w:t xml:space="preserve">п. 4 ч. 1 ст. 93 Федерального закона от 05.04.2013г. №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 w:cs="Times New Roman"/>
          <w:sz w:val="25"/>
          <w:szCs w:val="25"/>
        </w:rPr>
        <w:t xml:space="preserve"> заключили настоящий </w:t>
      </w:r>
      <w:r>
        <w:rPr>
          <w:rFonts w:ascii="Times New Roman" w:hAnsi="Times New Roman" w:cs="Times New Roman"/>
          <w:sz w:val="25"/>
          <w:szCs w:val="25"/>
        </w:rPr>
        <w:t xml:space="preserve">контракт </w:t>
      </w:r>
      <w:r>
        <w:rPr>
          <w:rFonts w:ascii="Times New Roman" w:hAnsi="Times New Roman" w:cs="Times New Roman"/>
          <w:sz w:val="25"/>
          <w:szCs w:val="25"/>
        </w:rPr>
        <w:t xml:space="preserve"> (да</w:t>
      </w:r>
      <w:r>
        <w:rPr>
          <w:rFonts w:ascii="Times New Roman" w:hAnsi="Times New Roman" w:cs="Times New Roman"/>
          <w:sz w:val="25"/>
          <w:szCs w:val="25"/>
        </w:rPr>
        <w:t xml:space="preserve">лее - Контракт) о нижеследующем: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I. Предмет Контракта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1.1</w:t>
      </w:r>
      <w:r>
        <w:rPr>
          <w:rFonts w:ascii="Times New Roman" w:hAnsi="Times New Roman" w:cs="Times New Roman"/>
          <w:sz w:val="25"/>
          <w:szCs w:val="25"/>
        </w:rPr>
        <w:t xml:space="preserve">. Поставщик обязуется</w:t>
      </w:r>
      <w:r>
        <w:rPr>
          <w:rFonts w:ascii="Times New Roman" w:hAnsi="Times New Roman" w:cs="Times New Roman"/>
          <w:sz w:val="25"/>
          <w:szCs w:val="25"/>
        </w:rPr>
        <w:t xml:space="preserve"> поставить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5"/>
          <w:szCs w:val="25"/>
          <w:lang w:eastAsia="ru-RU"/>
        </w:rPr>
        <w:t xml:space="preserve">термометры стеклянные ртутные для точных измерений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(далее -</w:t>
      </w:r>
      <w:r>
        <w:rPr>
          <w:rFonts w:ascii="Times New Roman" w:hAnsi="Times New Roman" w:cs="Times New Roman"/>
          <w:sz w:val="25"/>
          <w:szCs w:val="25"/>
        </w:rPr>
        <w:t xml:space="preserve"> Товар), а Заказчик обязуется принять и </w:t>
      </w:r>
      <w:r>
        <w:rPr>
          <w:rFonts w:ascii="Times New Roman" w:hAnsi="Times New Roman" w:cs="Times New Roman"/>
          <w:sz w:val="25"/>
          <w:szCs w:val="25"/>
        </w:rPr>
        <w:t xml:space="preserve">оплатить Товар</w:t>
      </w:r>
      <w:r>
        <w:rPr>
          <w:rFonts w:ascii="Times New Roman" w:hAnsi="Times New Roman" w:cs="Times New Roman"/>
          <w:sz w:val="25"/>
          <w:szCs w:val="25"/>
        </w:rPr>
        <w:t xml:space="preserve"> в порядке и на условиях, предусмотренных Контрактом.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1.2. Наименование, количество и иные характеристики поставляемого Товара указаны в спецификации (</w:t>
      </w:r>
      <w:r>
        <w:rPr>
          <w:rFonts w:ascii="Times New Roman" w:hAnsi="Times New Roman" w:cs="Times New Roman"/>
          <w:sz w:val="25"/>
          <w:szCs w:val="25"/>
        </w:rPr>
        <w:t xml:space="preserve">приложение</w:t>
      </w:r>
      <w:r>
        <w:rPr>
          <w:rFonts w:ascii="Times New Roman" w:hAnsi="Times New Roman" w:cs="Times New Roman"/>
          <w:sz w:val="25"/>
          <w:szCs w:val="25"/>
        </w:rPr>
        <w:t xml:space="preserve">), являющейся неотъемлемой частью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II. Цена Контракта и порядок расчетов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6"/>
        <w:pBdr/>
        <w:spacing/>
        <w:ind w:firstLine="567"/>
        <w:contextualSpacing w:val="true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sz w:val="25"/>
          <w:szCs w:val="25"/>
        </w:rPr>
      </w:r>
      <w:bookmarkStart w:id="0" w:name="P1440"/>
      <w:r>
        <w:rPr>
          <w:sz w:val="25"/>
          <w:szCs w:val="25"/>
        </w:rPr>
      </w:r>
      <w:bookmarkEnd w:id="0"/>
      <w:r>
        <w:rPr>
          <w:rFonts w:ascii="Times New Roman" w:hAnsi="Times New Roman" w:cs="Times New Roman"/>
          <w:sz w:val="25"/>
          <w:szCs w:val="25"/>
        </w:rPr>
        <w:t xml:space="preserve">2.1.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Цена Контракта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составляет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___________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(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сумма прописью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) рубл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ь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копеек,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в т.ч. </w:t>
      </w:r>
      <w:r>
        <w:rPr>
          <w:rFonts w:ascii="Times New Roman" w:hAnsi="Times New Roman" w:cs="Times New Roman"/>
          <w:i/>
          <w:color w:val="000000"/>
          <w:sz w:val="25"/>
          <w:szCs w:val="25"/>
        </w:rPr>
        <w:t xml:space="preserve">НДС 2</w:t>
      </w:r>
      <w:r>
        <w:rPr>
          <w:rFonts w:ascii="Times New Roman" w:hAnsi="Times New Roman" w:cs="Times New Roman"/>
          <w:i/>
          <w:color w:val="000000"/>
          <w:sz w:val="25"/>
          <w:szCs w:val="25"/>
        </w:rPr>
        <w:t xml:space="preserve">2</w:t>
      </w:r>
      <w:r>
        <w:rPr>
          <w:rFonts w:ascii="Times New Roman" w:hAnsi="Times New Roman" w:cs="Times New Roman"/>
          <w:i/>
          <w:color w:val="000000"/>
          <w:sz w:val="25"/>
          <w:szCs w:val="25"/>
        </w:rPr>
        <w:t xml:space="preserve">%</w:t>
      </w:r>
      <w:r>
        <w:rPr>
          <w:rFonts w:ascii="Times New Roman" w:hAnsi="Times New Roman" w:cs="Times New Roman"/>
          <w:i/>
          <w:color w:val="000000"/>
          <w:sz w:val="25"/>
          <w:szCs w:val="25"/>
        </w:rPr>
        <w:t xml:space="preserve">/ или не облагается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.</w:t>
      </w:r>
      <w:bookmarkStart w:id="1" w:name="P1445"/>
      <w:r>
        <w:rPr>
          <w:sz w:val="25"/>
          <w:szCs w:val="25"/>
        </w:rPr>
      </w:r>
      <w:bookmarkEnd w:id="1"/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" w:name="P1457"/>
      <w:r>
        <w:rPr>
          <w:sz w:val="25"/>
          <w:szCs w:val="25"/>
        </w:rPr>
      </w:r>
      <w:bookmarkEnd w:id="2"/>
      <w:r>
        <w:rPr>
          <w:rFonts w:ascii="Times New Roman" w:hAnsi="Times New Roman" w:cs="Times New Roman"/>
          <w:sz w:val="25"/>
          <w:szCs w:val="25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5"/>
          <w:szCs w:val="25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3" w:name="P1458"/>
      <w:r>
        <w:rPr>
          <w:sz w:val="25"/>
          <w:szCs w:val="25"/>
        </w:rPr>
      </w:r>
      <w:bookmarkEnd w:id="3"/>
      <w:r>
        <w:rPr>
          <w:rFonts w:ascii="Times New Roman" w:hAnsi="Times New Roman" w:cs="Times New Roman"/>
          <w:sz w:val="25"/>
          <w:szCs w:val="25"/>
        </w:rPr>
        <w:t xml:space="preserve">2.3. Цена Контракта включает в себя: стоимость Товара, расходы, связа</w:t>
      </w:r>
      <w:r>
        <w:rPr>
          <w:rFonts w:ascii="Times New Roman" w:hAnsi="Times New Roman" w:cs="Times New Roman"/>
          <w:sz w:val="25"/>
          <w:szCs w:val="25"/>
        </w:rPr>
        <w:t xml:space="preserve">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4" w:name="P1459"/>
      <w:r>
        <w:rPr>
          <w:sz w:val="25"/>
          <w:szCs w:val="25"/>
        </w:rPr>
      </w:r>
      <w:bookmarkEnd w:id="4"/>
      <w:r>
        <w:rPr>
          <w:rFonts w:ascii="Times New Roman" w:hAnsi="Times New Roman" w:cs="Times New Roman"/>
          <w:sz w:val="25"/>
          <w:szCs w:val="25"/>
        </w:rPr>
        <w:t xml:space="preserve">2.4. </w:t>
      </w:r>
      <w:r>
        <w:rPr>
          <w:rFonts w:ascii="Times New Roman" w:hAnsi="Times New Roman" w:cs="Times New Roman"/>
          <w:sz w:val="25"/>
          <w:szCs w:val="25"/>
        </w:rPr>
        <w:t xml:space="preserve">Цена контракта является твердой и опред</w:t>
      </w:r>
      <w:r>
        <w:rPr>
          <w:rFonts w:ascii="Times New Roman" w:hAnsi="Times New Roman" w:cs="Times New Roman"/>
          <w:sz w:val="25"/>
          <w:szCs w:val="25"/>
        </w:rPr>
        <w:t xml:space="preserve">еляется на весь срок исполнения Контракта, за исключением случае, установленных Федеральным законом от 5 апреля 2003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Цена Контракта может быть снижена по соглашению Сторон </w:t>
      </w:r>
      <w:r>
        <w:rPr>
          <w:rFonts w:ascii="Times New Roman" w:hAnsi="Times New Roman" w:cs="Times New Roman"/>
          <w:sz w:val="25"/>
          <w:szCs w:val="25"/>
        </w:rPr>
        <w:t xml:space="preserve">без изменения,</w:t>
      </w:r>
      <w:r>
        <w:rPr>
          <w:rFonts w:ascii="Times New Roman" w:hAnsi="Times New Roman" w:cs="Times New Roman"/>
          <w:sz w:val="25"/>
          <w:szCs w:val="25"/>
        </w:rPr>
        <w:t xml:space="preserve"> предусмотренного Контрактом количества и качества поставляемого Товара и иных условий Контракта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5" w:name="P1460"/>
      <w:r>
        <w:rPr>
          <w:sz w:val="25"/>
          <w:szCs w:val="25"/>
        </w:rPr>
      </w:r>
      <w:bookmarkEnd w:id="5"/>
      <w:r>
        <w:rPr>
          <w:rFonts w:ascii="Times New Roman" w:hAnsi="Times New Roman" w:cs="Times New Roman"/>
          <w:sz w:val="25"/>
          <w:szCs w:val="25"/>
        </w:rPr>
        <w:t xml:space="preserve">2.5. </w:t>
      </w:r>
      <w:r>
        <w:rPr>
          <w:rFonts w:ascii="Times New Roman" w:hAnsi="Times New Roman" w:cs="Times New Roman"/>
          <w:sz w:val="25"/>
          <w:szCs w:val="25"/>
        </w:rPr>
        <w:t xml:space="preserve">Источник финансирования Контракта:</w:t>
      </w:r>
      <w:r>
        <w:rPr>
          <w:rFonts w:ascii="Times New Roman" w:hAnsi="Times New Roman" w:cs="Times New Roman"/>
          <w:sz w:val="25"/>
          <w:szCs w:val="25"/>
        </w:rPr>
        <w:t xml:space="preserve"> средства бюджетного учреждения - </w:t>
      </w:r>
      <w:r>
        <w:rPr>
          <w:rFonts w:ascii="Times New Roman" w:hAnsi="Times New Roman" w:cs="Times New Roman"/>
          <w:sz w:val="25"/>
          <w:szCs w:val="25"/>
        </w:rPr>
        <w:t xml:space="preserve">субсидии на выполнения государственного задания (федеральный бюджет)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Код видов расходов (КВР) классификации расходов бюджетов бюджетной системы РФ - 00000000000000000244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2.6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 xml:space="preserve">Срок оплаты по Контракту не более 7 (семи) рабочих дней с даты подписания Заказчиком акта приема-передачи </w:t>
      </w:r>
      <w:r>
        <w:rPr>
          <w:rFonts w:ascii="Times New Roman" w:hAnsi="Times New Roman" w:cs="Times New Roman"/>
          <w:sz w:val="25"/>
          <w:szCs w:val="25"/>
        </w:rPr>
        <w:t xml:space="preserve">Товара.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 w:firstLine="540"/>
        <w:jc w:val="both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sz w:val="25"/>
          <w:szCs w:val="25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.7</w:t>
      </w:r>
      <w:r>
        <w:rPr>
          <w:rFonts w:ascii="Times New Roman" w:hAnsi="Times New Roman" w:cs="Times New Roman"/>
          <w:sz w:val="25"/>
          <w:szCs w:val="25"/>
        </w:rPr>
        <w:t xml:space="preserve">. Оплата по</w:t>
      </w:r>
      <w:r>
        <w:rPr>
          <w:rFonts w:ascii="Times New Roman" w:hAnsi="Times New Roman" w:cs="Times New Roman"/>
          <w:sz w:val="25"/>
          <w:szCs w:val="25"/>
        </w:rPr>
        <w:t xml:space="preserve">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</w:t>
      </w:r>
      <w:r>
        <w:rPr>
          <w:rFonts w:ascii="Times New Roman" w:hAnsi="Times New Roman" w:cs="Times New Roman"/>
          <w:sz w:val="25"/>
          <w:szCs w:val="25"/>
        </w:rPr>
        <w:t xml:space="preserve">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 w14:paraId="0392D5DE">
      <w:pPr>
        <w:pStyle w:val="915"/>
        <w:pBdr/>
        <w:spacing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b/>
          <w:bCs/>
          <w:sz w:val="25"/>
          <w:szCs w:val="25"/>
        </w:rPr>
      </w:r>
      <w:bookmarkStart w:id="6" w:name="P1477"/>
      <w:r>
        <w:rPr>
          <w:b/>
          <w:bCs/>
          <w:sz w:val="25"/>
          <w:szCs w:val="25"/>
        </w:rPr>
      </w:r>
      <w:bookmarkEnd w:id="6"/>
      <w:r>
        <w:rPr>
          <w:rFonts w:ascii="Times New Roman" w:hAnsi="Times New Roman" w:cs="Times New Roman"/>
          <w:b/>
          <w:bCs/>
          <w:sz w:val="25"/>
          <w:szCs w:val="25"/>
        </w:rPr>
        <w:t xml:space="preserve">III. Порядок, сроки и условия поставки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/>
        <w:contextualSpacing w:val="true"/>
        <w:jc w:val="center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и приемки Товара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7" w:name="P1480"/>
      <w:r>
        <w:rPr>
          <w:sz w:val="25"/>
          <w:szCs w:val="25"/>
        </w:rPr>
      </w:r>
      <w:bookmarkEnd w:id="7"/>
      <w:r>
        <w:rPr>
          <w:rFonts w:ascii="Times New Roman" w:hAnsi="Times New Roman" w:cs="Times New Roman"/>
          <w:sz w:val="25"/>
          <w:szCs w:val="25"/>
        </w:rPr>
        <w:t xml:space="preserve">3.1. </w:t>
      </w:r>
      <w:r>
        <w:rPr>
          <w:rFonts w:ascii="Times New Roman" w:hAnsi="Times New Roman" w:cs="Times New Roman"/>
          <w:sz w:val="25"/>
          <w:szCs w:val="25"/>
        </w:rPr>
        <w:t xml:space="preserve">Поставщик</w:t>
      </w:r>
      <w:r>
        <w:rPr>
          <w:rFonts w:ascii="Times New Roman" w:hAnsi="Times New Roman" w:cs="Times New Roman"/>
          <w:sz w:val="25"/>
          <w:szCs w:val="25"/>
        </w:rPr>
        <w:t xml:space="preserve"> самостоятельно доставляет </w:t>
      </w:r>
      <w:r>
        <w:rPr>
          <w:rFonts w:ascii="Times New Roman" w:hAnsi="Times New Roman" w:cs="Times New Roman"/>
          <w:sz w:val="25"/>
          <w:szCs w:val="25"/>
        </w:rPr>
        <w:t xml:space="preserve">Товар</w:t>
      </w:r>
      <w:r>
        <w:rPr>
          <w:rFonts w:ascii="Times New Roman" w:hAnsi="Times New Roman" w:cs="Times New Roman"/>
          <w:sz w:val="25"/>
          <w:szCs w:val="25"/>
        </w:rPr>
        <w:t xml:space="preserve"> Заказчику по адресу: </w:t>
      </w:r>
      <w:r>
        <w:rPr>
          <w:rFonts w:ascii="Times New Roman" w:hAnsi="Times New Roman"/>
          <w:sz w:val="25"/>
          <w:szCs w:val="25"/>
        </w:rPr>
        <w:t xml:space="preserve">675000, Амурская область, г. Благовещенск, ул. Ленина, 165/Д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(далее - место доставки), в </w:t>
      </w:r>
      <w:r>
        <w:rPr>
          <w:rFonts w:ascii="Times New Roman" w:hAnsi="Times New Roman" w:cs="Times New Roman"/>
          <w:sz w:val="25"/>
          <w:szCs w:val="25"/>
        </w:rPr>
        <w:t xml:space="preserve">сро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к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 до 29.06.2026</w:t>
      </w:r>
      <w:r>
        <w:rPr>
          <w:rFonts w:ascii="Times New Roman" w:hAnsi="Times New Roman" w:cs="Times New Roman"/>
          <w:sz w:val="25"/>
          <w:szCs w:val="25"/>
          <w:highlight w:val="white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Поставщик не менее чем за 3 (три) дня до осуществления поставки Товара направляет в адрес Заказчика уведомление о времени и дате доставки Товара в место доставки.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8" w:name="P1482"/>
      <w:r>
        <w:rPr>
          <w:sz w:val="25"/>
          <w:szCs w:val="25"/>
        </w:rPr>
      </w:r>
      <w:bookmarkEnd w:id="8"/>
      <w:r>
        <w:rPr>
          <w:sz w:val="25"/>
          <w:szCs w:val="25"/>
        </w:rPr>
      </w:r>
      <w:bookmarkStart w:id="9" w:name="P1485"/>
      <w:r>
        <w:rPr>
          <w:sz w:val="25"/>
          <w:szCs w:val="25"/>
        </w:rPr>
      </w:r>
      <w:bookmarkEnd w:id="9"/>
      <w:r>
        <w:rPr>
          <w:rFonts w:ascii="Times New Roman" w:hAnsi="Times New Roman" w:cs="Times New Roman"/>
          <w:sz w:val="25"/>
          <w:szCs w:val="25"/>
        </w:rPr>
        <w:t xml:space="preserve">3.2.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bCs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3.3. При отсутствии у Заказчика претензий по количеству и качеству поставленного Товара Заказчик в течение 03 (трех) рабочих дней с момента доставки Товара Поставщиком, подписывает </w:t>
      </w:r>
      <w:r>
        <w:rPr>
          <w:rFonts w:ascii="Times New Roman" w:hAnsi="Times New Roman"/>
          <w:i/>
          <w:iCs/>
          <w:sz w:val="25"/>
          <w:szCs w:val="25"/>
        </w:rPr>
        <w:t xml:space="preserve">товарную накладную формы ТОРГ-12/Универсальный передаточный документ (УПД)</w:t>
      </w:r>
      <w:r>
        <w:rPr>
          <w:rFonts w:ascii="Times New Roman" w:hAnsi="Times New Roman" w:cs="Times New Roman"/>
          <w:i/>
          <w:iCs/>
          <w:sz w:val="25"/>
          <w:szCs w:val="25"/>
        </w:rPr>
        <w:t xml:space="preserve">.</w:t>
      </w:r>
      <w:r>
        <w:rPr>
          <w:rFonts w:ascii="Times New Roman" w:hAnsi="Times New Roman" w:cs="Times New Roman"/>
          <w:i/>
          <w:iCs/>
          <w:sz w:val="25"/>
          <w:szCs w:val="25"/>
        </w:rPr>
      </w:r>
      <w:r>
        <w:rPr>
          <w:rFonts w:ascii="Times New Roman" w:hAnsi="Times New Roman" w:cs="Times New Roman"/>
          <w:bCs/>
          <w:i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3.4. При вы</w:t>
      </w:r>
      <w:r>
        <w:rPr>
          <w:rFonts w:ascii="Times New Roman" w:hAnsi="Times New Roman" w:cs="Times New Roman"/>
          <w:sz w:val="25"/>
          <w:szCs w:val="25"/>
        </w:rPr>
        <w:t xml:space="preserve">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</w:t>
      </w:r>
      <w:r>
        <w:rPr>
          <w:rFonts w:ascii="Times New Roman" w:hAnsi="Times New Roman" w:cs="Times New Roman"/>
          <w:sz w:val="25"/>
          <w:szCs w:val="25"/>
        </w:rPr>
        <w:t xml:space="preserve">ржимого и т.д.), препятствующих его приемке, Заказчик в срок, установленный в пункте 3.3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Times New Roman" w:hAnsi="Times New Roman" w:cs="Times New Roman"/>
          <w:sz w:val="25"/>
          <w:szCs w:val="25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3.3.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0" w:name="P1489"/>
      <w:r>
        <w:rPr>
          <w:sz w:val="25"/>
          <w:szCs w:val="25"/>
        </w:rPr>
      </w:r>
      <w:bookmarkEnd w:id="10"/>
      <w:r>
        <w:rPr>
          <w:rFonts w:ascii="Times New Roman" w:hAnsi="Times New Roman" w:cs="Times New Roman"/>
          <w:sz w:val="25"/>
          <w:szCs w:val="25"/>
        </w:rPr>
        <w:t xml:space="preserve">3.7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 xml:space="preserve"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Счет-фактура (</w:t>
      </w:r>
      <w:r>
        <w:rPr>
          <w:rFonts w:ascii="Times New Roman" w:hAnsi="Times New Roman" w:cs="Times New Roman"/>
          <w:i/>
          <w:sz w:val="25"/>
          <w:szCs w:val="25"/>
        </w:rPr>
        <w:t xml:space="preserve">в случае если Поставщик является плательщиком НДС</w:t>
      </w:r>
      <w:r>
        <w:rPr>
          <w:rFonts w:ascii="Times New Roman" w:hAnsi="Times New Roman" w:cs="Times New Roman"/>
          <w:sz w:val="25"/>
          <w:szCs w:val="25"/>
        </w:rPr>
        <w:t xml:space="preserve">) оформляется следующим образом: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 w14:paraId="7A5E3E81"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  <w:t xml:space="preserve">Грузополучатель и его адрес: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ФГБУ «ЦЛАТИ по ДФО» (филиал ЦЛАТИ по Амурской области): 675000, Амурская область, г. Благовещенск, ул. Ленина, 165/Д.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tabs>
          <w:tab w:val="left" w:leader="none" w:pos="8700"/>
        </w:tabs>
        <w:spacing/>
        <w:ind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Наименование покупателя:</w:t>
      </w:r>
      <w:r>
        <w:rPr>
          <w:rFonts w:ascii="Times New Roman" w:hAnsi="Times New Roman" w:cs="Times New Roman"/>
          <w:sz w:val="25"/>
          <w:szCs w:val="25"/>
        </w:rPr>
        <w:t xml:space="preserve"> ФГБУ «ЦЛАТИ по ДФО»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tabs>
          <w:tab w:val="left" w:leader="none" w:pos="8700"/>
        </w:tabs>
        <w:spacing/>
        <w:ind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Юридический адрес: 680013, г. Хабаровск, пер. Кадровый, 6А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tabs>
          <w:tab w:val="left" w:leader="none" w:pos="1800"/>
        </w:tabs>
        <w:spacing w:before="220"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ИНН/КПП 2721111198/272101001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 w14:paraId="084EDEE9"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IV. Взаимодействие Сторон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1" w:name="P1497"/>
      <w:r>
        <w:rPr>
          <w:sz w:val="25"/>
          <w:szCs w:val="25"/>
        </w:rPr>
      </w:r>
      <w:bookmarkEnd w:id="11"/>
      <w:r>
        <w:rPr>
          <w:rFonts w:ascii="Times New Roman" w:hAnsi="Times New Roman" w:cs="Times New Roman"/>
          <w:sz w:val="25"/>
          <w:szCs w:val="25"/>
        </w:rPr>
        <w:t xml:space="preserve">4.1. Поставщик обязан: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4.1.1. поставить Товар в порядке, количестве, в срок и на условиях, предусмотренных Контрактом и спецификацией;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2" w:name="P1499"/>
      <w:r>
        <w:rPr>
          <w:sz w:val="25"/>
          <w:szCs w:val="25"/>
        </w:rPr>
      </w:r>
      <w:bookmarkEnd w:id="12"/>
      <w:r>
        <w:rPr>
          <w:rFonts w:ascii="Times New Roman" w:hAnsi="Times New Roman" w:cs="Times New Roman"/>
          <w:sz w:val="25"/>
          <w:szCs w:val="25"/>
        </w:rPr>
        <w:t xml:space="preserve">4.1.2. обеспечить соответствие поставляемог</w:t>
      </w:r>
      <w:r>
        <w:rPr>
          <w:rFonts w:ascii="Times New Roman" w:hAnsi="Times New Roman" w:cs="Times New Roman"/>
          <w:sz w:val="25"/>
          <w:szCs w:val="25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3" w:name="P1502"/>
      <w:r>
        <w:rPr>
          <w:sz w:val="25"/>
          <w:szCs w:val="25"/>
        </w:rPr>
      </w:r>
      <w:bookmarkEnd w:id="13"/>
      <w:r>
        <w:rPr>
          <w:sz w:val="25"/>
          <w:szCs w:val="25"/>
        </w:rPr>
      </w:r>
      <w:bookmarkStart w:id="14" w:name="P1504"/>
      <w:r>
        <w:rPr>
          <w:sz w:val="25"/>
          <w:szCs w:val="25"/>
        </w:rPr>
      </w:r>
      <w:bookmarkEnd w:id="14"/>
      <w:r>
        <w:rPr>
          <w:rFonts w:ascii="Times New Roman" w:hAnsi="Times New Roman" w:cs="Times New Roman"/>
          <w:sz w:val="25"/>
          <w:szCs w:val="25"/>
        </w:rPr>
        <w:t xml:space="preserve">4.1.4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</w:t>
      </w:r>
      <w:r>
        <w:rPr>
          <w:rFonts w:ascii="Times New Roman" w:hAnsi="Times New Roman" w:cs="Times New Roman"/>
          <w:sz w:val="25"/>
          <w:szCs w:val="25"/>
        </w:rPr>
        <w:t xml:space="preserve">занному в Контракте,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5" w:name="P1505"/>
      <w:r>
        <w:rPr>
          <w:sz w:val="25"/>
          <w:szCs w:val="25"/>
        </w:rPr>
      </w:r>
      <w:bookmarkEnd w:id="15"/>
      <w:r>
        <w:rPr>
          <w:rFonts w:ascii="Times New Roman" w:hAnsi="Times New Roman" w:cs="Times New Roman"/>
          <w:sz w:val="25"/>
          <w:szCs w:val="25"/>
        </w:rPr>
        <w:t xml:space="preserve">4.1.5</w:t>
      </w:r>
      <w:r>
        <w:rPr>
          <w:rFonts w:ascii="Times New Roman" w:hAnsi="Times New Roman" w:cs="Times New Roman"/>
          <w:sz w:val="25"/>
          <w:szCs w:val="25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>
        <w:rPr>
          <w:rFonts w:ascii="Times New Roman" w:hAnsi="Times New Roman" w:cs="Times New Roman"/>
          <w:sz w:val="25"/>
          <w:szCs w:val="25"/>
        </w:rPr>
        <w:t xml:space="preserve">кающих при исполнении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6" w:name="P1507"/>
      <w:r>
        <w:rPr>
          <w:sz w:val="25"/>
          <w:szCs w:val="25"/>
        </w:rPr>
      </w:r>
      <w:bookmarkEnd w:id="16"/>
      <w:r>
        <w:rPr>
          <w:rFonts w:ascii="Times New Roman" w:hAnsi="Times New Roman" w:cs="Times New Roman"/>
          <w:sz w:val="25"/>
          <w:szCs w:val="25"/>
        </w:rPr>
        <w:t xml:space="preserve">4.2. Поставщик вправе: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7" w:name="P1518"/>
      <w:r>
        <w:rPr>
          <w:sz w:val="25"/>
          <w:szCs w:val="25"/>
        </w:rPr>
      </w:r>
      <w:bookmarkEnd w:id="17"/>
      <w:r>
        <w:rPr>
          <w:rFonts w:ascii="Times New Roman" w:hAnsi="Times New Roman" w:cs="Times New Roman"/>
          <w:sz w:val="25"/>
          <w:szCs w:val="25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18" w:name="P1519"/>
      <w:r>
        <w:rPr>
          <w:sz w:val="25"/>
          <w:szCs w:val="25"/>
        </w:rPr>
      </w:r>
      <w:bookmarkEnd w:id="18"/>
      <w:r>
        <w:rPr>
          <w:rFonts w:ascii="Times New Roman" w:hAnsi="Times New Roman" w:cs="Times New Roman"/>
          <w:sz w:val="25"/>
          <w:szCs w:val="25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\l "P1550"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разделом VI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Контракта.</w:t>
      </w:r>
      <w:bookmarkStart w:id="19" w:name="P1521"/>
      <w:r>
        <w:rPr>
          <w:sz w:val="25"/>
          <w:szCs w:val="25"/>
        </w:rPr>
      </w:r>
      <w:bookmarkEnd w:id="19"/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4.2.</w:t>
      </w:r>
      <w:r>
        <w:rPr>
          <w:rFonts w:ascii="Times New Roman" w:hAnsi="Times New Roman" w:cs="Times New Roman"/>
          <w:sz w:val="25"/>
          <w:szCs w:val="25"/>
        </w:rPr>
        <w:t xml:space="preserve">5</w:t>
      </w:r>
      <w:r>
        <w:rPr>
          <w:rFonts w:ascii="Times New Roman" w:hAnsi="Times New Roman" w:cs="Times New Roman"/>
          <w:sz w:val="25"/>
          <w:szCs w:val="25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</w:t>
      </w:r>
      <w:r>
        <w:rPr>
          <w:rFonts w:ascii="Times New Roman" w:hAnsi="Times New Roman" w:cs="Times New Roman"/>
          <w:sz w:val="25"/>
          <w:szCs w:val="25"/>
        </w:rPr>
        <w:t xml:space="preserve">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"consultantplus://offline/ref=782E9CC4CCC6932545801925E3B536176E50B53C1FD70BD7655CABC93DB89C271041D8CD0197EEC2617428125779CB07805FED4BE83BV7P"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частью 6 статьи 14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5"/>
          <w:szCs w:val="25"/>
        </w:rPr>
        <w:t xml:space="preserve">рственных и муниципальных нужд".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4.3. Заказчик обязуется: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0" w:name="P1525"/>
      <w:r>
        <w:rPr>
          <w:sz w:val="25"/>
          <w:szCs w:val="25"/>
        </w:rPr>
      </w:r>
      <w:bookmarkEnd w:id="20"/>
      <w:r>
        <w:rPr>
          <w:sz w:val="25"/>
          <w:szCs w:val="25"/>
        </w:rPr>
      </w:r>
      <w:bookmarkStart w:id="21" w:name="P1526"/>
      <w:r>
        <w:rPr>
          <w:sz w:val="25"/>
          <w:szCs w:val="25"/>
        </w:rPr>
      </w:r>
      <w:bookmarkEnd w:id="21"/>
      <w:r>
        <w:rPr>
          <w:rFonts w:ascii="Times New Roman" w:hAnsi="Times New Roman" w:cs="Times New Roman"/>
          <w:sz w:val="25"/>
          <w:szCs w:val="25"/>
        </w:rPr>
        <w:t xml:space="preserve">4.3.2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</w:t>
      </w:r>
      <w:r>
        <w:rPr>
          <w:rFonts w:ascii="Times New Roman" w:hAnsi="Times New Roman" w:cs="Times New Roman"/>
          <w:sz w:val="25"/>
          <w:szCs w:val="25"/>
        </w:rPr>
        <w:t xml:space="preserve">азанному в Контракте,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</w:t>
      </w:r>
      <w:r>
        <w:rPr>
          <w:rFonts w:ascii="Times New Roman" w:hAnsi="Times New Roman" w:cs="Times New Roman"/>
          <w:sz w:val="25"/>
          <w:szCs w:val="25"/>
        </w:rPr>
        <w:t xml:space="preserve">;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4.3.3</w:t>
      </w:r>
      <w:r>
        <w:rPr>
          <w:rFonts w:ascii="Times New Roman" w:hAnsi="Times New Roman" w:cs="Times New Roman"/>
          <w:sz w:val="25"/>
          <w:szCs w:val="25"/>
        </w:rPr>
        <w:t xml:space="preserve">. требовать уплаты неустоек (штрафов, пеней) в соответствии с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\l "P1550"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разделом VI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Контракта;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4.3.4</w:t>
      </w:r>
      <w:r>
        <w:rPr>
          <w:rFonts w:ascii="Times New Roman" w:hAnsi="Times New Roman" w:cs="Times New Roman"/>
          <w:sz w:val="25"/>
          <w:szCs w:val="25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"consultantplus://offline/ref=782E9CC4CCC6932545801925E3B536176E50B53C1FD70BD7655CABC93DB89C27024180C10398FB96372E7F1F5737VEP"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законом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2" w:name="P1529"/>
      <w:r>
        <w:rPr>
          <w:sz w:val="25"/>
          <w:szCs w:val="25"/>
        </w:rPr>
      </w:r>
      <w:bookmarkEnd w:id="22"/>
      <w:r>
        <w:rPr>
          <w:rFonts w:ascii="Times New Roman" w:hAnsi="Times New Roman" w:cs="Times New Roman"/>
          <w:sz w:val="25"/>
          <w:szCs w:val="25"/>
        </w:rPr>
        <w:t xml:space="preserve">4.4. Заказчик вправе: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4.4.1. требовать от Поставщика надлежащего исполнения обязательств по Контракту;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4.4.4. требовать возмещения убытков в соответствии с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\l "P1550"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разделом VI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Контракта, причиненных по вине Поставщика;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3" w:name="P1534"/>
      <w:r>
        <w:rPr>
          <w:sz w:val="25"/>
          <w:szCs w:val="25"/>
        </w:rPr>
      </w:r>
      <w:bookmarkEnd w:id="23"/>
      <w:r>
        <w:rPr>
          <w:rFonts w:ascii="Times New Roman" w:hAnsi="Times New Roman" w:cs="Times New Roman"/>
          <w:sz w:val="25"/>
          <w:szCs w:val="25"/>
        </w:rPr>
        <w:t xml:space="preserve">4.4.5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  <w:t xml:space="preserve"> отказаться от приемки и оплаты Товара, не соответствующего условиям Контракта;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4" w:name="P1536"/>
      <w:r>
        <w:rPr>
          <w:sz w:val="25"/>
          <w:szCs w:val="25"/>
        </w:rPr>
      </w:r>
      <w:bookmarkEnd w:id="24"/>
      <w:r>
        <w:rPr>
          <w:rFonts w:ascii="Times New Roman" w:hAnsi="Times New Roman" w:cs="Times New Roman"/>
          <w:sz w:val="25"/>
          <w:szCs w:val="25"/>
        </w:rPr>
        <w:t xml:space="preserve">4.4.</w:t>
      </w:r>
      <w:r>
        <w:rPr>
          <w:rFonts w:ascii="Times New Roman" w:hAnsi="Times New Roman" w:cs="Times New Roman"/>
          <w:sz w:val="25"/>
          <w:szCs w:val="25"/>
        </w:rPr>
        <w:t xml:space="preserve">6</w:t>
      </w:r>
      <w:r>
        <w:rPr>
          <w:rFonts w:ascii="Times New Roman" w:hAnsi="Times New Roman" w:cs="Times New Roman"/>
          <w:sz w:val="25"/>
          <w:szCs w:val="25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5" w:name="P1537"/>
      <w:r>
        <w:rPr>
          <w:sz w:val="25"/>
          <w:szCs w:val="25"/>
        </w:rPr>
      </w:r>
      <w:bookmarkEnd w:id="25"/>
      <w:r>
        <w:rPr>
          <w:rFonts w:ascii="Times New Roman" w:hAnsi="Times New Roman" w:cs="Times New Roman"/>
          <w:sz w:val="25"/>
          <w:szCs w:val="25"/>
        </w:rPr>
        <w:t xml:space="preserve">4.4.</w:t>
      </w:r>
      <w:r>
        <w:rPr>
          <w:rFonts w:ascii="Times New Roman" w:hAnsi="Times New Roman" w:cs="Times New Roman"/>
          <w:sz w:val="25"/>
          <w:szCs w:val="25"/>
        </w:rPr>
        <w:t xml:space="preserve">7</w:t>
      </w:r>
      <w:r>
        <w:rPr>
          <w:rFonts w:ascii="Times New Roman" w:hAnsi="Times New Roman" w:cs="Times New Roman"/>
          <w:sz w:val="25"/>
          <w:szCs w:val="25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b/>
          <w:bCs/>
          <w:sz w:val="25"/>
          <w:szCs w:val="25"/>
        </w:rPr>
      </w:r>
      <w:bookmarkStart w:id="26" w:name="P1539"/>
      <w:r>
        <w:rPr>
          <w:b/>
          <w:bCs/>
          <w:sz w:val="25"/>
          <w:szCs w:val="25"/>
        </w:rPr>
      </w:r>
      <w:bookmarkEnd w:id="26"/>
      <w:r>
        <w:rPr>
          <w:rFonts w:ascii="Times New Roman" w:hAnsi="Times New Roman" w:cs="Times New Roman"/>
          <w:b/>
          <w:bCs/>
          <w:sz w:val="25"/>
          <w:szCs w:val="25"/>
        </w:rPr>
        <w:t xml:space="preserve">V. Качество Товара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5.1. Поставщик гарантирует, что поставляемый Товар соответствует требованиям, установленным Контрактом.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5.3. Товар должен быть упакован и замаркирован в соответствии с действующими стандартами.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Поставщик поставляет Товар в у</w:t>
      </w:r>
      <w:r>
        <w:rPr>
          <w:rFonts w:ascii="Times New Roman" w:hAnsi="Times New Roman" w:cs="Times New Roman"/>
          <w:sz w:val="25"/>
          <w:szCs w:val="25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7" w:name="P1546"/>
      <w:r>
        <w:rPr>
          <w:sz w:val="25"/>
          <w:szCs w:val="25"/>
        </w:rPr>
      </w:r>
      <w:bookmarkEnd w:id="27"/>
      <w:r>
        <w:rPr>
          <w:rFonts w:ascii="Times New Roman" w:hAnsi="Times New Roman" w:cs="Times New Roman"/>
          <w:sz w:val="25"/>
          <w:szCs w:val="25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28" w:name="P1547"/>
      <w:r>
        <w:rPr>
          <w:sz w:val="25"/>
          <w:szCs w:val="25"/>
        </w:rPr>
      </w:r>
      <w:bookmarkEnd w:id="28"/>
      <w:r>
        <w:rPr>
          <w:sz w:val="25"/>
          <w:szCs w:val="25"/>
        </w:rPr>
      </w:r>
      <w:bookmarkStart w:id="29" w:name="P1548"/>
      <w:r>
        <w:rPr>
          <w:sz w:val="25"/>
          <w:szCs w:val="25"/>
        </w:rPr>
      </w:r>
      <w:bookmarkEnd w:id="29"/>
      <w:r>
        <w:rPr>
          <w:rFonts w:ascii="Times New Roman" w:hAnsi="Times New Roman" w:cs="Times New Roman"/>
          <w:sz w:val="25"/>
          <w:szCs w:val="25"/>
        </w:rPr>
        <w:t xml:space="preserve">5.5. Требования к предоставлению гарантии производителя и (или) Поставщика Товара и к сроку действия такой г</w:t>
      </w:r>
      <w:r>
        <w:rPr>
          <w:rFonts w:ascii="Times New Roman" w:hAnsi="Times New Roman" w:cs="Times New Roman"/>
          <w:sz w:val="25"/>
          <w:szCs w:val="25"/>
        </w:rPr>
        <w:t xml:space="preserve">арантии указаны в спецификации.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b/>
          <w:bCs/>
          <w:sz w:val="25"/>
          <w:szCs w:val="25"/>
        </w:rPr>
      </w:r>
      <w:bookmarkStart w:id="30" w:name="P1550"/>
      <w:r>
        <w:rPr>
          <w:b/>
          <w:bCs/>
          <w:sz w:val="25"/>
          <w:szCs w:val="25"/>
        </w:rPr>
      </w:r>
      <w:bookmarkEnd w:id="30"/>
      <w:r>
        <w:rPr>
          <w:rFonts w:ascii="Times New Roman" w:hAnsi="Times New Roman" w:cs="Times New Roman"/>
          <w:b/>
          <w:bCs/>
          <w:sz w:val="25"/>
          <w:szCs w:val="25"/>
        </w:rPr>
        <w:t xml:space="preserve">VI. Ответственность Сторон 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31" w:name="P1554"/>
      <w:r>
        <w:rPr>
          <w:sz w:val="25"/>
          <w:szCs w:val="25"/>
        </w:rPr>
      </w:r>
      <w:bookmarkEnd w:id="31"/>
      <w:r>
        <w:rPr>
          <w:rFonts w:ascii="Times New Roman" w:hAnsi="Times New Roman" w:cs="Times New Roman"/>
          <w:sz w:val="25"/>
          <w:szCs w:val="25"/>
        </w:rPr>
        <w:t xml:space="preserve">6.3. В случае просрочки исполнения Поставщиком обязательст</w:t>
      </w:r>
      <w:r>
        <w:rPr>
          <w:rFonts w:ascii="Times New Roman" w:hAnsi="Times New Roman" w:cs="Times New Roman"/>
          <w:sz w:val="25"/>
          <w:szCs w:val="25"/>
        </w:rPr>
        <w:t xml:space="preserve">в (в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</w:t>
      </w:r>
      <w:r>
        <w:rPr>
          <w:rFonts w:ascii="Times New Roman" w:hAnsi="Times New Roman" w:cs="Times New Roman"/>
          <w:sz w:val="25"/>
          <w:szCs w:val="25"/>
        </w:rPr>
        <w:t xml:space="preserve">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</w:t>
      </w:r>
      <w:r>
        <w:rPr>
          <w:rFonts w:ascii="Times New Roman" w:hAnsi="Times New Roman" w:cs="Times New Roman"/>
          <w:sz w:val="25"/>
          <w:szCs w:val="25"/>
        </w:rPr>
        <w:t xml:space="preserve">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6.4. </w:t>
      </w:r>
      <w:bookmarkStart w:id="32" w:name="P1556"/>
      <w:r>
        <w:rPr>
          <w:sz w:val="25"/>
          <w:szCs w:val="25"/>
        </w:rPr>
      </w:r>
      <w:bookmarkEnd w:id="32"/>
      <w:r>
        <w:rPr>
          <w:rFonts w:ascii="Times New Roman" w:hAnsi="Times New Roman" w:cs="Times New Roman"/>
          <w:sz w:val="25"/>
          <w:szCs w:val="25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</w:t>
      </w:r>
      <w:r>
        <w:rPr>
          <w:rFonts w:ascii="Times New Roman" w:hAnsi="Times New Roman" w:cs="Times New Roman"/>
          <w:sz w:val="25"/>
          <w:szCs w:val="25"/>
        </w:rPr>
        <w:t xml:space="preserve">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>
        <w:rPr>
          <w:rFonts w:ascii="Times New Roman" w:hAnsi="Times New Roman" w:cs="Times New Roman"/>
          <w:sz w:val="25"/>
          <w:szCs w:val="25"/>
        </w:rPr>
        <w:t xml:space="preserve">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 (далее - Правила), </w:t>
      </w:r>
      <w:r>
        <w:rPr>
          <w:rFonts w:ascii="Times New Roman" w:hAnsi="Times New Roman" w:cs="Times New Roman"/>
          <w:sz w:val="25"/>
          <w:szCs w:val="25"/>
        </w:rPr>
        <w:t xml:space="preserve">размер штрафа устанавливается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"consultantplus://offline/ref=782E9CC4CCC6932545801925E3B536176E57B6381BDA0BD7655CABC93DB89C271041D8CF0ACBB4D2653D7F184B7ED2198541ED34VBP"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Прави</w:t>
      </w:r>
      <w:bookmarkStart w:id="33" w:name="_Hlt48228356"/>
      <w:r>
        <w:rPr>
          <w:rFonts w:ascii="Times New Roman" w:hAnsi="Times New Roman" w:cs="Times New Roman"/>
          <w:sz w:val="25"/>
          <w:szCs w:val="25"/>
        </w:rPr>
        <w:t xml:space="preserve">л</w:t>
      </w:r>
      <w:bookmarkEnd w:id="33"/>
      <w:r>
        <w:rPr>
          <w:rFonts w:ascii="Times New Roman" w:hAnsi="Times New Roman" w:cs="Times New Roman"/>
          <w:sz w:val="25"/>
          <w:szCs w:val="25"/>
        </w:rPr>
        <w:t xml:space="preserve">ами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и составляет </w:t>
      </w: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</w:rPr>
        <w:t xml:space="preserve">000</w:t>
      </w:r>
      <w:r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 xml:space="preserve">одна</w:t>
      </w:r>
      <w:r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 xml:space="preserve">а</w:t>
      </w:r>
      <w:r>
        <w:rPr>
          <w:rFonts w:ascii="Times New Roman" w:hAnsi="Times New Roman" w:cs="Times New Roman"/>
          <w:sz w:val="25"/>
          <w:szCs w:val="25"/>
        </w:rPr>
        <w:t xml:space="preserve">) рублей.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5"/>
          <w:szCs w:val="25"/>
        </w:rPr>
      </w:r>
      <w:bookmarkStart w:id="34" w:name="P1557"/>
      <w:r>
        <w:rPr>
          <w:sz w:val="25"/>
          <w:szCs w:val="25"/>
        </w:rPr>
      </w:r>
      <w:bookmarkEnd w:id="34"/>
      <w:r>
        <w:rPr>
          <w:rFonts w:ascii="Times New Roman" w:hAnsi="Times New Roman" w:cs="Times New Roman"/>
          <w:sz w:val="25"/>
          <w:szCs w:val="25"/>
        </w:rPr>
        <w:t xml:space="preserve">6.6</w:t>
      </w:r>
      <w:r>
        <w:rPr>
          <w:rFonts w:ascii="Times New Roman" w:hAnsi="Times New Roman" w:cs="Times New Roman"/>
          <w:sz w:val="25"/>
          <w:szCs w:val="25"/>
        </w:rPr>
        <w:t xml:space="preserve">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rFonts w:ascii="Times New Roman" w:hAnsi="Times New Roman" w:cs="Times New Roman"/>
          <w:sz w:val="25"/>
          <w:szCs w:val="25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6.7</w:t>
      </w:r>
      <w:r>
        <w:rPr>
          <w:rFonts w:ascii="Times New Roman" w:hAnsi="Times New Roman" w:cs="Times New Roman"/>
          <w:sz w:val="25"/>
          <w:szCs w:val="25"/>
        </w:rPr>
        <w:t xml:space="preserve"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"consultantplus://offline/ref=782E9CC4CCC6932545801925E3B536176E57B6381BDA0BD7655CABC93DB89C271041D8CF0ACBB4D2653D7F184B7ED2198541ED34VBP"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Правилами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и составляет </w:t>
      </w: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</w:rPr>
        <w:t xml:space="preserve">000</w:t>
      </w:r>
      <w:r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 xml:space="preserve">одна</w:t>
      </w:r>
      <w:r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 xml:space="preserve">а</w:t>
      </w:r>
      <w:r>
        <w:rPr>
          <w:rFonts w:ascii="Times New Roman" w:hAnsi="Times New Roman" w:cs="Times New Roman"/>
          <w:sz w:val="25"/>
          <w:szCs w:val="25"/>
        </w:rPr>
        <w:t xml:space="preserve">) рублей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</w:t>
      </w:r>
      <w:r>
        <w:rPr>
          <w:rFonts w:ascii="Times New Roman" w:hAnsi="Times New Roman" w:cs="Times New Roman"/>
          <w:sz w:val="25"/>
          <w:szCs w:val="25"/>
        </w:rPr>
        <w:t xml:space="preserve">8</w:t>
      </w:r>
      <w:r>
        <w:rPr>
          <w:rFonts w:ascii="Times New Roman" w:hAnsi="Times New Roman" w:cs="Times New Roman"/>
          <w:sz w:val="25"/>
          <w:szCs w:val="25"/>
        </w:rPr>
        <w:t xml:space="preserve">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</w:t>
      </w:r>
      <w:r>
        <w:rPr>
          <w:rFonts w:ascii="Times New Roman" w:hAnsi="Times New Roman" w:cs="Times New Roman"/>
          <w:sz w:val="25"/>
          <w:szCs w:val="25"/>
        </w:rPr>
        <w:t xml:space="preserve">9</w:t>
      </w:r>
      <w:r>
        <w:rPr>
          <w:rFonts w:ascii="Times New Roman" w:hAnsi="Times New Roman" w:cs="Times New Roman"/>
          <w:sz w:val="25"/>
          <w:szCs w:val="25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6.1</w:t>
      </w:r>
      <w:r>
        <w:rPr>
          <w:rFonts w:ascii="Times New Roman" w:hAnsi="Times New Roman" w:cs="Times New Roman"/>
          <w:sz w:val="25"/>
          <w:szCs w:val="25"/>
        </w:rPr>
        <w:t xml:space="preserve">0</w:t>
      </w:r>
      <w:r>
        <w:rPr>
          <w:rFonts w:ascii="Times New Roman" w:hAnsi="Times New Roman" w:cs="Times New Roman"/>
          <w:sz w:val="25"/>
          <w:szCs w:val="25"/>
        </w:rPr>
        <w:t xml:space="preserve"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6.1</w:t>
      </w: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</w:rPr>
        <w:t xml:space="preserve">. В случае расторжения Контракта в связи с односторонним отказом </w:t>
      </w:r>
      <w:r>
        <w:rPr>
          <w:rFonts w:ascii="Times New Roman" w:hAnsi="Times New Roman" w:cs="Times New Roman"/>
          <w:sz w:val="25"/>
          <w:szCs w:val="25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 w14:paraId="6E83AF70">
      <w:pPr>
        <w:pStyle w:val="915"/>
        <w:pBdr/>
        <w:spacing/>
        <w:ind/>
        <w:contextualSpacing w:val="true"/>
        <w:jc w:val="left"/>
        <w:outlineLvl w:val="1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VII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. Исключительные права 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7</w:t>
      </w:r>
      <w:r>
        <w:rPr>
          <w:rFonts w:ascii="Times New Roman" w:hAnsi="Times New Roman" w:cs="Times New Roman"/>
          <w:sz w:val="25"/>
          <w:szCs w:val="25"/>
        </w:rPr>
        <w:t xml:space="preserve">.1. Поставщик гарантирует отсутствие нарушения исключительных прав третьих лиц, связанных с поставкой и использованием Товара.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7</w:t>
      </w:r>
      <w:r>
        <w:rPr>
          <w:rFonts w:ascii="Times New Roman" w:hAnsi="Times New Roman" w:cs="Times New Roman"/>
          <w:sz w:val="25"/>
          <w:szCs w:val="25"/>
        </w:rPr>
        <w:t xml:space="preserve">.2. Все убытки, понесенные Заказчиком в случае нарушения исключительных прав третьих лиц на результаты интеллектуа</w:t>
      </w:r>
      <w:r>
        <w:rPr>
          <w:rFonts w:ascii="Times New Roman" w:hAnsi="Times New Roman" w:cs="Times New Roman"/>
          <w:sz w:val="25"/>
          <w:szCs w:val="25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VIII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. Обстоятельства непреодолимой силы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8</w:t>
      </w:r>
      <w:r>
        <w:rPr>
          <w:rFonts w:ascii="Times New Roman" w:hAnsi="Times New Roman" w:cs="Times New Roman"/>
          <w:sz w:val="25"/>
          <w:szCs w:val="25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8</w:t>
      </w:r>
      <w:r>
        <w:rPr>
          <w:rFonts w:ascii="Times New Roman" w:hAnsi="Times New Roman" w:cs="Times New Roman"/>
          <w:sz w:val="25"/>
          <w:szCs w:val="25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 w:cs="Times New Roman"/>
          <w:sz w:val="25"/>
          <w:szCs w:val="25"/>
        </w:rPr>
        <w:t xml:space="preserve">10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(десяти)</w:t>
      </w:r>
      <w:r>
        <w:rPr>
          <w:rFonts w:ascii="Times New Roman" w:hAnsi="Times New Roman" w:cs="Times New Roman"/>
          <w:sz w:val="25"/>
          <w:szCs w:val="25"/>
        </w:rPr>
        <w:t xml:space="preserve"> рабочих</w:t>
      </w:r>
      <w:r>
        <w:rPr>
          <w:rFonts w:ascii="Times New Roman" w:hAnsi="Times New Roman" w:cs="Times New Roman"/>
          <w:sz w:val="25"/>
          <w:szCs w:val="25"/>
        </w:rPr>
        <w:t xml:space="preserve"> дней</w:t>
      </w:r>
      <w:r>
        <w:rPr>
          <w:rFonts w:ascii="Times New Roman" w:hAnsi="Times New Roman" w:cs="Times New Roman"/>
          <w:sz w:val="25"/>
          <w:szCs w:val="25"/>
        </w:rPr>
        <w:t xml:space="preserve">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8</w:t>
      </w:r>
      <w:r>
        <w:rPr>
          <w:rFonts w:ascii="Times New Roman" w:hAnsi="Times New Roman" w:cs="Times New Roman"/>
          <w:sz w:val="25"/>
          <w:szCs w:val="25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8.</w:t>
      </w:r>
      <w:r>
        <w:rPr>
          <w:rFonts w:ascii="Times New Roman" w:hAnsi="Times New Roman" w:cs="Times New Roman"/>
          <w:sz w:val="25"/>
          <w:szCs w:val="25"/>
        </w:rPr>
        <w:t xml:space="preserve">4. </w:t>
      </w:r>
      <w:r>
        <w:rPr>
          <w:rFonts w:ascii="Times New Roman" w:hAnsi="Times New Roman" w:cs="Times New Roman"/>
          <w:sz w:val="25"/>
          <w:szCs w:val="25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I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X. Рассмотрение и разрешение споров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9</w:t>
      </w:r>
      <w:r>
        <w:rPr>
          <w:rFonts w:ascii="Times New Roman" w:hAnsi="Times New Roman" w:cs="Times New Roman"/>
          <w:sz w:val="25"/>
          <w:szCs w:val="25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9</w:t>
      </w:r>
      <w:r>
        <w:rPr>
          <w:rFonts w:ascii="Times New Roman" w:hAnsi="Times New Roman" w:cs="Times New Roman"/>
          <w:sz w:val="25"/>
          <w:szCs w:val="25"/>
        </w:rPr>
        <w:t xml:space="preserve">.2. 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sz w:val="25"/>
          <w:szCs w:val="25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9</w:t>
      </w:r>
      <w:r>
        <w:rPr>
          <w:rFonts w:ascii="Times New Roman" w:hAnsi="Times New Roman" w:cs="Times New Roman"/>
          <w:sz w:val="25"/>
          <w:szCs w:val="25"/>
        </w:rPr>
        <w:t xml:space="preserve">.3. Срок рассмотрения претензии не может превышать</w:t>
      </w:r>
      <w:r>
        <w:rPr>
          <w:rFonts w:ascii="Times New Roman" w:hAnsi="Times New Roman" w:cs="Times New Roman"/>
          <w:sz w:val="25"/>
          <w:szCs w:val="25"/>
        </w:rPr>
        <w:t xml:space="preserve"> 10 (десяти) рабочих </w:t>
      </w:r>
      <w:r>
        <w:rPr>
          <w:rFonts w:ascii="Times New Roman" w:hAnsi="Times New Roman" w:cs="Times New Roman"/>
          <w:sz w:val="25"/>
          <w:szCs w:val="25"/>
        </w:rPr>
        <w:t xml:space="preserve">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9</w:t>
      </w:r>
      <w:r>
        <w:rPr>
          <w:rFonts w:ascii="Times New Roman" w:hAnsi="Times New Roman" w:cs="Times New Roman"/>
          <w:sz w:val="25"/>
          <w:szCs w:val="25"/>
        </w:rPr>
        <w:t xml:space="preserve">.4. При неурегулировании Сторонами спора в досудебном порядке, спор разрешается в судебном порядке</w:t>
      </w:r>
      <w:r>
        <w:rPr>
          <w:rFonts w:ascii="Times New Roman" w:hAnsi="Times New Roman" w:cs="Times New Roman"/>
          <w:sz w:val="25"/>
          <w:szCs w:val="25"/>
        </w:rPr>
        <w:t xml:space="preserve"> в Арб</w:t>
      </w:r>
      <w:r>
        <w:rPr>
          <w:rFonts w:ascii="Times New Roman" w:hAnsi="Times New Roman" w:cs="Times New Roman"/>
          <w:sz w:val="25"/>
          <w:szCs w:val="25"/>
        </w:rPr>
        <w:t xml:space="preserve">итражном суде Хабаровского края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X. Срок действия и порядок расторжения Контракта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</w:rPr>
        <w:t xml:space="preserve">0</w:t>
      </w:r>
      <w:r>
        <w:rPr>
          <w:rFonts w:ascii="Times New Roman" w:hAnsi="Times New Roman" w:cs="Times New Roman"/>
          <w:sz w:val="25"/>
          <w:szCs w:val="25"/>
        </w:rPr>
        <w:t xml:space="preserve">.1. Контракт вступает в силу с момента его подписания обеими Сторонами и действует по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30.09</w:t>
      </w:r>
      <w:r>
        <w:rPr>
          <w:rFonts w:ascii="Times New Roman" w:hAnsi="Times New Roman" w:cs="Times New Roman"/>
          <w:sz w:val="25"/>
          <w:szCs w:val="25"/>
        </w:rPr>
        <w:t xml:space="preserve">.202</w:t>
      </w:r>
      <w:r>
        <w:rPr>
          <w:rFonts w:ascii="Times New Roman" w:hAnsi="Times New Roman" w:cs="Times New Roman"/>
          <w:sz w:val="25"/>
          <w:szCs w:val="25"/>
        </w:rPr>
        <w:t xml:space="preserve">6</w:t>
      </w:r>
      <w:r>
        <w:rPr>
          <w:rFonts w:ascii="Times New Roman" w:hAnsi="Times New Roman" w:cs="Times New Roman"/>
          <w:sz w:val="25"/>
          <w:szCs w:val="25"/>
        </w:rPr>
        <w:t xml:space="preserve"> г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0</w:t>
      </w:r>
      <w:r>
        <w:rPr>
          <w:rFonts w:ascii="Times New Roman" w:hAnsi="Times New Roman" w:cs="Times New Roman"/>
          <w:sz w:val="25"/>
          <w:szCs w:val="25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частями 9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23 статьи 95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 w14:paraId="56FC605B">
      <w:pPr>
        <w:pStyle w:val="911"/>
        <w:pBdr/>
        <w:spacing w:after="0" w:line="240" w:lineRule="auto"/>
        <w:ind/>
        <w:jc w:val="left"/>
        <w:rPr>
          <w:rFonts w:ascii="Times New Roman" w:hAnsi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/>
          <w:b/>
          <w:bCs/>
          <w:sz w:val="25"/>
          <w:szCs w:val="25"/>
          <w:highlight w:val="none"/>
          <w:lang w:eastAsia="ru-RU"/>
        </w:rPr>
      </w:r>
      <w:r>
        <w:rPr>
          <w:rFonts w:ascii="Times New Roman" w:hAnsi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/>
          <w:b/>
          <w:bCs/>
          <w:sz w:val="25"/>
          <w:szCs w:val="25"/>
          <w:highlight w:val="none"/>
        </w:rPr>
      </w:r>
    </w:p>
    <w:p>
      <w:pPr>
        <w:pStyle w:val="911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/>
          <w:b/>
          <w:bCs/>
          <w:sz w:val="25"/>
          <w:szCs w:val="25"/>
          <w:lang w:val="en-US" w:eastAsia="ru-RU"/>
        </w:rPr>
        <w:t xml:space="preserve">XI</w:t>
      </w:r>
      <w:r>
        <w:rPr>
          <w:rFonts w:ascii="Times New Roman" w:hAnsi="Times New Roman"/>
          <w:b/>
          <w:bCs/>
          <w:sz w:val="25"/>
          <w:szCs w:val="25"/>
          <w:lang w:eastAsia="ru-RU"/>
        </w:rPr>
        <w:t xml:space="preserve">. Антикоррупционная оговорка</w:t>
      </w:r>
      <w:r>
        <w:rPr>
          <w:rFonts w:ascii="Times New Roman" w:hAnsi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/>
          <w:b/>
          <w:bCs/>
          <w:sz w:val="25"/>
          <w:szCs w:val="25"/>
          <w:highlight w:val="none"/>
        </w:rPr>
      </w:r>
    </w:p>
    <w:p>
      <w:pPr>
        <w:pStyle w:val="911"/>
        <w:pBdr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.1.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</w:t>
      </w:r>
      <w:r>
        <w:rPr>
          <w:rFonts w:ascii="Times New Roman" w:hAnsi="Times New Roman"/>
          <w:sz w:val="25"/>
          <w:szCs w:val="25"/>
          <w:lang w:eastAsia="ru-RU"/>
        </w:rP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>
      <w:pPr>
        <w:pStyle w:val="911"/>
        <w:pBdr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.2. Пр</w:t>
      </w:r>
      <w:r>
        <w:rPr>
          <w:rFonts w:ascii="Times New Roman" w:hAnsi="Times New Roman"/>
          <w:sz w:val="25"/>
          <w:szCs w:val="25"/>
          <w:lang w:eastAsia="ru-RU"/>
        </w:rPr>
        <w:t xml:space="preserve">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</w:t>
      </w:r>
      <w:r>
        <w:rPr>
          <w:rFonts w:ascii="Times New Roman" w:hAnsi="Times New Roman"/>
          <w:sz w:val="25"/>
          <w:szCs w:val="25"/>
          <w:lang w:eastAsia="ru-RU"/>
        </w:rPr>
        <w:t xml:space="preserve">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>
      <w:pPr>
        <w:pStyle w:val="911"/>
        <w:pBdr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.</w:t>
      </w:r>
      <w:r>
        <w:rPr>
          <w:rFonts w:ascii="Times New Roman" w:hAnsi="Times New Roman"/>
          <w:sz w:val="25"/>
          <w:szCs w:val="25"/>
          <w:lang w:eastAsia="ru-RU"/>
        </w:rPr>
        <w:t xml:space="preserve">3</w:t>
      </w:r>
      <w:r>
        <w:rPr>
          <w:rFonts w:ascii="Times New Roman" w:hAnsi="Times New Roman"/>
          <w:sz w:val="25"/>
          <w:szCs w:val="25"/>
          <w:lang w:eastAsia="ru-RU"/>
        </w:rPr>
        <w:t xml:space="preserve">. Сторона, получившая письменное уведомление, указанное в </w:t>
      </w:r>
      <w:r>
        <w:rPr>
          <w:rFonts w:ascii="Times New Roman" w:hAnsi="Times New Roman"/>
          <w:sz w:val="25"/>
          <w:szCs w:val="25"/>
          <w:lang w:eastAsia="ru-RU"/>
        </w:rPr>
        <w:fldChar w:fldCharType="begin"/>
      </w:r>
      <w:r>
        <w:rPr>
          <w:rFonts w:ascii="Times New Roman" w:hAnsi="Times New Roman"/>
          <w:sz w:val="25"/>
          <w:szCs w:val="25"/>
          <w:lang w:eastAsia="ru-RU"/>
        </w:rPr>
        <w:instrText xml:space="preserve">HYPERLINK \l Par4  </w:instrText>
      </w:r>
      <w:r>
        <w:rPr>
          <w:rFonts w:ascii="Times New Roman" w:hAnsi="Times New Roman"/>
          <w:sz w:val="25"/>
          <w:szCs w:val="25"/>
          <w:lang w:eastAsia="ru-RU"/>
        </w:rPr>
        <w:fldChar w:fldCharType="separate"/>
      </w:r>
      <w:r>
        <w:rPr>
          <w:rFonts w:ascii="Times New Roman" w:hAnsi="Times New Roman"/>
          <w:sz w:val="25"/>
          <w:szCs w:val="25"/>
          <w:lang w:eastAsia="ru-RU"/>
        </w:rPr>
        <w:t xml:space="preserve">п. 1</w:t>
      </w:r>
      <w:r>
        <w:rPr>
          <w:rFonts w:ascii="Times New Roman" w:hAnsi="Times New Roman"/>
          <w:sz w:val="25"/>
          <w:szCs w:val="25"/>
          <w:lang w:eastAsia="ru-RU"/>
        </w:rPr>
        <w:t xml:space="preserve">1</w:t>
      </w:r>
      <w:r>
        <w:rPr>
          <w:rFonts w:ascii="Times New Roman" w:hAnsi="Times New Roman"/>
          <w:sz w:val="25"/>
          <w:szCs w:val="25"/>
          <w:lang w:eastAsia="ru-RU"/>
        </w:rPr>
        <w:t xml:space="preserve">.3</w:t>
      </w:r>
      <w:r>
        <w:rPr>
          <w:rFonts w:ascii="Times New Roman" w:hAnsi="Times New Roman"/>
          <w:sz w:val="25"/>
          <w:szCs w:val="25"/>
          <w:lang w:eastAsia="ru-RU"/>
        </w:rPr>
        <w:fldChar w:fldCharType="end"/>
      </w:r>
      <w:r>
        <w:rPr>
          <w:rFonts w:ascii="Times New Roman" w:hAnsi="Times New Roman"/>
          <w:sz w:val="25"/>
          <w:szCs w:val="25"/>
          <w:lang w:eastAsia="ru-RU"/>
        </w:rPr>
        <w:t xml:space="preserve">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</w:rPr>
        <w:t xml:space="preserve">.4</w:t>
      </w:r>
      <w:r>
        <w:rPr>
          <w:rFonts w:ascii="Times New Roman" w:hAnsi="Times New Roman" w:cs="Times New Roman"/>
          <w:sz w:val="25"/>
          <w:szCs w:val="25"/>
        </w:rPr>
        <w:t xml:space="preserve">. В случае нарушения одной Стороной обязательств воздерживаться от запрещенных в разделах Контракта действий и (или) н</w:t>
      </w:r>
      <w:r>
        <w:rPr>
          <w:rFonts w:ascii="Times New Roman" w:hAnsi="Times New Roman" w:cs="Times New Roman"/>
          <w:sz w:val="25"/>
          <w:szCs w:val="25"/>
        </w:rPr>
        <w:t xml:space="preserve">еполучения другой Стороной в установленный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</w:t>
      </w:r>
      <w:r>
        <w:rPr>
          <w:rFonts w:ascii="Times New Roman" w:hAnsi="Times New Roman" w:cs="Times New Roman"/>
          <w:sz w:val="25"/>
          <w:szCs w:val="25"/>
        </w:rPr>
        <w:t xml:space="preserve">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XI</w:t>
      </w:r>
      <w:r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I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. Прочие положения 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.1.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.4. Изменение условий Контракта при его исполнении не допускается, за исключением случаев, предусмотренных </w:t>
      </w: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>
        <w:rPr>
          <w:rFonts w:ascii="Times New Roman" w:hAnsi="Times New Roman" w:cs="Times New Roman"/>
          <w:sz w:val="25"/>
          <w:szCs w:val="25"/>
        </w:rPr>
        <w:t xml:space="preserve">статьей 95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  <w:r>
        <w:rPr>
          <w:rFonts w:ascii="Times New Roman" w:hAnsi="Times New Roman" w:cs="Times New Roman"/>
          <w:sz w:val="25"/>
          <w:szCs w:val="25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2</w:t>
      </w:r>
      <w:r>
        <w:rPr>
          <w:rFonts w:ascii="Times New Roman" w:hAnsi="Times New Roman" w:cs="Times New Roman"/>
          <w:sz w:val="25"/>
          <w:szCs w:val="25"/>
        </w:rPr>
        <w:t xml:space="preserve"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 w14:paraId="239B754C"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X</w:t>
      </w:r>
      <w:r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III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. Перечень приложений</w:t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cs="Times New Roman"/>
          <w:b/>
          <w:bCs/>
          <w:sz w:val="25"/>
          <w:szCs w:val="25"/>
          <w:highlight w:val="none"/>
        </w:rPr>
      </w:r>
    </w:p>
    <w:p>
      <w:pPr>
        <w:pStyle w:val="915"/>
        <w:pBdr/>
        <w:spacing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3</w:t>
      </w:r>
      <w:r>
        <w:rPr>
          <w:rFonts w:ascii="Times New Roman" w:hAnsi="Times New Roman" w:cs="Times New Roman"/>
          <w:sz w:val="25"/>
          <w:szCs w:val="25"/>
        </w:rPr>
        <w:t xml:space="preserve">.1. Неотъемлемой частью Контракта является следующее приложение: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спецификация – приложение №1;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 w14:paraId="00EA88EF"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sz w:val="25"/>
          <w:szCs w:val="25"/>
        </w:rPr>
        <w:t xml:space="preserve">техническая часть – приложение №2.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 w14:paraId="7F8A1272">
      <w:pPr>
        <w:pStyle w:val="915"/>
        <w:pBdr/>
        <w:spacing w:before="220"/>
        <w:ind w:firstLine="540"/>
        <w:contextualSpacing w:val="true"/>
        <w:jc w:val="both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p>
      <w:pPr>
        <w:pStyle w:val="915"/>
        <w:pBdr/>
        <w:spacing/>
        <w:ind/>
        <w:contextualSpacing w:val="true"/>
        <w:jc w:val="center"/>
        <w:outlineLvl w:val="1"/>
        <w:rPr>
          <w:rFonts w:ascii="Times New Roman" w:hAnsi="Times New Roman" w:cs="Times New Roman"/>
          <w:sz w:val="25"/>
          <w:szCs w:val="25"/>
          <w:highlight w:val="none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X</w:t>
      </w:r>
      <w:r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I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V. Адреса и банковские реквизиты Сторон</w:t>
      </w:r>
      <w:r>
        <w:rPr>
          <w:rFonts w:ascii="Times New Roman" w:hAnsi="Times New Roman" w:cs="Times New Roman"/>
          <w:sz w:val="25"/>
          <w:szCs w:val="25"/>
          <w:highlight w:val="none"/>
        </w:rPr>
      </w:r>
      <w:r>
        <w:rPr>
          <w:rFonts w:ascii="Times New Roman" w:hAnsi="Times New Roman" w:cs="Times New Roman"/>
          <w:sz w:val="25"/>
          <w:szCs w:val="25"/>
          <w:highlight w:val="none"/>
        </w:rPr>
      </w:r>
    </w:p>
    <w:tbl>
      <w:tblPr>
        <w:tblInd w:w="0" w:type="dxa"/>
        <w:tblW w:w="10387" w:type="dxa"/>
        <w:tblCellMar>
          <w:left w:w="62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64"/>
        <w:gridCol w:w="1"/>
        <w:gridCol w:w="5222"/>
      </w:tblGrid>
      <w:tr>
        <w:trPr>
          <w:trHeight w:val="256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4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3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ПОСТАВЩИК: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>
          <w:trHeight w:val="6661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4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Федеральное государственное бюджетное учреждение «Центр лабораторного анализа и технических измерений по Дальневосточному федеральному округу»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Адрес местонахождения: 680013, г. Хабаровск, пер. Кадровый, 6А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ИНН 2721111198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КПП 272101001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органа Федерального казначейства: УФК по Хабаровскому краю (ФГБУ «ЦЛАТИ по ДФО» л/с 20226Х84920)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Банковские реквизиты счета, открытого органу Федерального казначейства: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Казначейский счет (расчетный счет) 03214643000000012200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ЕКС (кор.счет) – 40102810845370000014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1"/>
              <w:widowControl w:val="false"/>
              <w:pBdr/>
              <w:spacing/>
              <w:ind/>
              <w:contextualSpacing w:val="true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ОКЦ №2 ДГУ Банка России //УФК по Хабаровскому краю г. Хабаровск</w:t>
            </w:r>
            <w:r>
              <w:rPr>
                <w:rFonts w:ascii="Times New Roman" w:hAnsi="Times New Roman"/>
                <w:sz w:val="25"/>
                <w:szCs w:val="25"/>
              </w:rPr>
            </w:r>
            <w:r>
              <w:rPr>
                <w:rFonts w:ascii="Times New Roman" w:hAnsi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БИК банка</w:t>
              <w:tab/>
              <w:t xml:space="preserve">010813050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ОКОПФ 20903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ОКВЭД2 71.20.1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Адрес электронной почты: habarovsk@clati-dv.ru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Телефон: (4212) 42-80-42, 42-87-91, 42-78-95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3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дрес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ИНН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КПП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  <w:t xml:space="preserve">НАИМЕНОВАНИЕ БАНКА</w:t>
            </w:r>
            <w: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к/с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БИК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Адрес электронной почты: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Телефон: 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r>
          </w:p>
        </w:tc>
      </w:tr>
      <w:tr>
        <w:trPr>
          <w:trHeight w:val="288"/>
        </w:trPr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ПОСТАВЩИК: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>
          <w:trHeight w:val="458"/>
        </w:trPr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(подпись, фамилия и инициалы)_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 _____________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г.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 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г.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(при наличии печати)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(при наличии печати)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</w:tbl>
    <w:p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br w:type="page" w:clear="all"/>
      </w:r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Приложение №1 к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К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онтракту </w:t>
      </w:r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от ________ 20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г. N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</w:t>
      </w:r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</w:p>
    <w:p>
      <w:pPr>
        <w:pStyle w:val="915"/>
        <w:pBdr/>
        <w:spacing/>
        <w:ind/>
        <w:contextualSpacing w:val="true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color w:val="000000"/>
          <w:sz w:val="25"/>
          <w:szCs w:val="25"/>
        </w:rPr>
      </w:pP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eastAsia="Times New Roman"/>
          <w:b/>
          <w:bCs/>
          <w:color w:val="000000"/>
          <w:sz w:val="25"/>
          <w:szCs w:val="25"/>
          <w:lang w:eastAsia="ru-RU"/>
        </w:rPr>
        <w:t xml:space="preserve">Спецификация</w:t>
      </w:r>
      <w:r>
        <w:rPr>
          <w:rFonts w:ascii="Times New Roman" w:hAnsi="Times New Roman" w:eastAsia="Times New Roman"/>
          <w:b/>
          <w:bCs/>
          <w:color w:val="000000"/>
          <w:sz w:val="25"/>
          <w:szCs w:val="25"/>
        </w:rPr>
      </w:r>
      <w:r>
        <w:rPr>
          <w:rFonts w:ascii="Times New Roman" w:hAnsi="Times New Roman" w:eastAsia="Times New Roman"/>
          <w:b/>
          <w:bCs/>
          <w:color w:val="000000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eastAsia="Times New Roman"/>
          <w:b/>
          <w:bCs/>
          <w:color w:val="000000"/>
          <w:sz w:val="25"/>
          <w:szCs w:val="25"/>
          <w:lang w:eastAsia="ru-RU"/>
        </w:rPr>
        <w:t xml:space="preserve">на поставку </w:t>
      </w:r>
      <w:r>
        <w:rPr>
          <w:rFonts w:ascii="Times New Roman" w:hAnsi="Times New Roman"/>
          <w:b/>
          <w:bCs/>
          <w:color w:val="000000"/>
          <w:sz w:val="25"/>
          <w:szCs w:val="25"/>
        </w:rPr>
        <w:t xml:space="preserve">___________</w:t>
      </w:r>
      <w:r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  <w:r>
        <w:rPr>
          <w:rFonts w:ascii="Times New Roman" w:hAnsi="Times New Roman" w:eastAsia="Times New Roman"/>
          <w:b/>
          <w:bCs/>
          <w:color w:val="000000"/>
          <w:sz w:val="25"/>
          <w:szCs w:val="25"/>
          <w:lang w:eastAsia="ru-RU"/>
        </w:rPr>
        <w:t xml:space="preserve">*</w:t>
      </w:r>
      <w:r>
        <w:rPr>
          <w:rFonts w:ascii="Times New Roman" w:hAnsi="Times New Roman" w:eastAsia="Times New Roman"/>
          <w:b/>
          <w:bCs/>
          <w:color w:val="000000"/>
          <w:sz w:val="25"/>
          <w:szCs w:val="25"/>
        </w:rPr>
      </w:r>
      <w:r>
        <w:rPr>
          <w:rFonts w:ascii="Times New Roman" w:hAnsi="Times New Roman" w:eastAsia="Times New Roman"/>
          <w:b/>
          <w:bCs/>
          <w:color w:val="000000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color w:val="000000"/>
          <w:sz w:val="25"/>
          <w:szCs w:val="25"/>
        </w:rPr>
      </w:pP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</w:p>
    <w:tbl>
      <w:tblPr>
        <w:jc w:val="center"/>
        <w:tblInd w:w="0" w:type="dxa"/>
        <w:tblW w:w="10393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2605"/>
        <w:gridCol w:w="1409"/>
        <w:gridCol w:w="1351"/>
        <w:gridCol w:w="1496"/>
        <w:gridCol w:w="1529"/>
        <w:gridCol w:w="1256"/>
      </w:tblGrid>
      <w:tr>
        <w:trPr>
          <w:cantSplit/>
          <w:trHeight w:val="134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5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Наименование</w:t>
              <w:br w:type="textWrapping" w:clear="all"/>
              <w:t xml:space="preserve">объекта закупки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_____*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(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товарный знак –при его наличии, </w:t>
            </w:r>
            <w:r>
              <w:rPr>
                <w:rFonts w:ascii="Times New Roman" w:hAnsi="Times New Roman"/>
                <w:bCs/>
                <w:i/>
                <w:color w:val="000000"/>
                <w:sz w:val="22"/>
                <w:szCs w:val="22"/>
              </w:rPr>
              <w:t xml:space="preserve">наименование страны происхождения товара 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9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Ед. измерения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1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Количество, в ед.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6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Цена** за ед., руб. (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включая НДС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9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Общая стоимость, руб. (</w:t>
            </w:r>
            <w:r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включая НДС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6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Примечание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2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5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9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51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6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9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6" w:type="dxa"/>
            <w:vAlign w:val="top"/>
            <w:textDirection w:val="lrTb"/>
            <w:noWrap w:val="false"/>
          </w:tcPr>
          <w:p>
            <w:pPr>
              <w:pStyle w:val="911"/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134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10"/>
              </w:numPr>
              <w:pBdr/>
              <w:spacing w:after="0" w:line="240" w:lineRule="atLeast"/>
              <w:ind w:firstLine="0" w:left="0"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5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1409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none" w:color="auto" w:sz="255" w:space="0"/>
              <w:bottom w:val="single" w:color="auto" w:sz="4" w:space="0"/>
              <w:right w:val="single" w:color="auto" w:sz="4" w:space="0"/>
            </w:tcBorders>
            <w:tcW w:w="1351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96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tLeast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9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tLeast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6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tLeast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cantSplit/>
          <w:trHeight w:val="3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7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after="0" w:line="240" w:lineRule="atLeast"/>
              <w:ind/>
              <w:contextualSpacing w:val="tru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46" w:type="dxa"/>
            <w:vAlign w:val="center"/>
            <w:textDirection w:val="lrTb"/>
            <w:noWrap w:val="false"/>
          </w:tcPr>
          <w:p>
            <w:pPr>
              <w:pStyle w:val="911"/>
              <w:pBdr/>
              <w:spacing w:line="240" w:lineRule="atLeast"/>
              <w:ind/>
              <w:contextualSpacing w:val="true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ИТОГО: 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r>
          </w:p>
        </w:tc>
      </w:tr>
    </w:tbl>
    <w:p>
      <w:pPr>
        <w:pStyle w:val="911"/>
        <w:widowControl w:val="false"/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color w:val="000000"/>
          <w:sz w:val="25"/>
          <w:szCs w:val="25"/>
        </w:rPr>
      </w:pP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</w:p>
    <w:p>
      <w:pPr>
        <w:pStyle w:val="911"/>
        <w:pBdr/>
        <w:spacing w:after="0" w:line="240" w:lineRule="auto"/>
        <w:ind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*Примечание: </w:t>
      </w:r>
      <w:r>
        <w:rPr>
          <w:rFonts w:ascii="Times New Roman" w:hAnsi="Times New Roman"/>
          <w:color w:val="000000"/>
          <w:sz w:val="25"/>
          <w:szCs w:val="25"/>
        </w:rPr>
        <w:t xml:space="preserve">наименование товара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</w:rPr>
        <w:t xml:space="preserve">– </w:t>
      </w:r>
      <w:r>
        <w:rPr>
          <w:rFonts w:ascii="Times New Roman" w:hAnsi="Times New Roman"/>
          <w:color w:val="000000"/>
          <w:sz w:val="25"/>
          <w:szCs w:val="25"/>
        </w:rPr>
        <w:t xml:space="preserve">товар </w:t>
      </w:r>
      <w:r>
        <w:rPr>
          <w:rFonts w:ascii="Times New Roman" w:hAnsi="Times New Roman"/>
          <w:color w:val="000000"/>
          <w:sz w:val="25"/>
          <w:szCs w:val="25"/>
        </w:rPr>
        <w:t xml:space="preserve">должен быть новым, ранее не использованным (не был в употреблении, не прошел ремонт, </w:t>
      </w:r>
      <w:r>
        <w:rPr>
          <w:rFonts w:ascii="Times New Roman" w:hAnsi="Times New Roman"/>
          <w:color w:val="000000"/>
          <w:sz w:val="25"/>
          <w:szCs w:val="25"/>
        </w:rPr>
        <w:t xml:space="preserve">в т</w:t>
      </w:r>
      <w:r>
        <w:rPr>
          <w:rFonts w:ascii="Times New Roman" w:hAnsi="Times New Roman"/>
          <w:color w:val="000000"/>
          <w:sz w:val="25"/>
          <w:szCs w:val="25"/>
        </w:rPr>
        <w:t xml:space="preserve">ом числе восстановление, замену составных частей, восстановление потребительских свойств), с функциональными, техническими и качественными характеристиками, эксплуатационными характеристиками объекта закупки (при необходимости), указанными в приложении № 2</w:t>
      </w:r>
      <w:r>
        <w:rPr>
          <w:rFonts w:ascii="Times New Roman" w:hAnsi="Times New Roman"/>
          <w:color w:val="000000"/>
          <w:sz w:val="25"/>
          <w:szCs w:val="25"/>
        </w:rPr>
      </w:r>
      <w:r>
        <w:rPr>
          <w:rFonts w:ascii="Times New Roman" w:hAnsi="Times New Roman"/>
          <w:color w:val="000000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both"/>
        <w:rPr>
          <w:rFonts w:ascii="Times New Roman" w:hAnsi="Times New Roman" w:eastAsia="Times New Roman"/>
          <w:color w:val="000000"/>
          <w:sz w:val="25"/>
          <w:szCs w:val="25"/>
        </w:rPr>
      </w:pP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  <w:t xml:space="preserve">**Примечание: цена включает в себя: стоимость Товара, расходы, свя</w:t>
      </w: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  <w:t xml:space="preserve">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  <w:t xml:space="preserve">.</w:t>
      </w:r>
      <w:r>
        <w:rPr>
          <w:rFonts w:ascii="Times New Roman" w:hAnsi="Times New Roman" w:eastAsia="Times New Roman"/>
          <w:color w:val="000000"/>
          <w:sz w:val="25"/>
          <w:szCs w:val="25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both"/>
        <w:rPr>
          <w:rFonts w:ascii="Times New Roman" w:hAnsi="Times New Roman" w:eastAsia="Times New Roman"/>
          <w:color w:val="000000"/>
          <w:sz w:val="25"/>
          <w:szCs w:val="25"/>
        </w:rPr>
      </w:pPr>
      <w:r>
        <w:rPr>
          <w:rFonts w:ascii="Times New Roman" w:hAnsi="Times New Roman" w:eastAsia="Times New Roman"/>
          <w:color w:val="000000"/>
          <w:sz w:val="25"/>
          <w:szCs w:val="25"/>
          <w:lang w:eastAsia="ru-RU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  <w:r>
        <w:rPr>
          <w:rFonts w:ascii="Times New Roman" w:hAnsi="Times New Roman" w:eastAsia="Times New Roman"/>
          <w:color w:val="000000"/>
          <w:sz w:val="25"/>
          <w:szCs w:val="25"/>
        </w:rPr>
      </w:r>
    </w:p>
    <w:p>
      <w:pPr>
        <w:pStyle w:val="935"/>
        <w:pBdr/>
        <w:spacing/>
        <w:ind/>
        <w:jc w:val="left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ru-RU"/>
        </w:rPr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>
      <w:pPr>
        <w:pStyle w:val="911"/>
        <w:widowControl w:val="false"/>
        <w:pBdr/>
        <w:spacing w:after="0" w:line="240" w:lineRule="auto"/>
        <w:ind/>
        <w:contextualSpacing w:val="true"/>
        <w:jc w:val="both"/>
        <w:rPr>
          <w:rFonts w:ascii="Times New Roman" w:hAnsi="Times New Roman" w:eastAsia="Times New Roman"/>
          <w:sz w:val="25"/>
          <w:szCs w:val="25"/>
        </w:rPr>
      </w:pPr>
      <w:r>
        <w:rPr>
          <w:rFonts w:ascii="Times New Roman" w:hAnsi="Times New Roman" w:eastAsia="Times New Roman"/>
          <w:sz w:val="25"/>
          <w:szCs w:val="25"/>
          <w:lang w:eastAsia="ru-RU"/>
        </w:rPr>
      </w:r>
      <w:r>
        <w:rPr>
          <w:rFonts w:ascii="Times New Roman" w:hAnsi="Times New Roman" w:eastAsia="Times New Roman"/>
          <w:sz w:val="25"/>
          <w:szCs w:val="25"/>
        </w:rPr>
      </w:r>
      <w:r>
        <w:rPr>
          <w:rFonts w:ascii="Times New Roman" w:hAnsi="Times New Roman" w:eastAsia="Times New Roman"/>
          <w:sz w:val="25"/>
          <w:szCs w:val="25"/>
        </w:rPr>
      </w:r>
    </w:p>
    <w:tbl>
      <w:tblPr>
        <w:tblInd w:w="0" w:type="dxa"/>
        <w:tblW w:w="10387" w:type="dxa"/>
        <w:tblCellMar>
          <w:left w:w="62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65"/>
        <w:gridCol w:w="5222"/>
      </w:tblGrid>
      <w:tr>
        <w:trPr>
          <w:trHeight w:val="288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ПОСТАВЩИК: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>
          <w:trHeight w:val="458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 _____________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г.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_____________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г.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165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(при наличии печати)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22" w:type="dxa"/>
            <w:vAlign w:val="top"/>
            <w:textDirection w:val="lrTb"/>
            <w:noWrap w:val="false"/>
          </w:tcPr>
          <w:p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(при наличии печати)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</w:tbl>
    <w:p w14:paraId="7720F15D">
      <w:pPr>
        <w:pStyle w:val="915"/>
        <w:pBdr/>
        <w:spacing/>
        <w:ind/>
        <w:contextualSpacing w:val="true"/>
        <w:jc w:val="left"/>
        <w:rPr>
          <w:rFonts w:ascii="Times New Roman" w:hAnsi="Times New Roman" w:cs="Times New Roman"/>
          <w:color w:val="000000"/>
          <w:sz w:val="25"/>
          <w:szCs w:val="25"/>
          <w:highlight w:val="none"/>
        </w:rPr>
      </w:pP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</w:p>
    <w:p w14:paraId="4FAEECB5">
      <w:pPr>
        <w:pStyle w:val="915"/>
        <w:pBdr/>
        <w:spacing/>
        <w:ind/>
        <w:contextualSpacing w:val="true"/>
        <w:jc w:val="left"/>
        <w:rPr>
          <w:rFonts w:ascii="Times New Roman" w:hAnsi="Times New Roman" w:cs="Times New Roman"/>
          <w:color w:val="000000"/>
          <w:sz w:val="25"/>
          <w:szCs w:val="25"/>
          <w:highlight w:val="none"/>
        </w:rPr>
      </w:pP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</w:p>
    <w:p w14:paraId="1441780C"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  <w:highlight w:val="none"/>
        </w:rPr>
      </w:pP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</w:p>
    <w:p w14:paraId="235492F1"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  <w:highlight w:val="none"/>
        </w:rPr>
      </w:pP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</w:p>
    <w:p w14:paraId="7DBF4B37"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  <w:highlight w:val="none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Приложение №2 к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К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онтракту </w:t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  <w:r>
        <w:rPr>
          <w:rFonts w:ascii="Times New Roman" w:hAnsi="Times New Roman" w:cs="Times New Roman"/>
          <w:color w:val="000000"/>
          <w:sz w:val="25"/>
          <w:szCs w:val="25"/>
          <w:highlight w:val="none"/>
        </w:rPr>
      </w:r>
    </w:p>
    <w:p w14:paraId="04CD02A6">
      <w:pPr>
        <w:pStyle w:val="915"/>
        <w:pBdr/>
        <w:spacing/>
        <w:ind/>
        <w:contextualSpacing w:val="true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от ________ 20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г. N 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_____</w:t>
      </w:r>
      <w:r>
        <w:rPr>
          <w:rFonts w:ascii="Times New Roman" w:hAnsi="Times New Roman" w:cs="Times New Roman"/>
          <w:color w:val="000000"/>
          <w:sz w:val="25"/>
          <w:szCs w:val="25"/>
        </w:rPr>
      </w:r>
      <w:r>
        <w:rPr>
          <w:rFonts w:ascii="Times New Roman" w:hAnsi="Times New Roman" w:cs="Times New Roman"/>
          <w:color w:val="000000"/>
          <w:sz w:val="25"/>
          <w:szCs w:val="25"/>
        </w:rPr>
      </w:r>
    </w:p>
    <w:p w14:paraId="70579312">
      <w:pPr>
        <w:pBdr/>
        <w:spacing w:line="240" w:lineRule="exact"/>
        <w:ind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highlight w:val="none"/>
          <w:shd w:val="clear" w:color="auto" w:fill="ffffff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</w:p>
    <w:p w14:paraId="24BD3DBB">
      <w:pPr>
        <w:pBdr/>
        <w:spacing w:line="240" w:lineRule="exact"/>
        <w:ind/>
        <w:jc w:val="center"/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</w:rPr>
      </w:r>
    </w:p>
    <w:p w14:paraId="2E94289B">
      <w:pPr>
        <w:pBdr/>
        <w:spacing w:line="240" w:lineRule="exact"/>
        <w:ind/>
        <w:jc w:val="center"/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5"/>
          <w:szCs w:val="25"/>
          <w:shd w:val="clear" w:color="auto" w:fill="ffffff"/>
        </w:rPr>
        <w:t xml:space="preserve">ТЕХНИЧЕСКАЯ ЧАСТЬ</w:t>
      </w:r>
      <w:r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  <w:shd w:val="clear" w:color="auto" w:fill="ffffff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  <w:highlight w:val="none"/>
          <w:shd w:val="clear" w:color="auto" w:fill="ffffff"/>
        </w:rPr>
      </w:r>
    </w:p>
    <w:p w14:paraId="59C14E87">
      <w:pPr>
        <w:pStyle w:val="934"/>
        <w:numPr>
          <w:ilvl w:val="0"/>
          <w:numId w:val="11"/>
        </w:numPr>
        <w:pBdr/>
        <w:tabs>
          <w:tab w:val="left" w:leader="none" w:pos="426"/>
        </w:tabs>
        <w:spacing w:after="0"/>
        <w:ind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ar-SA"/>
        </w:rPr>
        <w:t xml:space="preserve">Предмет закупки: </w:t>
      </w:r>
      <w:r>
        <w:rPr>
          <w:rFonts w:ascii="Times New Roman" w:hAnsi="Times New Roman" w:eastAsia="Times New Roman" w:cs="Times New Roman"/>
          <w:spacing w:val="-6"/>
          <w:sz w:val="25"/>
          <w:szCs w:val="25"/>
          <w:lang w:eastAsia="ar-SA"/>
        </w:rPr>
        <w:t xml:space="preserve">Термометры</w:t>
      </w:r>
      <w:r>
        <w:rPr>
          <w:rFonts w:ascii="Times New Roman" w:hAnsi="Times New Roman" w:eastAsia="Times New Roman" w:cs="Times New Roman"/>
          <w:sz w:val="25"/>
          <w:szCs w:val="25"/>
          <w:lang w:eastAsia="ar-SA"/>
        </w:rPr>
        <w:t xml:space="preserve">; КТРУ - </w:t>
      </w:r>
      <w:hyperlink r:id="rId9" w:tooltip="https://zakupki.gov.ru/epz/ktru/ktruCard/ktru-description.html?itemId=26.51.51.110-00000426&amp;backUrl=" w:history="1">
        <w:r>
          <w:rPr>
            <w:rStyle w:val="897"/>
            <w:rFonts w:ascii="Times New Roman" w:hAnsi="Times New Roman" w:eastAsia="Times New Roman" w:cs="Times New Roman"/>
            <w:color w:val="000000" w:themeColor="text1"/>
            <w:sz w:val="25"/>
            <w:szCs w:val="25"/>
            <w:highlight w:val="white"/>
            <w:u w:val="none"/>
          </w:rPr>
          <w:t xml:space="preserve">26.51.51.110-00000</w:t>
        </w:r>
        <w:r>
          <w:rPr>
            <w:rStyle w:val="897"/>
            <w:rFonts w:ascii="Times New Roman" w:hAnsi="Times New Roman" w:eastAsia="Times New Roman" w:cs="Times New Roman"/>
            <w:color w:val="000000" w:themeColor="text1"/>
            <w:sz w:val="25"/>
            <w:szCs w:val="25"/>
            <w:highlight w:val="none"/>
            <w:u w:val="none"/>
          </w:rPr>
          <w:t xml:space="preserve">444</w:t>
        </w:r>
      </w:hyperlink>
      <w:r>
        <w:rPr>
          <w:rFonts w:ascii="Times New Roman" w:hAnsi="Times New Roman" w:cs="Times New Roman"/>
          <w:color w:val="000000" w:themeColor="text1"/>
          <w:sz w:val="25"/>
          <w:szCs w:val="25"/>
        </w:rPr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</w:r>
    </w:p>
    <w:p w14:paraId="047B6F80">
      <w:pPr>
        <w:pStyle w:val="934"/>
        <w:numPr>
          <w:ilvl w:val="0"/>
          <w:numId w:val="11"/>
        </w:numPr>
        <w:pBdr/>
        <w:tabs>
          <w:tab w:val="left" w:leader="none" w:pos="426"/>
        </w:tabs>
        <w:spacing w:after="0"/>
        <w:ind w:hanging="426" w:left="426"/>
        <w:jc w:val="both"/>
        <w:rPr>
          <w:rFonts w:ascii="Times New Roman" w:hAnsi="Times New Roman" w:eastAsia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ar-SA"/>
        </w:rPr>
        <w:t xml:space="preserve">Место и срок </w:t>
      </w: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ar-SA"/>
        </w:rPr>
        <w:t xml:space="preserve">поставки товара: </w:t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  <w:r>
        <w:rPr>
          <w:rFonts w:ascii="Times New Roman" w:hAnsi="Times New Roman" w:eastAsia="Times New Roman" w:cs="Times New Roman"/>
          <w:b/>
          <w:bCs/>
          <w:sz w:val="25"/>
          <w:szCs w:val="25"/>
        </w:rPr>
      </w:r>
    </w:p>
    <w:p w14:paraId="36E17153">
      <w:pPr>
        <w:pBdr/>
        <w:tabs>
          <w:tab w:val="left" w:leader="none" w:pos="426"/>
        </w:tabs>
        <w:spacing w:after="0"/>
        <w:ind w:firstLine="0" w:left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5"/>
          <w:szCs w:val="25"/>
          <w:lang w:eastAsia="ar-SA"/>
        </w:rPr>
        <w:t xml:space="preserve">675000, Амурская область, г. Благовещенск, ул. Ленина, д. 165Д, в течение 30 (тридцати) рабочих дней.</w:t>
      </w: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</w:p>
    <w:p w14:paraId="4323143D">
      <w:pPr>
        <w:pStyle w:val="934"/>
        <w:numPr>
          <w:ilvl w:val="0"/>
          <w:numId w:val="11"/>
        </w:numPr>
        <w:pBdr/>
        <w:tabs>
          <w:tab w:val="left" w:leader="none" w:pos="426"/>
        </w:tabs>
        <w:spacing w:after="0"/>
        <w:ind w:firstLine="0" w:left="0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5"/>
          <w:szCs w:val="25"/>
          <w:lang w:eastAsia="ar-SA"/>
        </w:rPr>
        <w:t xml:space="preserve">Требования к товару (работам, услугам): </w:t>
      </w: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</w:p>
    <w:tbl>
      <w:tblPr>
        <w:tblStyle w:val="724"/>
        <w:tblInd w:w="-34" w:type="dxa"/>
        <w:tblW w:w="5032" w:type="pct"/>
        <w:tblBorders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276"/>
        <w:gridCol w:w="1417"/>
        <w:gridCol w:w="1134"/>
        <w:gridCol w:w="1134"/>
        <w:gridCol w:w="1701"/>
        <w:gridCol w:w="1082"/>
        <w:gridCol w:w="472"/>
      </w:tblGrid>
      <w:tr>
        <w:trPr>
          <w:trHeight w:val="3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vMerge w:val="restart"/>
            <w:textDirection w:val="lrTb"/>
            <w:noWrap w:val="false"/>
          </w:tcPr>
          <w:p w14:paraId="1161BF7F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 w14:paraId="3CA94D25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Наименование товара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 w14:paraId="641546A3">
            <w:pPr>
              <w:pStyle w:val="915"/>
              <w:pBdr/>
              <w:spacing/>
              <w:ind w:right="-57" w:left="-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Код КТРУ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 w14:paraId="56A77277">
            <w:pPr>
              <w:pStyle w:val="915"/>
              <w:pBdr/>
              <w:spacing/>
              <w:ind w:right="-57" w:lef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 w14:paraId="3B60C85F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Характеристики товара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82" w:type="dxa"/>
            <w:vAlign w:val="center"/>
            <w:vMerge w:val="restart"/>
            <w:textDirection w:val="lrTb"/>
            <w:noWrap w:val="false"/>
          </w:tcPr>
          <w:p w14:paraId="536104F6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72" w:type="dxa"/>
            <w:vAlign w:val="center"/>
            <w:vMerge w:val="restart"/>
            <w:textDirection w:val="lrTb"/>
            <w:noWrap w:val="false"/>
          </w:tcPr>
          <w:p w14:paraId="570EF31F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4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vMerge w:val="continue"/>
            <w:textDirection w:val="lrTb"/>
            <w:noWrap w:val="false"/>
          </w:tcPr>
          <w:p w14:paraId="2D0DDF8E"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 w14:paraId="27443869"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 w14:paraId="1D8F390C"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 w14:paraId="6BA26CEE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Наименование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 w14:paraId="4D9A6B4E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показателя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 w14:paraId="3CC9D6D7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Значение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 w14:paraId="4EE689D1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показателя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 w14:paraId="3DA26C99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  <w:p w14:paraId="657CBDCE">
            <w:pPr>
              <w:pStyle w:val="894"/>
              <w:pBdr/>
              <w:spacing/>
              <w:ind w:right="-57" w:lef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показателя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 w14:paraId="16B17F16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2"/>
                <w:szCs w:val="22"/>
              </w:rPr>
              <w:t xml:space="preserve">Тип характеристики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yellow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vMerge w:val="continue"/>
            <w:textDirection w:val="lrTb"/>
            <w:noWrap w:val="false"/>
          </w:tcPr>
          <w:p w14:paraId="752ED6DC"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2" w:type="dxa"/>
            <w:vAlign w:val="center"/>
            <w:vMerge w:val="continue"/>
            <w:textDirection w:val="lrTb"/>
            <w:noWrap w:val="false"/>
          </w:tcPr>
          <w:p w14:paraId="6F874BF9">
            <w:pPr>
              <w:pBdr/>
              <w:spacing/>
              <w:ind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Align w:val="center"/>
            <w:vMerge w:val="restart"/>
            <w:textDirection w:val="lrTb"/>
            <w:noWrap w:val="false"/>
          </w:tcPr>
          <w:p w14:paraId="7F96F210">
            <w:pPr>
              <w:pBdr/>
              <w:spacing/>
              <w:ind w:right="-57" w:left="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restart"/>
            <w:textDirection w:val="lrTb"/>
            <w:noWrap w:val="false"/>
          </w:tcPr>
          <w:p w14:paraId="51754A72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highlight w:val="white"/>
              </w:rPr>
              <w:t xml:space="preserve">Термометр стеклянный ртутный для точных измерений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restart"/>
            <w:textDirection w:val="lrTb"/>
            <w:noWrap w:val="false"/>
          </w:tcPr>
          <w:p w14:paraId="5CF5D51D">
            <w:pPr>
              <w:pBdr/>
              <w:spacing/>
              <w:ind w:left="-108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hyperlink r:id="rId10" w:tooltip="https://zakupki.gov.ru/epz/ktru/ktruCard/ktru-description.html?itemId=26.51.51.110-00000426&amp;backUrl=" w:history="1">
              <w:r>
                <w:rPr>
                  <w:rStyle w:val="897"/>
                  <w:rFonts w:ascii="Times New Roman" w:hAnsi="Times New Roman"/>
                  <w:i/>
                  <w:iCs/>
                  <w:color w:val="000000" w:themeColor="text1"/>
                  <w:sz w:val="22"/>
                  <w:szCs w:val="22"/>
                  <w:highlight w:val="white"/>
                  <w:u w:val="none"/>
                </w:rPr>
                <w:t xml:space="preserve">26.51.51.110-0</w:t>
              </w:r>
              <w:r>
                <w:rPr>
                  <w:rStyle w:val="897"/>
                  <w:rFonts w:ascii="Times New Roman" w:hAnsi="Times New Roman"/>
                  <w:i/>
                  <w:iCs/>
                  <w:color w:val="000000" w:themeColor="text1"/>
                  <w:sz w:val="22"/>
                  <w:szCs w:val="22"/>
                  <w:u w:val="none"/>
                </w:rPr>
                <w:t xml:space="preserve">00004</w:t>
              </w:r>
              <w:r>
                <w:rPr>
                  <w:rStyle w:val="897"/>
                  <w:rFonts w:ascii="Times New Roman" w:hAnsi="Times New Roman"/>
                  <w:i/>
                  <w:iCs/>
                  <w:color w:val="000000" w:themeColor="text1"/>
                  <w:sz w:val="22"/>
                  <w:szCs w:val="22"/>
                  <w:u w:val="none"/>
                  <w:lang w:val="en-US"/>
                </w:rPr>
                <w:t xml:space="preserve">44</w:t>
              </w:r>
            </w:hyperlink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vMerge w:val="restart"/>
            <w:textDirection w:val="lrTb"/>
            <w:noWrap w:val="false"/>
          </w:tcPr>
          <w:p w14:paraId="0EF47123">
            <w:pPr>
              <w:pBdr/>
              <w:spacing/>
              <w:ind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Группа термометра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vMerge w:val="restart"/>
            <w:textDirection w:val="lrTb"/>
            <w:noWrap w:val="false"/>
          </w:tcPr>
          <w:p w14:paraId="44906CD9"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II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vMerge w:val="restart"/>
            <w:textDirection w:val="lrTb"/>
            <w:noWrap w:val="false"/>
          </w:tcPr>
          <w:p w14:paraId="3454FC06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vMerge w:val="restart"/>
            <w:textDirection w:val="lrTb"/>
            <w:noWrap w:val="false"/>
          </w:tcPr>
          <w:p w14:paraId="19999379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restart"/>
            <w:textDirection w:val="lrTb"/>
            <w:noWrap w:val="false"/>
          </w:tcPr>
          <w:p w14:paraId="5465C382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2"/>
                <w:szCs w:val="22"/>
              </w:rPr>
              <w:t xml:space="preserve">шт</w:t>
            </w:r>
            <w:r>
              <w:rPr>
                <w:rFonts w:ascii="Times New Roman" w:hAnsi="Times New Roman" w:eastAsiaTheme="minorHAnsi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restart"/>
            <w:textDirection w:val="lrTb"/>
            <w:noWrap w:val="false"/>
          </w:tcPr>
          <w:p w14:paraId="37F9A366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425" w:type="dxa"/>
            <w:vAlign w:val="center"/>
            <w:vMerge w:val="continue"/>
            <w:textDirection w:val="lrTb"/>
            <w:noWrap w:val="false"/>
          </w:tcPr>
          <w:p w14:paraId="1388D0FC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5C8FB903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46B508F3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417" w:type="dxa"/>
            <w:vAlign w:val="center"/>
            <w:vMerge w:val="restart"/>
            <w:textDirection w:val="lrTb"/>
            <w:noWrap w:val="false"/>
          </w:tcPr>
          <w:p w14:paraId="150103D0">
            <w:pPr>
              <w:pBdr/>
              <w:spacing/>
              <w:ind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Номер термометра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vMerge w:val="restart"/>
            <w:textDirection w:val="lrTb"/>
            <w:noWrap w:val="false"/>
          </w:tcPr>
          <w:p w14:paraId="730D32EB"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vMerge w:val="restart"/>
            <w:textDirection w:val="lrTb"/>
            <w:noWrap w:val="false"/>
          </w:tcPr>
          <w:p w14:paraId="4609D69D"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vMerge w:val="restart"/>
            <w:textDirection w:val="lrTb"/>
            <w:noWrap w:val="false"/>
          </w:tcPr>
          <w:p w14:paraId="497E3516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26201C87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color w:val="000000" w:themeColor="text1"/>
                <w:sz w:val="20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3033EEE1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76"/>
        </w:trPr>
        <w:tc>
          <w:tcPr>
            <w:shd w:val="clear" w:color="ffffff" w:fill="ffffff"/>
            <w:tcBorders/>
            <w:tcW w:w="425" w:type="dxa"/>
            <w:vAlign w:val="center"/>
            <w:vMerge w:val="continue"/>
            <w:textDirection w:val="lrTb"/>
            <w:noWrap w:val="false"/>
          </w:tcPr>
          <w:p w14:paraId="131C575A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4E34323E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72565EA2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417" w:type="dxa"/>
            <w:vAlign w:val="center"/>
            <w:vMerge w:val="restart"/>
            <w:textDirection w:val="lrTb"/>
            <w:noWrap w:val="false"/>
          </w:tcPr>
          <w:p w14:paraId="6CBE7F05">
            <w:pPr>
              <w:pBdr/>
              <w:spacing/>
              <w:ind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Цена деления шкалы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vMerge w:val="restart"/>
            <w:textDirection w:val="lrTb"/>
            <w:noWrap w:val="false"/>
          </w:tcPr>
          <w:p w14:paraId="351AC7CD"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0,1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vMerge w:val="restart"/>
            <w:textDirection w:val="lrTb"/>
            <w:noWrap w:val="false"/>
          </w:tcPr>
          <w:p w14:paraId="4CD058E1">
            <w:pPr>
              <w:pBdr/>
              <w:spacing/>
              <w:ind w:right="-57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 xml:space="preserve">Градус Цельсия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vMerge w:val="restart"/>
            <w:textDirection w:val="lrTb"/>
            <w:noWrap w:val="false"/>
          </w:tcPr>
          <w:p w14:paraId="11E8140F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Количественная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4A16B1C4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color w:val="000000" w:themeColor="text1"/>
                <w:sz w:val="20"/>
              </w:rPr>
            </w:pP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  <w:r>
              <w:rPr>
                <w:rFonts w:ascii="Times New Roman" w:hAnsi="Times New Roman" w:eastAsiaTheme="minorHAnsi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58FCF55C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Align w:val="center"/>
            <w:vMerge w:val="continue"/>
            <w:textDirection w:val="lrTb"/>
            <w:noWrap w:val="false"/>
          </w:tcPr>
          <w:p w14:paraId="00EE0998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718BA0A9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33C6B532"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1417" w:type="dxa"/>
            <w:vAlign w:val="center"/>
            <w:textDirection w:val="lrTb"/>
            <w:noWrap w:val="false"/>
          </w:tcPr>
          <w:p w14:paraId="62AC0E2A"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Тип термометра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436E250D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ТЛ-4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33DE9A60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textDirection w:val="lrTb"/>
            <w:noWrap w:val="false"/>
          </w:tcPr>
          <w:p w14:paraId="25655B62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68925429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24564972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  <w:r>
              <w:rPr>
                <w:rFonts w:ascii="Times New Roman" w:hAnsi="Times New Roman"/>
                <w:color w:val="000000" w:themeColor="text1"/>
                <w:sz w:val="20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Merge w:val="continue"/>
            <w:textDirection w:val="lrTb"/>
            <w:noWrap w:val="false"/>
          </w:tcPr>
          <w:p w14:paraId="35279015">
            <w:pPr>
              <w:pStyle w:val="934"/>
              <w:pBdr/>
              <w:spacing w:after="0"/>
              <w:ind w:right="-57" w:left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5E96B2CE"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182D07D6"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textDirection w:val="lrTb"/>
            <w:noWrap w:val="false"/>
          </w:tcPr>
          <w:p w14:paraId="013F7D47"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Диапазон измерений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7288CB5D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от 0 до +55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3C504E57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Градус Цельсия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textDirection w:val="lrTb"/>
            <w:noWrap w:val="false"/>
          </w:tcPr>
          <w:p w14:paraId="7BFAEFAF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Количественная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15A5B103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09094263"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Merge w:val="continue"/>
            <w:textDirection w:val="lrTb"/>
            <w:noWrap w:val="false"/>
          </w:tcPr>
          <w:p w14:paraId="71E48DFD"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38576978"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6B21F64C"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textDirection w:val="lrTb"/>
            <w:noWrap w:val="false"/>
          </w:tcPr>
          <w:p w14:paraId="36CBAE85"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Термометрическая жидкость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1E0AEA5E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Ртуть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22CF2777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textDirection w:val="lrTb"/>
            <w:noWrap w:val="false"/>
          </w:tcPr>
          <w:p w14:paraId="5EA099D6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70E7E3C9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73B5A4B0"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Merge w:val="continue"/>
            <w:textDirection w:val="lrTb"/>
            <w:noWrap w:val="false"/>
          </w:tcPr>
          <w:p w14:paraId="1AAC32EE"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5DC7A7CC"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3BD8C9FB"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textDirection w:val="lrTb"/>
            <w:noWrap w:val="false"/>
          </w:tcPr>
          <w:p w14:paraId="28E5B797"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Нормативный документ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7FB50239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ТУ 25-2021.003-88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4BAAA60C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textDirection w:val="lrTb"/>
            <w:noWrap w:val="false"/>
          </w:tcPr>
          <w:p w14:paraId="787C166F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3421201B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60C6D28C"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Merge w:val="continue"/>
            <w:textDirection w:val="lrTb"/>
            <w:noWrap w:val="false"/>
          </w:tcPr>
          <w:p w14:paraId="71271F18"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7DC9F269"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21AEE630"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textDirection w:val="lrTb"/>
            <w:noWrap w:val="false"/>
          </w:tcPr>
          <w:p w14:paraId="21C25554"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Первичная поверка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6D9C40FE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Наличие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0094E4FC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textDirection w:val="lrTb"/>
            <w:noWrap w:val="false"/>
          </w:tcPr>
          <w:p w14:paraId="55A42293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30C9CACB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0767FE1D"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4"/>
        </w:trPr>
        <w:tc>
          <w:tcPr>
            <w:shd w:val="clear" w:color="ffffff" w:fill="ffffff"/>
            <w:tcBorders/>
            <w:tcW w:w="425" w:type="dxa"/>
            <w:vMerge w:val="continue"/>
            <w:textDirection w:val="lrTb"/>
            <w:noWrap w:val="false"/>
          </w:tcPr>
          <w:p w14:paraId="2BE352CD">
            <w:pPr>
              <w:pBdr/>
              <w:spacing/>
              <w:ind w:right="-57"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00EBC830">
            <w:pPr>
              <w:pBdr/>
              <w:spacing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276" w:type="dxa"/>
            <w:vAlign w:val="center"/>
            <w:vMerge w:val="continue"/>
            <w:textDirection w:val="lrTb"/>
            <w:noWrap w:val="false"/>
          </w:tcPr>
          <w:p w14:paraId="469D97E6">
            <w:pPr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1417" w:type="dxa"/>
            <w:vAlign w:val="center"/>
            <w:textDirection w:val="lrTb"/>
            <w:noWrap w:val="false"/>
          </w:tcPr>
          <w:p w14:paraId="4A79B63A">
            <w:pPr>
              <w:pBdr/>
              <w:spacing/>
              <w:ind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Паспорт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513E042A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Наличие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134" w:type="dxa"/>
            <w:vAlign w:val="center"/>
            <w:textDirection w:val="lrTb"/>
            <w:noWrap w:val="false"/>
          </w:tcPr>
          <w:p w14:paraId="55C641A3">
            <w:pPr>
              <w:pBdr/>
              <w:spacing/>
              <w:ind w:right="-57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—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701" w:type="dxa"/>
            <w:vAlign w:val="center"/>
            <w:textDirection w:val="lrTb"/>
            <w:noWrap w:val="false"/>
          </w:tcPr>
          <w:p w14:paraId="2BAF87DF">
            <w:pPr>
              <w:pBdr/>
              <w:spacing/>
              <w:ind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Качественная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1082" w:type="dxa"/>
            <w:vAlign w:val="center"/>
            <w:vMerge w:val="continue"/>
            <w:textDirection w:val="lrTb"/>
            <w:noWrap w:val="false"/>
          </w:tcPr>
          <w:p w14:paraId="381B4129">
            <w:pPr>
              <w:pBdr/>
              <w:spacing/>
              <w:ind w:right="-57"/>
              <w:jc w:val="center"/>
              <w:rPr>
                <w:rFonts w:ascii="Times New Roman" w:hAnsi="Times New Roman" w:eastAsiaTheme="minorHAnsi"/>
                <w:sz w:val="18"/>
                <w:szCs w:val="18"/>
              </w:rPr>
            </w:pP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  <w:r>
              <w:rPr>
                <w:rFonts w:ascii="Times New Roman" w:hAnsi="Times New Roman" w:eastAsiaTheme="minorHAnsi"/>
                <w:sz w:val="18"/>
                <w:szCs w:val="18"/>
              </w:rPr>
            </w:r>
          </w:p>
        </w:tc>
        <w:tc>
          <w:tcPr>
            <w:shd w:val="clear" w:color="ffffff" w:fill="ffffff"/>
            <w:tcBorders/>
            <w:tcW w:w="472" w:type="dxa"/>
            <w:vAlign w:val="center"/>
            <w:vMerge w:val="continue"/>
            <w:textDirection w:val="lrTb"/>
            <w:noWrap w:val="false"/>
          </w:tcPr>
          <w:p w14:paraId="786FCC1F">
            <w:pPr>
              <w:pBdr/>
              <w:spacing/>
              <w:ind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 w14:paraId="7C1DD697">
      <w:pPr>
        <w:pBdr/>
        <w:spacing/>
        <w:ind/>
        <w:jc w:val="left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</w:r>
      <w:r>
        <w:rPr>
          <w:rFonts w:ascii="Times New Roman" w:hAnsi="Times New Roman"/>
          <w:b/>
          <w:sz w:val="25"/>
          <w:szCs w:val="25"/>
        </w:rPr>
      </w:r>
      <w:r>
        <w:rPr>
          <w:rFonts w:ascii="Times New Roman" w:hAnsi="Times New Roman"/>
          <w:b/>
          <w:sz w:val="25"/>
          <w:szCs w:val="25"/>
        </w:rPr>
      </w:r>
    </w:p>
    <w:p w14:paraId="3A61B67C">
      <w:pPr>
        <w:pBdr/>
        <w:spacing w:line="200" w:lineRule="atLeast"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i/>
          <w:iCs/>
          <w:sz w:val="25"/>
          <w:szCs w:val="25"/>
        </w:rPr>
        <w:t xml:space="preserve">*</w:t>
      </w:r>
      <w:r>
        <w:rPr>
          <w:rFonts w:ascii="Times New Roman" w:hAnsi="Times New Roman"/>
          <w:bCs/>
          <w:i/>
          <w:iCs/>
          <w:sz w:val="25"/>
          <w:szCs w:val="25"/>
          <w:lang w:eastAsia="ar-SA"/>
        </w:rPr>
        <w:t xml:space="preserve">Обоснование использования дополнительных характеристик: </w:t>
      </w:r>
      <w:bookmarkStart w:id="1" w:name="_GoBack"/>
      <w:r>
        <w:rPr>
          <w:sz w:val="25"/>
          <w:szCs w:val="25"/>
        </w:rPr>
      </w:r>
      <w:bookmarkEnd w:id="1"/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0A652198">
      <w:pPr>
        <w:pBdr/>
        <w:spacing w:line="200" w:lineRule="atLeast"/>
        <w:ind/>
        <w:jc w:val="both"/>
        <w:rPr>
          <w:rFonts w:ascii="Times New Roman" w:hAnsi="Times New Roman"/>
          <w:i/>
          <w:iCs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 xml:space="preserve">Заказчик при описании объекта закупки руководствовался требованиями и правилами описания объекта закупки, предусмотренными ст. 33 Федерального закона от 05.04.2013 N 44-ФЗ «О контрактной системе в сфере закупок товаров, работ, услуг для обеспечения государ</w:t>
      </w:r>
      <w:r>
        <w:rPr>
          <w:rFonts w:ascii="Times New Roman" w:hAnsi="Times New Roman"/>
          <w:i/>
          <w:sz w:val="25"/>
          <w:szCs w:val="25"/>
        </w:rPr>
        <w:t xml:space="preserve">ственных и муниципальных нужд»,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</w:t>
      </w:r>
      <w:r>
        <w:rPr>
          <w:rFonts w:ascii="Times New Roman" w:hAnsi="Times New Roman"/>
          <w:i/>
          <w:sz w:val="25"/>
          <w:szCs w:val="25"/>
        </w:rPr>
        <w:t xml:space="preserve"> нужд и Правил использования каталога товаров, работ, услуг для обеспечения государственных и муниципальных нужд». Характеристики установлены согласно сведениям, размещенным на портале госзакупок в Единой информационной системе в сфере закупок, в соответст</w:t>
      </w:r>
      <w:r>
        <w:rPr>
          <w:rFonts w:ascii="Times New Roman" w:hAnsi="Times New Roman"/>
          <w:i/>
          <w:sz w:val="25"/>
          <w:szCs w:val="25"/>
        </w:rPr>
        <w:t xml:space="preserve">вии с Каталогом товаров, работ и услуг .</w:t>
      </w:r>
      <w:r>
        <w:rPr>
          <w:rFonts w:ascii="Times New Roman" w:hAnsi="Times New Roman"/>
          <w:i/>
          <w:iCs/>
          <w:sz w:val="25"/>
          <w:szCs w:val="25"/>
        </w:rPr>
        <w:t xml:space="preserve">Дополнительные характеристики о потребительских свойствах, в том числе функциональных, технических, качественных, эксплуатационных установлены в соответствии с требованиями ГОСТ 25336-82 для обеспечения более точного</w:t>
      </w:r>
      <w:r>
        <w:rPr>
          <w:rFonts w:ascii="Times New Roman" w:hAnsi="Times New Roman"/>
          <w:i/>
          <w:iCs/>
          <w:sz w:val="25"/>
          <w:szCs w:val="25"/>
        </w:rPr>
        <w:t xml:space="preserve"> и четкого описания объектов закупки согласно ч.1 п.1 ст.33 44-ФЗ</w:t>
      </w:r>
      <w:r>
        <w:rPr>
          <w:rFonts w:ascii="Times New Roman" w:hAnsi="Times New Roman"/>
          <w:i/>
          <w:iCs/>
          <w:sz w:val="25"/>
          <w:szCs w:val="25"/>
        </w:rPr>
      </w:r>
      <w:r>
        <w:rPr>
          <w:rFonts w:ascii="Times New Roman" w:hAnsi="Times New Roman"/>
          <w:i/>
          <w:iCs/>
          <w:sz w:val="25"/>
          <w:szCs w:val="25"/>
        </w:rPr>
      </w:r>
    </w:p>
    <w:p w14:paraId="06AB1B2D">
      <w:pPr>
        <w:keepNext w:val="true"/>
        <w:pBdr/>
        <w:tabs>
          <w:tab w:val="left" w:leader="none" w:pos="3338"/>
        </w:tabs>
        <w:spacing/>
        <w:ind/>
        <w:rPr>
          <w:rFonts w:ascii="Times New Roman" w:hAnsi="Times New Roman"/>
          <w:b/>
          <w:color w:val="00000a"/>
          <w:sz w:val="25"/>
          <w:szCs w:val="25"/>
        </w:rPr>
      </w:pPr>
      <w:r>
        <w:rPr>
          <w:rFonts w:ascii="Times New Roman" w:hAnsi="Times New Roman"/>
          <w:b/>
          <w:color w:val="00000a"/>
          <w:sz w:val="25"/>
          <w:szCs w:val="25"/>
        </w:rPr>
        <w:t xml:space="preserve">4. Требования к документации на товар:</w:t>
      </w:r>
      <w:r>
        <w:rPr>
          <w:rFonts w:ascii="Times New Roman" w:hAnsi="Times New Roman"/>
          <w:b/>
          <w:color w:val="00000a"/>
          <w:sz w:val="25"/>
          <w:szCs w:val="25"/>
        </w:rPr>
      </w:r>
      <w:r>
        <w:rPr>
          <w:rFonts w:ascii="Times New Roman" w:hAnsi="Times New Roman"/>
          <w:b/>
          <w:color w:val="00000a"/>
          <w:sz w:val="25"/>
          <w:szCs w:val="25"/>
        </w:rPr>
      </w:r>
    </w:p>
    <w:p w14:paraId="59D71D8A">
      <w:pPr>
        <w:keepNext w:val="true"/>
        <w:pBdr/>
        <w:shd w:val="clear" w:color="auto" w:fill="ffffff"/>
        <w:spacing/>
        <w:ind/>
        <w:rPr>
          <w:rFonts w:ascii="Times New Roman" w:hAnsi="Times New Roman"/>
          <w:color w:val="00000a"/>
          <w:sz w:val="25"/>
          <w:szCs w:val="25"/>
          <w:highlight w:val="white"/>
        </w:rPr>
      </w:pPr>
      <w:r>
        <w:rPr>
          <w:rFonts w:ascii="Times New Roman" w:hAnsi="Times New Roman"/>
          <w:color w:val="00000a"/>
          <w:sz w:val="25"/>
          <w:szCs w:val="25"/>
          <w:highlight w:val="white"/>
        </w:rPr>
        <w:t xml:space="preserve">Наличие нормативно-технической документации на русском языке:</w:t>
      </w:r>
      <w:r>
        <w:rPr>
          <w:rFonts w:ascii="Times New Roman" w:hAnsi="Times New Roman"/>
          <w:color w:val="00000a"/>
          <w:sz w:val="25"/>
          <w:szCs w:val="25"/>
          <w:highlight w:val="white"/>
        </w:rPr>
      </w:r>
      <w:r>
        <w:rPr>
          <w:rFonts w:ascii="Times New Roman" w:hAnsi="Times New Roman"/>
          <w:color w:val="00000a"/>
          <w:sz w:val="25"/>
          <w:szCs w:val="25"/>
          <w:highlight w:val="white"/>
        </w:rPr>
      </w:r>
    </w:p>
    <w:p w14:paraId="4DC5FB25">
      <w:pPr>
        <w:keepNext w:val="true"/>
        <w:pBdr/>
        <w:spacing/>
        <w:ind/>
        <w:jc w:val="both"/>
        <w:rPr>
          <w:rFonts w:ascii="Times New Roman" w:hAnsi="Times New Roman"/>
          <w:color w:val="00000a"/>
          <w:sz w:val="25"/>
          <w:szCs w:val="25"/>
        </w:rPr>
      </w:pPr>
      <w:r>
        <w:rPr>
          <w:rFonts w:ascii="Times New Roman" w:hAnsi="Times New Roman"/>
          <w:color w:val="00000a"/>
          <w:sz w:val="25"/>
          <w:szCs w:val="25"/>
          <w:highlight w:val="white"/>
        </w:rPr>
        <w:t xml:space="preserve">- паспорт;</w:t>
      </w:r>
      <w:r>
        <w:rPr>
          <w:rFonts w:ascii="Times New Roman" w:hAnsi="Times New Roman"/>
          <w:color w:val="00000a"/>
          <w:sz w:val="25"/>
          <w:szCs w:val="25"/>
        </w:rPr>
      </w:r>
      <w:r>
        <w:rPr>
          <w:rFonts w:ascii="Times New Roman" w:hAnsi="Times New Roman"/>
          <w:color w:val="00000a"/>
          <w:sz w:val="25"/>
          <w:szCs w:val="25"/>
        </w:rPr>
      </w:r>
    </w:p>
    <w:p w14:paraId="1F9C3217">
      <w:pPr>
        <w:pStyle w:val="880"/>
        <w:pBdr/>
        <w:spacing/>
        <w:ind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en-US"/>
        </w:rPr>
        <w:t xml:space="preserve">- наличие сведений о поверке посредством центра метрологии в системе ФГИС «АРШИН» на момент поставки;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10896485">
      <w:pPr>
        <w:pStyle w:val="880"/>
        <w:pBdr/>
        <w:spacing/>
        <w:ind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en-US"/>
        </w:rPr>
        <w:t xml:space="preserve">- копия свидетельства об утверждении типа средств измерений Федерального агентства по техническому регулированию и метрологии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50E1A8BF">
      <w:pPr>
        <w:pStyle w:val="880"/>
        <w:pBdr/>
        <w:spacing/>
        <w:ind/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  <w:lang w:eastAsia="en-US"/>
        </w:rPr>
        <w:t xml:space="preserve">Примечание: указанные докуме</w:t>
      </w:r>
      <w:r>
        <w:rPr>
          <w:rFonts w:ascii="Times New Roman" w:hAnsi="Times New Roman"/>
          <w:i/>
          <w:sz w:val="25"/>
          <w:szCs w:val="25"/>
          <w:lang w:eastAsia="en-US"/>
        </w:rPr>
        <w:t xml:space="preserve">нты могут быть предоставлены как в виде отдельных документов, так и объединены в один документ.</w:t>
      </w:r>
      <w:r>
        <w:rPr>
          <w:rFonts w:ascii="Times New Roman" w:hAnsi="Times New Roman"/>
          <w:i/>
          <w:sz w:val="25"/>
          <w:szCs w:val="25"/>
        </w:rPr>
      </w:r>
      <w:r>
        <w:rPr>
          <w:rFonts w:ascii="Times New Roman" w:hAnsi="Times New Roman"/>
          <w:i/>
          <w:sz w:val="25"/>
          <w:szCs w:val="25"/>
        </w:rPr>
      </w:r>
    </w:p>
    <w:p w14:paraId="1DD522BB">
      <w:pPr>
        <w:pStyle w:val="880"/>
        <w:pBdr/>
        <w:spacing/>
        <w:ind/>
        <w:rPr>
          <w:rFonts w:ascii="Times New Roman" w:hAnsi="Times New Roman"/>
          <w:i/>
          <w:iCs/>
          <w:sz w:val="25"/>
          <w:szCs w:val="25"/>
        </w:rPr>
      </w:pPr>
      <w:r>
        <w:rPr>
          <w:rFonts w:ascii="Times New Roman" w:hAnsi="Times New Roman"/>
          <w:i/>
          <w:iCs/>
          <w:sz w:val="25"/>
          <w:szCs w:val="25"/>
          <w:lang w:eastAsia="en-US"/>
        </w:rPr>
        <w:t xml:space="preserve">Остаточный срок поверки товара должен составлять не менее 70% от срока поверки, указанного в свидетельстве, на момент поставки товара.</w:t>
      </w:r>
      <w:r>
        <w:rPr>
          <w:rFonts w:ascii="Times New Roman" w:hAnsi="Times New Roman"/>
          <w:i/>
          <w:iCs/>
          <w:sz w:val="25"/>
          <w:szCs w:val="25"/>
        </w:rPr>
      </w:r>
      <w:r>
        <w:rPr>
          <w:rFonts w:ascii="Times New Roman" w:hAnsi="Times New Roman"/>
          <w:i/>
          <w:iCs/>
          <w:sz w:val="25"/>
          <w:szCs w:val="25"/>
        </w:rPr>
      </w:r>
    </w:p>
    <w:p w14:paraId="4D9AA3F6">
      <w:pPr>
        <w:pStyle w:val="880"/>
        <w:pBdr/>
        <w:spacing/>
        <w:ind/>
        <w:rPr>
          <w:rFonts w:ascii="Times New Roman" w:hAnsi="Times New Roman"/>
          <w:bCs/>
          <w:i/>
          <w:sz w:val="25"/>
          <w:szCs w:val="25"/>
        </w:rPr>
      </w:pPr>
      <w:r>
        <w:rPr>
          <w:rFonts w:ascii="Times New Roman" w:hAnsi="Times New Roman"/>
          <w:i/>
          <w:iCs/>
          <w:sz w:val="25"/>
          <w:szCs w:val="25"/>
          <w:lang w:eastAsia="en-US"/>
        </w:rPr>
      </w:r>
      <w:r>
        <w:rPr>
          <w:rFonts w:ascii="Times New Roman" w:hAnsi="Times New Roman"/>
          <w:b/>
          <w:iCs/>
          <w:sz w:val="25"/>
          <w:szCs w:val="25"/>
        </w:rPr>
        <w:t xml:space="preserve">5. Требования к сроку и (или) объему предоставления гарантий качества товара, к гарантийному сроку и гарантийным обязательствам по обслуживанию товара, к расходам на эксплуатацию товара:</w:t>
      </w:r>
      <w:r>
        <w:rPr>
          <w:rFonts w:ascii="Times New Roman" w:hAnsi="Times New Roman"/>
          <w:bCs/>
          <w:i/>
          <w:sz w:val="25"/>
          <w:szCs w:val="25"/>
        </w:rPr>
      </w:r>
      <w:r>
        <w:rPr>
          <w:rFonts w:ascii="Times New Roman" w:hAnsi="Times New Roman"/>
          <w:bCs/>
          <w:i/>
          <w:sz w:val="25"/>
          <w:szCs w:val="25"/>
        </w:rPr>
      </w:r>
    </w:p>
    <w:p w14:paraId="0370438E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24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месяца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1E0D3901"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6</w:t>
      </w:r>
      <w:r>
        <w:rPr>
          <w:rFonts w:ascii="Times New Roman" w:hAnsi="Times New Roman"/>
          <w:b/>
          <w:bCs/>
          <w:sz w:val="25"/>
          <w:szCs w:val="25"/>
        </w:rPr>
        <w:t xml:space="preserve">. Место поставки товара: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4663338B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Поставщик самостоятельно до</w:t>
      </w:r>
      <w:r>
        <w:rPr>
          <w:rFonts w:ascii="Times New Roman" w:hAnsi="Times New Roman"/>
          <w:sz w:val="25"/>
          <w:szCs w:val="25"/>
        </w:rPr>
        <w:t xml:space="preserve">ставляет Товар Заказчику в рабочие дни с 9.00 до 17.00 по следующему адресу: ФГБУ «ЦЛАТИ по ДФО» (филиал ЦЛАТИ по Амурской области): 675000, Амурская область, г. Благовещенск, ул. Ленина, 165/Д. Тел.:8 (4162) 59-39-87.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46DEBCD4"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7</w:t>
      </w:r>
      <w:r>
        <w:rPr>
          <w:rFonts w:ascii="Times New Roman" w:hAnsi="Times New Roman"/>
          <w:b/>
          <w:bCs/>
          <w:sz w:val="25"/>
          <w:szCs w:val="25"/>
        </w:rPr>
        <w:t xml:space="preserve">. Срок поставки товара: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4BB33BCF"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 w:val="25"/>
          <w:szCs w:val="25"/>
          <w:highlight w:val="yellow"/>
        </w:rPr>
      </w:pPr>
      <w:r>
        <w:rPr>
          <w:rFonts w:ascii="Times New Roman" w:hAnsi="Times New Roman"/>
          <w:sz w:val="25"/>
          <w:szCs w:val="25"/>
          <w:highlight w:val="yellow"/>
        </w:rPr>
        <w:t xml:space="preserve">Поставка то</w:t>
      </w:r>
      <w:r>
        <w:rPr>
          <w:rFonts w:ascii="Times New Roman" w:hAnsi="Times New Roman"/>
          <w:sz w:val="25"/>
          <w:szCs w:val="25"/>
          <w:highlight w:val="yellow"/>
        </w:rPr>
        <w:t xml:space="preserve">вара осуществляется до 29.06.2026г.</w:t>
      </w:r>
      <w:r>
        <w:rPr>
          <w:rFonts w:ascii="Times New Roman" w:hAnsi="Times New Roman"/>
          <w:sz w:val="25"/>
          <w:szCs w:val="25"/>
          <w:highlight w:val="yellow"/>
        </w:rPr>
      </w:r>
      <w:r>
        <w:rPr>
          <w:rFonts w:ascii="Times New Roman" w:hAnsi="Times New Roman"/>
          <w:sz w:val="25"/>
          <w:szCs w:val="25"/>
          <w:highlight w:val="yellow"/>
        </w:rPr>
      </w:r>
    </w:p>
    <w:p w14:paraId="5DD2262A">
      <w:pPr>
        <w:keepNext w:val="true"/>
        <w:pBdr/>
        <w:spacing/>
        <w:ind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8. Требования к товару:</w:t>
      </w:r>
      <w:r>
        <w:rPr>
          <w:rFonts w:ascii="Times New Roman" w:hAnsi="Times New Roman"/>
          <w:b/>
          <w:sz w:val="25"/>
          <w:szCs w:val="25"/>
        </w:rPr>
      </w:r>
      <w:r>
        <w:rPr>
          <w:rFonts w:ascii="Times New Roman" w:hAnsi="Times New Roman"/>
          <w:b/>
          <w:sz w:val="25"/>
          <w:szCs w:val="25"/>
        </w:rPr>
      </w:r>
    </w:p>
    <w:p w14:paraId="7CE12044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8.1. Товар новый, который не был в употреблении, не подвергался ремонту, в том числе восстановлению, замене составных частей, восстановлению потребительских свойств.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05961849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8.2. Товар не должен иметь де</w:t>
      </w:r>
      <w:r>
        <w:rPr>
          <w:rFonts w:ascii="Times New Roman" w:hAnsi="Times New Roman"/>
          <w:sz w:val="25"/>
          <w:szCs w:val="25"/>
        </w:rPr>
        <w:t xml:space="preserve">фектов, связанных с разработкой, материалами и качеством изготовления, либо проявляющихся в результате действия или упущения поставщика при нормальном использовании поставленных товаров.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09DD4CE1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8.3. Товар не должен являться выставочным образцом, не должен быть со</w:t>
      </w:r>
      <w:r>
        <w:rPr>
          <w:rFonts w:ascii="Times New Roman" w:hAnsi="Times New Roman"/>
          <w:sz w:val="25"/>
          <w:szCs w:val="25"/>
        </w:rPr>
        <w:t xml:space="preserve">бран из восстановленных деталей.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067ADE14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8.4. Год изготовления – не нормируется. 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778D03F0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8.5. Товар должен быть в упаковке, соответствующей характеру поставляемого товара и способу транспортировки. Упаковка должна предохранять товар от повреждений. Упаковка и маркировка </w:t>
      </w:r>
      <w:r>
        <w:rPr>
          <w:rFonts w:ascii="Times New Roman" w:hAnsi="Times New Roman"/>
          <w:sz w:val="25"/>
          <w:szCs w:val="25"/>
        </w:rPr>
        <w:t xml:space="preserve">товара должна соответствовать требованиям ГОСТ, импортный товар - международным стандартам упаковки. Информация о товаре, в том числе маркировка на упаковке должна быть на русском языке или продублирована на русском языке.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39471791">
      <w:pPr>
        <w:keepNext w:val="true"/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8.6 Маркировка должна содержать с</w:t>
      </w:r>
      <w:r>
        <w:rPr>
          <w:rFonts w:ascii="Times New Roman" w:hAnsi="Times New Roman"/>
          <w:sz w:val="25"/>
          <w:szCs w:val="25"/>
        </w:rPr>
        <w:t xml:space="preserve">ведения о товаре: его наименование, параметры, дату производства, номер партии, сведения о производителе товара, а также иные обозначения в соответствии с действующими международными стандартами и требованиями ГОСТ.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4B5B770B">
      <w:pPr>
        <w:pBdr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  <w:lang w:eastAsia="en-US"/>
        </w:rPr>
        <w:t xml:space="preserve">8.7. </w:t>
      </w:r>
      <w:r>
        <w:rPr>
          <w:rFonts w:ascii="Times New Roman" w:hAnsi="Times New Roman"/>
          <w:sz w:val="25"/>
          <w:szCs w:val="25"/>
          <w:lang w:eastAsia="en-US"/>
        </w:rPr>
        <w:t xml:space="preserve">Товар должен быть поверен в соответ</w:t>
      </w:r>
      <w:r>
        <w:rPr>
          <w:rFonts w:ascii="Times New Roman" w:hAnsi="Times New Roman"/>
          <w:sz w:val="25"/>
          <w:szCs w:val="25"/>
          <w:lang w:eastAsia="en-US"/>
        </w:rPr>
        <w:t xml:space="preserve">ствии с требованиями Федерального закона от 26.06.2008 № 102-ФЗ «Об обеспечении единства измерений», Приказа Минпромторга России от 31.07.2020 № 2510 "Об утверждении порядка проведения поверки средств измерений, требований к знаку поверки и содержанию свид</w:t>
      </w:r>
      <w:r>
        <w:rPr>
          <w:rFonts w:ascii="Times New Roman" w:hAnsi="Times New Roman"/>
          <w:sz w:val="25"/>
          <w:szCs w:val="25"/>
          <w:lang w:eastAsia="en-US"/>
        </w:rPr>
        <w:t xml:space="preserve">етельства о поверке", Постановления Правительства РФ от 20.04.2010 № 250 "О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</w:t>
      </w:r>
      <w:r>
        <w:rPr>
          <w:rFonts w:ascii="Times New Roman" w:hAnsi="Times New Roman"/>
          <w:sz w:val="25"/>
          <w:szCs w:val="25"/>
          <w:lang w:eastAsia="en-US"/>
        </w:rPr>
        <w:t xml:space="preserve">нтрами метрологии 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4FD0E07B">
      <w:pPr>
        <w:pBdr/>
        <w:spacing/>
        <w:ind/>
        <w:jc w:val="both"/>
        <w:rPr>
          <w:rFonts w:ascii="Times New Roman" w:hAnsi="Times New Roman"/>
          <w:sz w:val="25"/>
          <w:szCs w:val="25"/>
          <w:highlight w:val="yellow"/>
        </w:rPr>
      </w:pPr>
      <w:r>
        <w:rPr>
          <w:rFonts w:ascii="Times New Roman" w:hAnsi="Times New Roman"/>
          <w:sz w:val="25"/>
          <w:szCs w:val="25"/>
          <w:highlight w:val="yellow"/>
        </w:rPr>
      </w:r>
      <w:r>
        <w:rPr>
          <w:rFonts w:ascii="Times New Roman" w:hAnsi="Times New Roman"/>
          <w:sz w:val="25"/>
          <w:szCs w:val="25"/>
          <w:highlight w:val="yellow"/>
        </w:rPr>
      </w:r>
      <w:r>
        <w:rPr>
          <w:rFonts w:ascii="Times New Roman" w:hAnsi="Times New Roman"/>
          <w:sz w:val="25"/>
          <w:szCs w:val="25"/>
          <w:highlight w:val="yellow"/>
        </w:rPr>
      </w:r>
    </w:p>
    <w:p w14:paraId="3EE5FD74"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9. Сведения о включенных в цену контракта расходах: </w:t>
      </w:r>
      <w:r>
        <w:rPr>
          <w:rFonts w:ascii="Times New Roman" w:hAnsi="Times New Roman"/>
          <w:b/>
          <w:bCs/>
          <w:sz w:val="25"/>
          <w:szCs w:val="25"/>
        </w:rPr>
      </w:r>
      <w:r>
        <w:rPr>
          <w:rFonts w:ascii="Times New Roman" w:hAnsi="Times New Roman"/>
          <w:b/>
          <w:bCs/>
          <w:sz w:val="25"/>
          <w:szCs w:val="25"/>
        </w:rPr>
      </w:r>
    </w:p>
    <w:p w14:paraId="65232528"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Цена Контракта включает в себя: стоимость Товара, упаковки (тары), маркировки, расходы, связанные с доставкой (перевозкой), погрузкой - разгрузкой, </w:t>
      </w:r>
      <w:r>
        <w:rPr>
          <w:rFonts w:ascii="Times New Roman" w:hAnsi="Times New Roman"/>
          <w:sz w:val="25"/>
          <w:szCs w:val="25"/>
        </w:rPr>
        <w:t xml:space="preserve">размещением Товара в местах хранения Заказчика, поверка, гарантийные обязательства, страхование, таможенные платежи (пошлины), в том числе все применимые налоги, пошлины, сборы и иные расходы Поставщика, связанные с исполнением Контракта.</w:t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p w14:paraId="6661D07B">
      <w:pPr>
        <w:keepNext w:val="true"/>
        <w:pBdr/>
        <w:shd w:val="clear" w:color="auto" w:fill="ffffff"/>
        <w:spacing/>
        <w:ind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  <w:r>
        <w:rPr>
          <w:rFonts w:ascii="Times New Roman" w:hAnsi="Times New Roman"/>
          <w:sz w:val="25"/>
          <w:szCs w:val="25"/>
        </w:rPr>
      </w:r>
    </w:p>
    <w:tbl>
      <w:tblPr>
        <w:tblInd w:w="0" w:type="dxa"/>
        <w:tblW w:w="10387" w:type="dxa"/>
        <w:tblCellMar>
          <w:left w:w="62" w:type="dxa"/>
          <w:top w:w="102" w:type="dxa"/>
          <w:right w:w="62" w:type="dxa"/>
          <w:bottom w:w="102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165"/>
        <w:gridCol w:w="5222"/>
      </w:tblGrid>
      <w:tr>
        <w:trPr>
          <w:trHeight w:val="28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65" w:type="dxa"/>
            <w:vAlign w:val="top"/>
            <w:textDirection w:val="lrTb"/>
            <w:noWrap w:val="false"/>
          </w:tcPr>
          <w:p w14:paraId="7141471E"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ЗАКАЗЧИК: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2" w:type="dxa"/>
            <w:vAlign w:val="top"/>
            <w:textDirection w:val="lrTb"/>
            <w:noWrap w:val="false"/>
          </w:tcPr>
          <w:p w14:paraId="04468671">
            <w:pPr>
              <w:pStyle w:val="915"/>
              <w:pBdr/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ПОСТАВЩИК: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65" w:type="dxa"/>
            <w:vAlign w:val="top"/>
            <w:textDirection w:val="lrTb"/>
            <w:noWrap w:val="false"/>
          </w:tcPr>
          <w:p w14:paraId="7817AABB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 w14:paraId="257D22F9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2" w:type="dxa"/>
            <w:vAlign w:val="top"/>
            <w:textDirection w:val="lrTb"/>
            <w:noWrap w:val="false"/>
          </w:tcPr>
          <w:p w14:paraId="4FB268E6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 w14:paraId="086E41BC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>
          <w:trHeight w:val="45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65" w:type="dxa"/>
            <w:vAlign w:val="top"/>
            <w:textDirection w:val="lrTb"/>
            <w:noWrap w:val="false"/>
          </w:tcPr>
          <w:p w14:paraId="5656B32B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 w14:paraId="2C743363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2" w:type="dxa"/>
            <w:vAlign w:val="top"/>
            <w:textDirection w:val="lrTb"/>
            <w:noWrap w:val="false"/>
          </w:tcPr>
          <w:p w14:paraId="167F90C7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 w14:paraId="421D8A1B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(подпись, фамилия и инициалы)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65" w:type="dxa"/>
            <w:vAlign w:val="top"/>
            <w:textDirection w:val="lrTb"/>
            <w:noWrap w:val="false"/>
          </w:tcPr>
          <w:p w14:paraId="4814493F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 _____________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г.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 w14:paraId="18AD358A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2" w:type="dxa"/>
            <w:vAlign w:val="top"/>
            <w:textDirection w:val="lrTb"/>
            <w:noWrap w:val="false"/>
          </w:tcPr>
          <w:p w14:paraId="6046735C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_____________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__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г.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65" w:type="dxa"/>
            <w:vAlign w:val="top"/>
            <w:textDirection w:val="lrTb"/>
            <w:noWrap w:val="false"/>
          </w:tcPr>
          <w:p w14:paraId="34F46EA8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(при наличии печати)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2" w:type="dxa"/>
            <w:vAlign w:val="top"/>
            <w:textDirection w:val="lrTb"/>
            <w:noWrap w:val="false"/>
          </w:tcPr>
          <w:p w14:paraId="4F23824A">
            <w:pPr>
              <w:pStyle w:val="915"/>
              <w:pBdr/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М.П. (при наличии печати)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</w:tr>
    </w:tbl>
    <w:p w14:paraId="0289F6AB">
      <w:pPr>
        <w:pBdr/>
        <w:spacing/>
        <w:ind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sectPr>
      <w:footnotePr/>
      <w:endnotePr/>
      <w:type w:val="nextPage"/>
      <w:pgSz w:h="16838" w:orient="portrait" w:w="11906"/>
      <w:pgMar w:top="1134" w:right="851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</w:font>
  <w:font w:name="SimSun">
    <w:panose1 w:val="02010600030101010101"/>
  </w:font>
  <w:font w:name="Segoe UI">
    <w:panose1 w:val="020B0502040204020203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C1A6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770268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4A54B3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A13266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0DA29C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62BE655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A4C41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6FC1118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7D4644B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0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4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8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160"/>
      </w:pPr>
      <w:rPr/>
      <w:start w:val="1"/>
      <w:suff w:val="tab"/>
    </w:lvl>
  </w:abstractNum>
  <w:abstractNum w:abstractNumId="9">
    <w:nsid w:val="7E321B80"/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rFonts w:cs="Times New Roman"/>
      </w:rPr>
      <w:start w:val="1"/>
      <w:suff w:val="nothing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0">
    <w:nsid w:val="55501C5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  <w:bCs w:val="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1"/>
    <w:basedOn w:val="911"/>
    <w:next w:val="911"/>
    <w:link w:val="86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1">
    <w:name w:val="Heading 2"/>
    <w:basedOn w:val="911"/>
    <w:next w:val="911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2">
    <w:name w:val="Heading 3"/>
    <w:basedOn w:val="911"/>
    <w:next w:val="911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3">
    <w:name w:val="Heading 4"/>
    <w:basedOn w:val="911"/>
    <w:next w:val="911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4">
    <w:name w:val="Heading 5"/>
    <w:basedOn w:val="911"/>
    <w:next w:val="911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5">
    <w:name w:val="Heading 6"/>
    <w:basedOn w:val="911"/>
    <w:next w:val="911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6">
    <w:name w:val="Heading 7"/>
    <w:basedOn w:val="911"/>
    <w:next w:val="911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7">
    <w:name w:val="Heading 8"/>
    <w:basedOn w:val="911"/>
    <w:next w:val="911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8">
    <w:name w:val="Heading 9"/>
    <w:basedOn w:val="911"/>
    <w:next w:val="911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9" w:default="1">
    <w:name w:val="Default Paragraph Font"/>
    <w:uiPriority w:val="1"/>
    <w:semiHidden/>
    <w:unhideWhenUsed/>
    <w:pPr>
      <w:pBdr/>
      <w:spacing/>
      <w:ind/>
    </w:pPr>
  </w:style>
  <w:style w:type="numbering" w:styleId="860" w:default="1">
    <w:name w:val="No List"/>
    <w:uiPriority w:val="99"/>
    <w:semiHidden/>
    <w:unhideWhenUsed/>
    <w:pPr>
      <w:pBdr/>
      <w:spacing/>
      <w:ind/>
    </w:pPr>
  </w:style>
  <w:style w:type="character" w:styleId="861">
    <w:name w:val="Heading 1 Char"/>
    <w:basedOn w:val="859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2">
    <w:name w:val="Heading 2 Char"/>
    <w:basedOn w:val="859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3">
    <w:name w:val="Heading 3 Char"/>
    <w:basedOn w:val="859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4">
    <w:name w:val="Heading 4 Char"/>
    <w:basedOn w:val="859"/>
    <w:link w:val="85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5">
    <w:name w:val="Heading 5 Char"/>
    <w:basedOn w:val="859"/>
    <w:link w:val="8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6">
    <w:name w:val="Heading 6 Char"/>
    <w:basedOn w:val="859"/>
    <w:link w:val="85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>
    <w:name w:val="Heading 7 Char"/>
    <w:basedOn w:val="859"/>
    <w:link w:val="85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>
    <w:name w:val="Heading 8 Char"/>
    <w:basedOn w:val="859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9 Char"/>
    <w:basedOn w:val="859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Title"/>
    <w:basedOn w:val="911"/>
    <w:next w:val="911"/>
    <w:link w:val="87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1">
    <w:name w:val="Title Char"/>
    <w:basedOn w:val="859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2">
    <w:name w:val="Subtitle"/>
    <w:basedOn w:val="911"/>
    <w:next w:val="911"/>
    <w:link w:val="87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3">
    <w:name w:val="Subtitle Char"/>
    <w:basedOn w:val="859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911"/>
    <w:next w:val="911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>
    <w:name w:val="Quote Char"/>
    <w:basedOn w:val="859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Intense Emphasis"/>
    <w:basedOn w:val="85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7">
    <w:name w:val="Intense Quote"/>
    <w:basedOn w:val="911"/>
    <w:next w:val="911"/>
    <w:link w:val="87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8">
    <w:name w:val="Intense Quote Char"/>
    <w:basedOn w:val="859"/>
    <w:link w:val="8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Reference"/>
    <w:basedOn w:val="85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0">
    <w:name w:val="No Spacing"/>
    <w:basedOn w:val="911"/>
    <w:uiPriority w:val="1"/>
    <w:qFormat/>
    <w:pPr>
      <w:pBdr/>
      <w:spacing w:after="0" w:line="240" w:lineRule="auto"/>
      <w:ind/>
    </w:pPr>
  </w:style>
  <w:style w:type="character" w:styleId="881">
    <w:name w:val="Subtle Emphasis"/>
    <w:basedOn w:val="8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2">
    <w:name w:val="Emphasis"/>
    <w:basedOn w:val="859"/>
    <w:uiPriority w:val="20"/>
    <w:qFormat/>
    <w:pPr>
      <w:pBdr/>
      <w:spacing/>
      <w:ind/>
    </w:pPr>
    <w:rPr>
      <w:i/>
      <w:iCs/>
    </w:rPr>
  </w:style>
  <w:style w:type="character" w:styleId="883">
    <w:name w:val="Strong"/>
    <w:basedOn w:val="859"/>
    <w:uiPriority w:val="22"/>
    <w:qFormat/>
    <w:pPr>
      <w:pBdr/>
      <w:spacing/>
      <w:ind/>
    </w:pPr>
    <w:rPr>
      <w:b/>
      <w:bCs/>
    </w:rPr>
  </w:style>
  <w:style w:type="character" w:styleId="884">
    <w:name w:val="Subtle Reference"/>
    <w:basedOn w:val="8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5">
    <w:name w:val="Book Title"/>
    <w:basedOn w:val="85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6">
    <w:name w:val="Header"/>
    <w:basedOn w:val="911"/>
    <w:link w:val="88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7">
    <w:name w:val="Header Char"/>
    <w:basedOn w:val="859"/>
    <w:link w:val="886"/>
    <w:uiPriority w:val="99"/>
    <w:pPr>
      <w:pBdr/>
      <w:spacing/>
      <w:ind/>
    </w:pPr>
  </w:style>
  <w:style w:type="paragraph" w:styleId="888">
    <w:name w:val="Footer"/>
    <w:basedOn w:val="911"/>
    <w:link w:val="8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9">
    <w:name w:val="Footer Char"/>
    <w:basedOn w:val="859"/>
    <w:link w:val="888"/>
    <w:uiPriority w:val="99"/>
    <w:pPr>
      <w:pBdr/>
      <w:spacing/>
      <w:ind/>
    </w:pPr>
  </w:style>
  <w:style w:type="paragraph" w:styleId="890">
    <w:name w:val="Caption"/>
    <w:basedOn w:val="911"/>
    <w:next w:val="91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1">
    <w:name w:val="footnote text"/>
    <w:basedOn w:val="911"/>
    <w:link w:val="89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Footnote Text Char"/>
    <w:basedOn w:val="859"/>
    <w:link w:val="891"/>
    <w:uiPriority w:val="99"/>
    <w:semiHidden/>
    <w:pPr>
      <w:pBdr/>
      <w:spacing/>
      <w:ind/>
    </w:pPr>
    <w:rPr>
      <w:sz w:val="20"/>
      <w:szCs w:val="20"/>
    </w:rPr>
  </w:style>
  <w:style w:type="character" w:styleId="893">
    <w:name w:val="footnote reference"/>
    <w:basedOn w:val="859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endnote text"/>
    <w:basedOn w:val="911"/>
    <w:link w:val="89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5">
    <w:name w:val="Endnote Text Char"/>
    <w:basedOn w:val="859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endnote reference"/>
    <w:basedOn w:val="859"/>
    <w:uiPriority w:val="99"/>
    <w:semiHidden/>
    <w:unhideWhenUsed/>
    <w:pPr>
      <w:pBdr/>
      <w:spacing/>
      <w:ind/>
    </w:pPr>
    <w:rPr>
      <w:vertAlign w:val="superscript"/>
    </w:rPr>
  </w:style>
  <w:style w:type="character" w:styleId="897">
    <w:name w:val="Hyperlink"/>
    <w:basedOn w:val="85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8">
    <w:name w:val="FollowedHyperlink"/>
    <w:basedOn w:val="85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9">
    <w:name w:val="toc 1"/>
    <w:basedOn w:val="911"/>
    <w:next w:val="911"/>
    <w:uiPriority w:val="39"/>
    <w:unhideWhenUsed/>
    <w:pPr>
      <w:pBdr/>
      <w:spacing w:after="100"/>
      <w:ind/>
    </w:pPr>
  </w:style>
  <w:style w:type="paragraph" w:styleId="900">
    <w:name w:val="toc 2"/>
    <w:basedOn w:val="911"/>
    <w:next w:val="911"/>
    <w:uiPriority w:val="39"/>
    <w:unhideWhenUsed/>
    <w:pPr>
      <w:pBdr/>
      <w:spacing w:after="100"/>
      <w:ind w:left="220"/>
    </w:pPr>
  </w:style>
  <w:style w:type="paragraph" w:styleId="901">
    <w:name w:val="toc 3"/>
    <w:basedOn w:val="911"/>
    <w:next w:val="911"/>
    <w:uiPriority w:val="39"/>
    <w:unhideWhenUsed/>
    <w:pPr>
      <w:pBdr/>
      <w:spacing w:after="100"/>
      <w:ind w:left="440"/>
    </w:pPr>
  </w:style>
  <w:style w:type="paragraph" w:styleId="902">
    <w:name w:val="toc 4"/>
    <w:basedOn w:val="911"/>
    <w:next w:val="911"/>
    <w:uiPriority w:val="39"/>
    <w:unhideWhenUsed/>
    <w:pPr>
      <w:pBdr/>
      <w:spacing w:after="100"/>
      <w:ind w:left="660"/>
    </w:pPr>
  </w:style>
  <w:style w:type="paragraph" w:styleId="903">
    <w:name w:val="toc 5"/>
    <w:basedOn w:val="911"/>
    <w:next w:val="911"/>
    <w:uiPriority w:val="39"/>
    <w:unhideWhenUsed/>
    <w:pPr>
      <w:pBdr/>
      <w:spacing w:after="100"/>
      <w:ind w:left="880"/>
    </w:pPr>
  </w:style>
  <w:style w:type="paragraph" w:styleId="904">
    <w:name w:val="toc 6"/>
    <w:basedOn w:val="911"/>
    <w:next w:val="911"/>
    <w:uiPriority w:val="39"/>
    <w:unhideWhenUsed/>
    <w:pPr>
      <w:pBdr/>
      <w:spacing w:after="100"/>
      <w:ind w:left="1100"/>
    </w:pPr>
  </w:style>
  <w:style w:type="paragraph" w:styleId="905">
    <w:name w:val="toc 7"/>
    <w:basedOn w:val="911"/>
    <w:next w:val="911"/>
    <w:uiPriority w:val="39"/>
    <w:unhideWhenUsed/>
    <w:pPr>
      <w:pBdr/>
      <w:spacing w:after="100"/>
      <w:ind w:left="1320"/>
    </w:pPr>
  </w:style>
  <w:style w:type="paragraph" w:styleId="906">
    <w:name w:val="toc 8"/>
    <w:basedOn w:val="911"/>
    <w:next w:val="911"/>
    <w:uiPriority w:val="39"/>
    <w:unhideWhenUsed/>
    <w:pPr>
      <w:pBdr/>
      <w:spacing w:after="100"/>
      <w:ind w:left="1540"/>
    </w:pPr>
  </w:style>
  <w:style w:type="paragraph" w:styleId="907">
    <w:name w:val="toc 9"/>
    <w:basedOn w:val="911"/>
    <w:next w:val="911"/>
    <w:uiPriority w:val="39"/>
    <w:unhideWhenUsed/>
    <w:pPr>
      <w:pBdr/>
      <w:spacing w:after="100"/>
      <w:ind w:left="1760"/>
    </w:pPr>
  </w:style>
  <w:style w:type="character" w:styleId="908">
    <w:name w:val="Placeholder Text"/>
    <w:basedOn w:val="859"/>
    <w:uiPriority w:val="99"/>
    <w:semiHidden/>
    <w:pPr>
      <w:pBdr/>
      <w:spacing/>
      <w:ind/>
    </w:pPr>
    <w:rPr>
      <w:color w:val="666666"/>
    </w:rPr>
  </w:style>
  <w:style w:type="paragraph" w:styleId="909">
    <w:name w:val="TOC Heading"/>
    <w:uiPriority w:val="39"/>
    <w:unhideWhenUsed/>
    <w:pPr>
      <w:pBdr/>
      <w:spacing/>
      <w:ind/>
    </w:pPr>
  </w:style>
  <w:style w:type="paragraph" w:styleId="910">
    <w:name w:val="table of figures"/>
    <w:basedOn w:val="911"/>
    <w:next w:val="911"/>
    <w:uiPriority w:val="99"/>
    <w:unhideWhenUsed/>
    <w:pPr>
      <w:pBdr/>
      <w:spacing w:after="0" w:afterAutospacing="0"/>
      <w:ind/>
    </w:pPr>
  </w:style>
  <w:style w:type="paragraph" w:styleId="911" w:default="1">
    <w:name w:val="Normal"/>
    <w:next w:val="911"/>
    <w:link w:val="911"/>
    <w:qFormat/>
    <w:pPr>
      <w:pBdr/>
      <w:spacing w:after="160" w:line="259" w:lineRule="auto"/>
      <w:ind/>
    </w:pPr>
    <w:rPr>
      <w:sz w:val="22"/>
      <w:szCs w:val="22"/>
      <w:lang w:val="ru-RU" w:eastAsia="en-US" w:bidi="ar-SA"/>
    </w:rPr>
  </w:style>
  <w:style w:type="character" w:styleId="912">
    <w:name w:val="Основной шрифт абзаца"/>
    <w:next w:val="912"/>
    <w:link w:val="911"/>
    <w:uiPriority w:val="1"/>
    <w:unhideWhenUsed/>
    <w:pPr>
      <w:pBdr/>
      <w:spacing/>
      <w:ind/>
    </w:pPr>
  </w:style>
  <w:style w:type="table" w:styleId="913">
    <w:name w:val="Обычная таблица"/>
    <w:next w:val="913"/>
    <w:link w:val="911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4">
    <w:name w:val="Нет списка"/>
    <w:next w:val="914"/>
    <w:link w:val="911"/>
    <w:uiPriority w:val="99"/>
    <w:semiHidden/>
    <w:unhideWhenUsed/>
    <w:pPr>
      <w:pBdr/>
      <w:spacing/>
      <w:ind/>
    </w:pPr>
  </w:style>
  <w:style w:type="paragraph" w:styleId="915">
    <w:name w:val="ConsPlusNormal"/>
    <w:next w:val="915"/>
    <w:link w:val="933"/>
    <w:qFormat/>
    <w:pPr>
      <w:widowControl w:val="false"/>
      <w:pBdr/>
      <w:spacing/>
      <w:ind/>
    </w:pPr>
    <w:rPr>
      <w:rFonts w:eastAsia="Times New Roman" w:cs="Calibri"/>
      <w:sz w:val="22"/>
      <w:lang w:val="ru-RU" w:eastAsia="ru-RU" w:bidi="ar-SA"/>
    </w:rPr>
  </w:style>
  <w:style w:type="paragraph" w:styleId="916">
    <w:name w:val="ConsPlusNonformat"/>
    <w:next w:val="916"/>
    <w:link w:val="911"/>
    <w:pPr>
      <w:widowControl w:val="false"/>
      <w:pBdr/>
      <w:spacing/>
      <w:ind/>
    </w:pPr>
    <w:rPr>
      <w:rFonts w:ascii="Courier New" w:hAnsi="Courier New" w:eastAsia="Times New Roman" w:cs="Courier New"/>
      <w:lang w:val="ru-RU" w:eastAsia="ru-RU" w:bidi="ar-SA"/>
    </w:rPr>
  </w:style>
  <w:style w:type="paragraph" w:styleId="917">
    <w:name w:val="ConsPlusTitle"/>
    <w:next w:val="917"/>
    <w:link w:val="911"/>
    <w:pPr>
      <w:widowControl w:val="false"/>
      <w:pBdr/>
      <w:spacing/>
      <w:ind/>
    </w:pPr>
    <w:rPr>
      <w:rFonts w:eastAsia="Times New Roman" w:cs="Calibri"/>
      <w:b/>
      <w:sz w:val="22"/>
      <w:lang w:val="ru-RU" w:eastAsia="ru-RU" w:bidi="ar-SA"/>
    </w:rPr>
  </w:style>
  <w:style w:type="paragraph" w:styleId="918">
    <w:name w:val="ConsPlusCell"/>
    <w:next w:val="918"/>
    <w:link w:val="911"/>
    <w:pPr>
      <w:widowControl w:val="false"/>
      <w:pBdr/>
      <w:spacing/>
      <w:ind/>
    </w:pPr>
    <w:rPr>
      <w:rFonts w:ascii="Courier New" w:hAnsi="Courier New" w:eastAsia="Times New Roman" w:cs="Courier New"/>
      <w:lang w:val="ru-RU" w:eastAsia="ru-RU" w:bidi="ar-SA"/>
    </w:rPr>
  </w:style>
  <w:style w:type="paragraph" w:styleId="919">
    <w:name w:val="ConsPlusDocList"/>
    <w:next w:val="919"/>
    <w:link w:val="911"/>
    <w:pPr>
      <w:widowControl w:val="false"/>
      <w:pBdr/>
      <w:spacing/>
      <w:ind/>
    </w:pPr>
    <w:rPr>
      <w:rFonts w:eastAsia="Times New Roman" w:cs="Calibri"/>
      <w:sz w:val="22"/>
      <w:lang w:val="ru-RU" w:eastAsia="ru-RU" w:bidi="ar-SA"/>
    </w:rPr>
  </w:style>
  <w:style w:type="paragraph" w:styleId="920">
    <w:name w:val="ConsPlusTitlePage"/>
    <w:next w:val="920"/>
    <w:link w:val="911"/>
    <w:pPr>
      <w:widowControl w:val="false"/>
      <w:pBdr/>
      <w:spacing/>
      <w:ind/>
    </w:pPr>
    <w:rPr>
      <w:rFonts w:ascii="Tahoma" w:hAnsi="Tahoma" w:eastAsia="Times New Roman" w:cs="Tahoma"/>
      <w:lang w:val="ru-RU" w:eastAsia="ru-RU" w:bidi="ar-SA"/>
    </w:rPr>
  </w:style>
  <w:style w:type="paragraph" w:styleId="921">
    <w:name w:val="ConsPlusJurTerm"/>
    <w:next w:val="921"/>
    <w:link w:val="911"/>
    <w:pPr>
      <w:widowControl w:val="false"/>
      <w:pBdr/>
      <w:spacing/>
      <w:ind/>
    </w:pPr>
    <w:rPr>
      <w:rFonts w:ascii="Tahoma" w:hAnsi="Tahoma" w:eastAsia="Times New Roman" w:cs="Tahoma"/>
      <w:sz w:val="26"/>
      <w:lang w:val="ru-RU" w:eastAsia="ru-RU" w:bidi="ar-SA"/>
    </w:rPr>
  </w:style>
  <w:style w:type="paragraph" w:styleId="922">
    <w:name w:val="ConsPlusTextList"/>
    <w:next w:val="922"/>
    <w:link w:val="911"/>
    <w:pPr>
      <w:widowControl w:val="false"/>
      <w:pBdr/>
      <w:spacing/>
      <w:ind/>
    </w:pPr>
    <w:rPr>
      <w:rFonts w:ascii="Arial" w:hAnsi="Arial" w:eastAsia="Times New Roman" w:cs="Arial"/>
      <w:lang w:val="ru-RU" w:eastAsia="ru-RU" w:bidi="ar-SA"/>
    </w:rPr>
  </w:style>
  <w:style w:type="character" w:styleId="923">
    <w:name w:val="Гиперссылка"/>
    <w:next w:val="923"/>
    <w:link w:val="911"/>
    <w:unhideWhenUsed/>
    <w:pPr>
      <w:pBdr/>
      <w:spacing/>
      <w:ind/>
    </w:pPr>
    <w:rPr>
      <w:color w:val="0000ff"/>
      <w:u w:val="single"/>
    </w:rPr>
  </w:style>
  <w:style w:type="paragraph" w:styleId="924">
    <w:name w:val="Абзац списка"/>
    <w:basedOn w:val="911"/>
    <w:next w:val="924"/>
    <w:link w:val="926"/>
    <w:uiPriority w:val="34"/>
    <w:qFormat/>
    <w:pPr>
      <w:pBdr/>
      <w:spacing w:after="200" w:line="276" w:lineRule="auto"/>
      <w:ind w:left="720"/>
      <w:contextualSpacing w:val="true"/>
    </w:pPr>
  </w:style>
  <w:style w:type="table" w:styleId="925">
    <w:name w:val="Сетка таблицы"/>
    <w:basedOn w:val="913"/>
    <w:next w:val="925"/>
    <w:link w:val="911"/>
    <w:uiPriority w:val="39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Абзац списка Знак"/>
    <w:next w:val="926"/>
    <w:link w:val="924"/>
    <w:uiPriority w:val="34"/>
    <w:pPr>
      <w:pBdr/>
      <w:spacing/>
      <w:ind/>
    </w:pPr>
    <w:rPr>
      <w:sz w:val="22"/>
      <w:szCs w:val="22"/>
      <w:lang w:eastAsia="en-US"/>
    </w:rPr>
  </w:style>
  <w:style w:type="paragraph" w:styleId="927">
    <w:name w:val="Текст выноски"/>
    <w:basedOn w:val="911"/>
    <w:next w:val="927"/>
    <w:link w:val="928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28">
    <w:name w:val="Текст выноски Знак"/>
    <w:next w:val="928"/>
    <w:link w:val="927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en-US"/>
    </w:rPr>
  </w:style>
  <w:style w:type="paragraph" w:styleId="929">
    <w:name w:val="Обычный1"/>
    <w:next w:val="929"/>
    <w:link w:val="911"/>
    <w:uiPriority w:val="99"/>
    <w:qFormat/>
    <w:pPr>
      <w:pBdr/>
      <w:tabs>
        <w:tab w:val="left" w:leader="none" w:pos="708"/>
      </w:tabs>
      <w:spacing w:line="100" w:lineRule="atLeast"/>
      <w:ind/>
    </w:pPr>
    <w:rPr>
      <w:rFonts w:ascii="Times New Roman" w:hAnsi="Times New Roman" w:eastAsia="SimSun"/>
      <w:color w:val="00000a"/>
      <w:sz w:val="24"/>
      <w:szCs w:val="24"/>
      <w:lang w:val="ru-RU" w:eastAsia="ru-RU" w:bidi="ar-SA"/>
    </w:rPr>
  </w:style>
  <w:style w:type="character" w:styleId="930">
    <w:name w:val="fontstyle01"/>
    <w:next w:val="930"/>
    <w:link w:val="911"/>
    <w:pPr>
      <w:pBdr/>
      <w:spacing/>
      <w:ind/>
    </w:pPr>
    <w:rPr>
      <w:rFonts w:ascii="Times New Roman" w:hAnsi="Times New Roman" w:cs="Times New Roman"/>
      <w:color w:val="000000"/>
      <w:sz w:val="22"/>
      <w:szCs w:val="22"/>
    </w:rPr>
  </w:style>
  <w:style w:type="character" w:styleId="931">
    <w:name w:val="Другое_"/>
    <w:next w:val="931"/>
    <w:link w:val="932"/>
    <w:pPr>
      <w:pBdr/>
      <w:spacing/>
      <w:ind/>
    </w:pPr>
    <w:rPr>
      <w:rFonts w:ascii="Times New Roman" w:hAnsi="Times New Roman" w:eastAsia="Times New Roman"/>
    </w:rPr>
  </w:style>
  <w:style w:type="paragraph" w:styleId="932">
    <w:name w:val="Другое"/>
    <w:basedOn w:val="911"/>
    <w:next w:val="932"/>
    <w:link w:val="931"/>
    <w:pPr>
      <w:widowControl w:val="false"/>
      <w:pBdr/>
      <w:spacing w:after="40" w:line="264" w:lineRule="auto"/>
      <w:ind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33">
    <w:name w:val="ConsPlusNormal Знак"/>
    <w:next w:val="933"/>
    <w:link w:val="915"/>
    <w:pPr>
      <w:pBdr/>
      <w:spacing/>
      <w:ind/>
    </w:pPr>
    <w:rPr>
      <w:rFonts w:eastAsia="Times New Roman" w:cs="Calibri"/>
      <w:sz w:val="22"/>
    </w:rPr>
  </w:style>
  <w:style w:type="paragraph" w:styleId="934">
    <w:name w:val="List Paragraph"/>
    <w:basedOn w:val="911"/>
    <w:next w:val="934"/>
    <w:link w:val="911"/>
    <w:pPr>
      <w:pBdr/>
      <w:spacing/>
      <w:ind w:left="720"/>
      <w:contextualSpacing w:val="true"/>
    </w:pPr>
    <w:rPr>
      <w:rFonts w:eastAsia="Times New Roman"/>
    </w:rPr>
  </w:style>
  <w:style w:type="paragraph" w:styleId="935">
    <w:name w:val="Подзаголовок"/>
    <w:basedOn w:val="911"/>
    <w:next w:val="911"/>
    <w:link w:val="936"/>
    <w:uiPriority w:val="11"/>
    <w:qFormat/>
    <w:pPr>
      <w:pBdr/>
      <w:spacing w:after="60"/>
      <w:ind/>
      <w:jc w:val="center"/>
      <w:outlineLvl w:val="1"/>
    </w:pPr>
    <w:rPr>
      <w:rFonts w:ascii="Calibri Light" w:hAnsi="Calibri Light" w:eastAsia="Times New Roman" w:cs="Times New Roman"/>
      <w:sz w:val="24"/>
      <w:szCs w:val="24"/>
    </w:rPr>
  </w:style>
  <w:style w:type="character" w:styleId="936">
    <w:name w:val="Подзаголовок Знак"/>
    <w:next w:val="936"/>
    <w:link w:val="935"/>
    <w:uiPriority w:val="11"/>
    <w:pPr>
      <w:pBdr/>
      <w:spacing/>
      <w:ind/>
    </w:pPr>
    <w:rPr>
      <w:rFonts w:ascii="Calibri Light" w:hAnsi="Calibri Light" w:eastAsia="Times New Roman" w:cs="Times New Roman"/>
      <w:sz w:val="24"/>
      <w:szCs w:val="24"/>
      <w:lang w:eastAsia="en-US"/>
    </w:rPr>
  </w:style>
  <w:style w:type="paragraph" w:styleId="937">
    <w:name w:val="Default"/>
    <w:next w:val="937"/>
    <w:link w:val="911"/>
    <w:pPr>
      <w:pBdr/>
      <w:spacing/>
      <w:ind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character" w:styleId="938">
    <w:name w:val="Выделение"/>
    <w:next w:val="938"/>
    <w:link w:val="911"/>
    <w:uiPriority w:val="20"/>
    <w:qFormat/>
    <w:pPr>
      <w:pBdr/>
      <w:spacing/>
      <w:ind/>
    </w:pPr>
    <w:rPr>
      <w:i/>
      <w:iCs/>
    </w:rPr>
  </w:style>
  <w:style w:type="paragraph" w:styleId="939">
    <w:name w:val="Table Paragraph"/>
    <w:basedOn w:val="911"/>
    <w:next w:val="939"/>
    <w:link w:val="911"/>
    <w:uiPriority w:val="1"/>
    <w:qFormat/>
    <w:pPr>
      <w:widowControl w:val="false"/>
      <w:pBdr/>
      <w:spacing w:after="0" w:line="240" w:lineRule="auto"/>
      <w:ind w:left="107"/>
    </w:pPr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zakupki.gov.ru/epz/ktru/ktruCard/ktru-description.html?itemId=26.51.51.110-00000426&amp;backUrl=" TargetMode="External"/><Relationship Id="rId10" Type="http://schemas.openxmlformats.org/officeDocument/2006/relationships/hyperlink" Target="https://zakupki.gov.ru/epz/ktru/ktruCard/ktru-description.html?itemId=26.51.51.110-00000426&amp;backUrl=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SPecialiST RePack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revision>23</cp:revision>
  <dcterms:created xsi:type="dcterms:W3CDTF">2024-09-05T00:11:00Z</dcterms:created>
  <dcterms:modified xsi:type="dcterms:W3CDTF">2026-04-29T03:47:23Z</dcterms:modified>
  <cp:version>1048576</cp:version>
</cp:coreProperties>
</file>