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Bdr/>
        <w:spacing/>
        <w:ind/>
        <w:jc w:val="center"/>
        <w:rPr>
          <w:rFonts w:ascii="Times New Roman" w:hAnsi="Times New Roman"/>
          <w:b/>
          <w:bCs/>
        </w:rPr>
      </w:pPr>
      <w:r/>
      <w:bookmarkStart w:id="0" w:name="_Toc150052236"/>
      <w:r>
        <w:rPr>
          <w:rFonts w:ascii="Times New Roman" w:hAnsi="Times New Roman"/>
          <w:b/>
          <w:bCs/>
        </w:rPr>
        <w:t xml:space="preserve">ОПИСАНИЕ ОБЪЕКТА ЗАКУПКИ</w:t>
      </w:r>
      <w:bookmarkEnd w:id="0"/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Bdr/>
        <w:tabs>
          <w:tab w:val="left" w:leader="none" w:pos="-1600"/>
          <w:tab w:val="left" w:leader="none" w:pos="-1060"/>
          <w:tab w:val="left" w:leader="none" w:pos="-880"/>
          <w:tab w:val="left" w:leader="none" w:pos="-520"/>
        </w:tabs>
        <w:spacing/>
        <w:ind w:left="-2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907"/>
        <w:numPr>
          <w:ilvl w:val="0"/>
          <w:numId w:val="3"/>
        </w:numPr>
        <w:pBdr/>
        <w:tabs>
          <w:tab w:val="left" w:leader="none" w:pos="426"/>
        </w:tabs>
        <w:spacing w:after="0"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Предмет закупки: 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ar-SA"/>
        </w:rPr>
        <w:t xml:space="preserve">Термометры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; КТРУ - </w:t>
      </w:r>
      <w:hyperlink r:id="rId9" w:tooltip="https://zakupki.gov.ru/epz/ktru/ktruCard/ktru-description.html?itemId=26.51.51.110-00000426&amp;backUrl=" w:history="1">
        <w:r>
          <w:rPr>
            <w:rStyle w:val="921"/>
            <w:rFonts w:ascii="Times New Roman" w:hAnsi="Times New Roman" w:eastAsia="Times New Roman" w:cs="Times New Roman"/>
            <w:color w:val="000000" w:themeColor="text1"/>
            <w:sz w:val="24"/>
            <w:szCs w:val="24"/>
            <w:highlight w:val="white"/>
            <w:u w:val="none"/>
          </w:rPr>
          <w:t xml:space="preserve">26.51.51.110-00000</w:t>
        </w:r>
        <w:r>
          <w:rPr>
            <w:rStyle w:val="921"/>
            <w:rFonts w:ascii="Times New Roman" w:hAnsi="Times New Roman" w:eastAsia="Times New Roman" w:cs="Times New Roman"/>
            <w:color w:val="000000" w:themeColor="text1"/>
            <w:sz w:val="24"/>
            <w:szCs w:val="24"/>
            <w:highlight w:val="none"/>
            <w:u w:val="none"/>
          </w:rPr>
          <w:t xml:space="preserve">444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07"/>
        <w:numPr>
          <w:ilvl w:val="0"/>
          <w:numId w:val="3"/>
        </w:numPr>
        <w:pBdr/>
        <w:tabs>
          <w:tab w:val="left" w:leader="none" w:pos="426"/>
        </w:tabs>
        <w:spacing w:after="0"/>
        <w:ind w:hanging="426"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Место и срок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поставки товара: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675000, Амурская область, г. Благовещенск, ул. Ленина, д. 165Д, в течение 30 (тридцати) рабочих дней.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7"/>
        <w:numPr>
          <w:ilvl w:val="0"/>
          <w:numId w:val="3"/>
        </w:numPr>
        <w:pBdr/>
        <w:tabs>
          <w:tab w:val="left" w:leader="none" w:pos="426"/>
        </w:tabs>
        <w:spacing w:after="0"/>
        <w:ind w:firstLine="0"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Требования к товару (работам, услугам):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Style w:val="920"/>
        <w:tblInd w:w="-34" w:type="dxa"/>
        <w:tblW w:w="5032" w:type="pct"/>
        <w:tblBorders/>
        <w:tblLayout w:type="fixed"/>
        <w:tblLook w:val="04A0" w:firstRow="1" w:lastRow="0" w:firstColumn="1" w:lastColumn="0" w:noHBand="0" w:noVBand="1"/>
      </w:tblPr>
      <w:tblGrid>
        <w:gridCol w:w="423"/>
        <w:gridCol w:w="1417"/>
        <w:gridCol w:w="1986"/>
        <w:gridCol w:w="2409"/>
        <w:gridCol w:w="1984"/>
        <w:gridCol w:w="1559"/>
        <w:gridCol w:w="3267"/>
        <w:gridCol w:w="1128"/>
        <w:gridCol w:w="708"/>
      </w:tblGrid>
      <w:tr>
        <w:trPr>
          <w:trHeight w:val="34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№ п/п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Наименование товара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6" w:type="dxa"/>
            <w:vAlign w:val="center"/>
            <w:vMerge w:val="restart"/>
            <w:textDirection w:val="lrTb"/>
            <w:noWrap w:val="false"/>
          </w:tcPr>
          <w:p>
            <w:pPr>
              <w:pStyle w:val="919"/>
              <w:pBdr/>
              <w:spacing/>
              <w:ind w:right="-57"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Код КТРУ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pStyle w:val="919"/>
              <w:pBdr/>
              <w:spacing/>
              <w:ind w:right="-57" w:lef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19" w:type="dxa"/>
            <w:vAlign w:val="center"/>
            <w:textDirection w:val="lrTb"/>
            <w:noWrap w:val="false"/>
          </w:tcPr>
          <w:p>
            <w:pPr>
              <w:pStyle w:val="916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Характеристики товара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8" w:type="dxa"/>
            <w:vAlign w:val="center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Единица измерения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Кол-во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45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Style w:val="916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Наименование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16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показателя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916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Значение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16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показателя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16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Единица измерения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16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показателя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  <w:t xml:space="preserve">Тип характеристики</w:t>
            </w:r>
            <w:r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</w:tr>
      <w:tr>
        <w:trPr>
          <w:trHeight w:val="244"/>
        </w:trPr>
        <w:tc>
          <w:tcPr>
            <w:shd w:val="clear" w:color="ffffff" w:fill="ffffff"/>
            <w:tcBorders/>
            <w:tcW w:w="4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right="-57" w:left="5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 xml:space="preserve">Термометр стеклянный ртутный для точных измерений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198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left="-108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pPr>
            <w:r/>
            <w:hyperlink r:id="rId10" w:tooltip="https://zakupki.gov.ru/epz/ktru/ktruCard/ktru-description.html?itemId=26.51.51.110-00000426&amp;backUrl=" w:history="1">
              <w:r>
                <w:rPr>
                  <w:rStyle w:val="921"/>
                  <w:rFonts w:ascii="Times New Roman" w:hAnsi="Times New Roman"/>
                  <w:i/>
                  <w:iCs/>
                  <w:color w:val="000000" w:themeColor="text1"/>
                  <w:sz w:val="20"/>
                  <w:highlight w:val="white"/>
                  <w:u w:val="none"/>
                </w:rPr>
                <w:t xml:space="preserve">26.51.51.110-0</w:t>
              </w:r>
              <w:r>
                <w:rPr>
                  <w:rStyle w:val="921"/>
                  <w:rFonts w:ascii="Times New Roman" w:hAnsi="Times New Roman"/>
                  <w:i/>
                  <w:iCs/>
                  <w:color w:val="000000" w:themeColor="text1"/>
                  <w:sz w:val="20"/>
                  <w:u w:val="none"/>
                </w:rPr>
                <w:t xml:space="preserve">00004</w:t>
              </w:r>
              <w:r>
                <w:rPr>
                  <w:rStyle w:val="921"/>
                  <w:rFonts w:ascii="Times New Roman" w:hAnsi="Times New Roman"/>
                  <w:i/>
                  <w:iCs/>
                  <w:color w:val="000000" w:themeColor="text1"/>
                  <w:sz w:val="20"/>
                  <w:u w:val="none"/>
                  <w:lang w:val="en-US"/>
                </w:rPr>
                <w:t xml:space="preserve">44</w:t>
              </w:r>
            </w:hyperlink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Группа термометра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lang w:val="en-US"/>
              </w:rPr>
              <w:t xml:space="preserve">II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  <w:lang w:val="en-US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—</w:t>
            </w:r>
            <w:r/>
          </w:p>
        </w:tc>
        <w:tc>
          <w:tcPr>
            <w:shd w:val="clear" w:color="ffffff" w:fill="ffffff"/>
            <w:tcBorders/>
            <w:tcW w:w="326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112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color w:val="000000" w:themeColor="text1"/>
                <w:sz w:val="20"/>
              </w:rPr>
            </w:pP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  <w:t xml:space="preserve">шт</w:t>
            </w: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42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98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Номер термометра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2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—</w:t>
            </w:r>
            <w:r/>
          </w:p>
        </w:tc>
        <w:tc>
          <w:tcPr>
            <w:shd w:val="clear" w:color="ffffff" w:fill="ffffff"/>
            <w:tcBorders/>
            <w:tcW w:w="326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11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color w:val="000000" w:themeColor="text1"/>
                <w:sz w:val="20"/>
              </w:rPr>
            </w:pP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42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98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Цена деления шкалы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0,1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Градус Цельсия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326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Количественная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11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color w:val="000000" w:themeColor="text1"/>
                <w:sz w:val="20"/>
              </w:rPr>
            </w:pP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/>
            <w:tcW w:w="42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98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24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Тип термометра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984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ТЛ-4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—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32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Качественная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1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/>
            <w:tcW w:w="423" w:type="dxa"/>
            <w:vMerge w:val="continue"/>
            <w:textDirection w:val="lrTb"/>
            <w:noWrap w:val="false"/>
          </w:tcPr>
          <w:p>
            <w:pPr>
              <w:pStyle w:val="907"/>
              <w:pBdr/>
              <w:spacing w:after="0"/>
              <w:ind w:right="-57" w:left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98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24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Диапазон измерений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984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от 0 до +55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Градус Цельсия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32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Количественная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1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/>
            <w:tcW w:w="423" w:type="dxa"/>
            <w:vMerge w:val="continue"/>
            <w:textDirection w:val="lrTb"/>
            <w:noWrap w:val="false"/>
          </w:tcPr>
          <w:p>
            <w:pPr>
              <w:pBdr/>
              <w:spacing/>
              <w:ind w:right="-57"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98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24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Термометрическая жидкость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984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Ртуть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—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32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Качественная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1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/>
            <w:tcW w:w="423" w:type="dxa"/>
            <w:vMerge w:val="continue"/>
            <w:textDirection w:val="lrTb"/>
            <w:noWrap w:val="false"/>
          </w:tcPr>
          <w:p>
            <w:pPr>
              <w:pBdr/>
              <w:spacing/>
              <w:ind w:right="-57"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98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24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Нормативный документ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984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ТУ 25-2021.003-88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—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32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Качественная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1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/>
            <w:tcW w:w="423" w:type="dxa"/>
            <w:vMerge w:val="continue"/>
            <w:textDirection w:val="lrTb"/>
            <w:noWrap w:val="false"/>
          </w:tcPr>
          <w:p>
            <w:pPr>
              <w:pBdr/>
              <w:spacing/>
              <w:ind w:right="-57"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98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24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Первичная поверка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984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Наличие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—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32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Качественная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1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/>
            <w:tcW w:w="423" w:type="dxa"/>
            <w:vMerge w:val="continue"/>
            <w:textDirection w:val="lrTb"/>
            <w:noWrap w:val="false"/>
          </w:tcPr>
          <w:p>
            <w:pPr>
              <w:pBdr/>
              <w:spacing/>
              <w:ind w:right="-57"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98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24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Паспорт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984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Наличие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—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32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Качественная</w:t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auto" w:fill="auto"/>
            <w:tcBorders/>
            <w:tcW w:w="11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Bdr/>
        <w:spacing/>
        <w:ind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Bdr/>
        <w:spacing w:line="200" w:lineRule="atLeast"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iCs/>
          <w:szCs w:val="24"/>
        </w:rPr>
        <w:t xml:space="preserve">*</w:t>
      </w:r>
      <w:r>
        <w:rPr>
          <w:rFonts w:ascii="Times New Roman" w:hAnsi="Times New Roman"/>
          <w:bCs/>
          <w:i/>
          <w:iCs/>
          <w:szCs w:val="24"/>
          <w:lang w:eastAsia="ar-SA"/>
        </w:rPr>
        <w:t xml:space="preserve">Обоснование использования дополнительных характеристик: </w:t>
      </w:r>
      <w:bookmarkStart w:id="1" w:name="_GoBack"/>
      <w:r/>
      <w:bookmarkEnd w:id="1"/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Bdr/>
        <w:spacing w:line="200" w:lineRule="atLeast"/>
        <w:ind/>
        <w:jc w:val="both"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  <w:i/>
          <w:szCs w:val="24"/>
        </w:rPr>
        <w:t xml:space="preserve">Заказчик при описании объекта закупки руководствовался требованиями и правилами описания объекта закупки, предусмотренными ст. 33 Федерального закона от 05.04.2013 N 44-ФЗ «О контрактной системе в сфере закупок товаров, работ, услуг для обеспечения государ</w:t>
      </w:r>
      <w:r>
        <w:rPr>
          <w:rFonts w:ascii="Times New Roman" w:hAnsi="Times New Roman"/>
          <w:i/>
          <w:szCs w:val="24"/>
        </w:rPr>
        <w:t xml:space="preserve">ственных и муниципальных нужд»,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</w:t>
      </w:r>
      <w:r>
        <w:rPr>
          <w:rFonts w:ascii="Times New Roman" w:hAnsi="Times New Roman"/>
          <w:i/>
          <w:szCs w:val="24"/>
        </w:rPr>
        <w:t xml:space="preserve"> нужд и Правил использования каталога товаров, работ, услуг для обеспечения государственных и муниципальных нужд». Характеристики установлены согласно сведениям, размещенным на портале госзакупок в Единой информационной системе в сфере закупок, в соответст</w:t>
      </w:r>
      <w:r>
        <w:rPr>
          <w:rFonts w:ascii="Times New Roman" w:hAnsi="Times New Roman"/>
          <w:i/>
          <w:szCs w:val="24"/>
        </w:rPr>
        <w:t xml:space="preserve">вии с Каталогом товаров, работ и услуг .</w:t>
      </w:r>
      <w:r>
        <w:rPr>
          <w:rFonts w:ascii="Times New Roman" w:hAnsi="Times New Roman"/>
          <w:i/>
          <w:iCs/>
          <w:szCs w:val="24"/>
        </w:rPr>
        <w:t xml:space="preserve">Дополнительные характеристики о потребительских свойствах, в том числе функциональных, технических, качественных, эксплуатационных установлены в соответствии с требованиями ГОСТ 25336-82 для обеспечения более точного</w:t>
      </w:r>
      <w:r>
        <w:rPr>
          <w:rFonts w:ascii="Times New Roman" w:hAnsi="Times New Roman"/>
          <w:i/>
          <w:iCs/>
          <w:szCs w:val="24"/>
        </w:rPr>
        <w:t xml:space="preserve"> и четкого описания объектов закупки согласно ч.1 п.1 ст.33 44-ФЗ</w:t>
      </w:r>
      <w:r>
        <w:rPr>
          <w:rFonts w:ascii="Times New Roman" w:hAnsi="Times New Roman"/>
          <w:i/>
          <w:iCs/>
          <w:szCs w:val="24"/>
        </w:rPr>
      </w:r>
      <w:r>
        <w:rPr>
          <w:rFonts w:ascii="Times New Roman" w:hAnsi="Times New Roman"/>
          <w:i/>
          <w:iCs/>
          <w:szCs w:val="24"/>
        </w:rPr>
      </w:r>
    </w:p>
    <w:p>
      <w:pPr>
        <w:pBdr/>
        <w:spacing w:after="120"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tabs>
          <w:tab w:val="left" w:leader="none" w:pos="3338"/>
        </w:tabs>
        <w:spacing/>
        <w:ind/>
        <w:rPr>
          <w:rFonts w:ascii="Times New Roman" w:hAnsi="Times New Roman"/>
          <w:b/>
          <w:color w:val="00000a"/>
          <w:szCs w:val="24"/>
        </w:rPr>
      </w:pPr>
      <w:r>
        <w:rPr>
          <w:rFonts w:ascii="Times New Roman" w:hAnsi="Times New Roman"/>
          <w:b/>
          <w:color w:val="00000a"/>
          <w:szCs w:val="24"/>
        </w:rPr>
        <w:t xml:space="preserve">4. Требования к документации на товар:</w:t>
      </w:r>
      <w:r>
        <w:rPr>
          <w:rFonts w:ascii="Times New Roman" w:hAnsi="Times New Roman"/>
          <w:b/>
          <w:color w:val="00000a"/>
          <w:szCs w:val="24"/>
        </w:rPr>
      </w:r>
      <w:r>
        <w:rPr>
          <w:rFonts w:ascii="Times New Roman" w:hAnsi="Times New Roman"/>
          <w:b/>
          <w:color w:val="00000a"/>
          <w:szCs w:val="24"/>
        </w:rPr>
      </w:r>
    </w:p>
    <w:p>
      <w:pPr>
        <w:keepNext w:val="true"/>
        <w:pBdr/>
        <w:shd w:val="clear" w:color="auto" w:fill="ffffff"/>
        <w:spacing/>
        <w:ind/>
        <w:rPr>
          <w:rFonts w:ascii="Times New Roman" w:hAnsi="Times New Roman"/>
          <w:color w:val="00000a"/>
          <w:szCs w:val="24"/>
          <w:highlight w:val="white"/>
        </w:rPr>
      </w:pPr>
      <w:r>
        <w:rPr>
          <w:rFonts w:ascii="Times New Roman" w:hAnsi="Times New Roman"/>
          <w:color w:val="00000a"/>
          <w:szCs w:val="24"/>
          <w:highlight w:val="white"/>
        </w:rPr>
        <w:t xml:space="preserve">Наличие нормативно-технической документации на русском языке:</w:t>
      </w:r>
      <w:r>
        <w:rPr>
          <w:rFonts w:ascii="Times New Roman" w:hAnsi="Times New Roman"/>
          <w:color w:val="00000a"/>
          <w:szCs w:val="24"/>
          <w:highlight w:val="white"/>
        </w:rPr>
      </w:r>
      <w:r>
        <w:rPr>
          <w:rFonts w:ascii="Times New Roman" w:hAnsi="Times New Roman"/>
          <w:color w:val="00000a"/>
          <w:szCs w:val="24"/>
          <w:highlight w:val="white"/>
        </w:rPr>
      </w:r>
    </w:p>
    <w:p>
      <w:pPr>
        <w:keepNext w:val="true"/>
        <w:pBdr/>
        <w:spacing/>
        <w:ind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  <w:highlight w:val="white"/>
        </w:rPr>
        <w:t xml:space="preserve">- паспорт;</w:t>
      </w:r>
      <w:r>
        <w:rPr>
          <w:rFonts w:ascii="Times New Roman" w:hAnsi="Times New Roman"/>
          <w:color w:val="00000a"/>
          <w:szCs w:val="24"/>
        </w:rPr>
      </w:r>
      <w:r>
        <w:rPr>
          <w:rFonts w:ascii="Times New Roman" w:hAnsi="Times New Roman"/>
          <w:color w:val="00000a"/>
          <w:szCs w:val="24"/>
        </w:rPr>
      </w:r>
    </w:p>
    <w:p>
      <w:pPr>
        <w:pStyle w:val="879"/>
        <w:pBdr/>
        <w:spacing/>
        <w:ind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 xml:space="preserve">- наличие сведений о поверке посредством центра метрологии в системе ФГИС «АРШИН» на момент поставки;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879"/>
        <w:pBdr/>
        <w:spacing/>
        <w:ind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 xml:space="preserve">- копия свидетельства об утверждении типа средств измерений Федерального агентства по техническому регулированию и метрологии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879"/>
        <w:pBdr/>
        <w:spacing/>
        <w:ind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  <w:lang w:eastAsia="en-US"/>
        </w:rPr>
        <w:t xml:space="preserve">Примечание: указанные докуме</w:t>
      </w:r>
      <w:r>
        <w:rPr>
          <w:rFonts w:ascii="Times New Roman" w:hAnsi="Times New Roman"/>
          <w:i/>
          <w:szCs w:val="24"/>
          <w:lang w:eastAsia="en-US"/>
        </w:rPr>
        <w:t xml:space="preserve">нты могут быть предоставлены как в виде отдельных документов, так и объединены в один документ.</w:t>
      </w:r>
      <w:r>
        <w:rPr>
          <w:rFonts w:ascii="Times New Roman" w:hAnsi="Times New Roman"/>
          <w:i/>
          <w:szCs w:val="24"/>
        </w:rPr>
      </w:r>
      <w:r>
        <w:rPr>
          <w:rFonts w:ascii="Times New Roman" w:hAnsi="Times New Roman"/>
          <w:i/>
          <w:szCs w:val="24"/>
        </w:rPr>
      </w:r>
    </w:p>
    <w:p>
      <w:pPr>
        <w:pStyle w:val="879"/>
        <w:pBdr/>
        <w:spacing/>
        <w:ind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  <w:i/>
          <w:iCs/>
          <w:szCs w:val="24"/>
          <w:lang w:eastAsia="en-US"/>
        </w:rPr>
        <w:t xml:space="preserve">Остаточный срок поверки товара должен составлять не менее 70% от срока поверки, указанного в свидетельстве, на момент поставки товара.</w:t>
      </w:r>
      <w:r>
        <w:rPr>
          <w:rFonts w:ascii="Times New Roman" w:hAnsi="Times New Roman"/>
          <w:i/>
          <w:iCs/>
          <w:szCs w:val="24"/>
        </w:rPr>
      </w:r>
      <w:r>
        <w:rPr>
          <w:rFonts w:ascii="Times New Roman" w:hAnsi="Times New Roman"/>
          <w:i/>
          <w:iCs/>
          <w:szCs w:val="24"/>
        </w:rPr>
      </w:r>
    </w:p>
    <w:p>
      <w:pPr>
        <w:keepNext w:val="true"/>
        <w:pBdr/>
        <w:shd w:val="clear" w:color="auto" w:fill="ffffff"/>
        <w:spacing/>
        <w:ind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</w:r>
      <w:r>
        <w:rPr>
          <w:rFonts w:ascii="Times New Roman" w:hAnsi="Times New Roman"/>
          <w:color w:val="00000a"/>
          <w:szCs w:val="24"/>
        </w:rPr>
      </w:r>
      <w:r>
        <w:rPr>
          <w:rFonts w:ascii="Times New Roman" w:hAnsi="Times New Roman"/>
          <w:color w:val="00000a"/>
          <w:szCs w:val="24"/>
        </w:rPr>
      </w:r>
    </w:p>
    <w:p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 xml:space="preserve">5. Требования к сроку и (или) объему предоставления гарантий качества товара, к гарантийному сроку и гарантийным обязательствам по обслуживанию товара, к расходам на эксплуатацию товара:</w:t>
      </w:r>
      <w:r>
        <w:rPr>
          <w:rFonts w:ascii="Times New Roman" w:hAnsi="Times New Roman"/>
          <w:b/>
          <w:iCs/>
          <w:szCs w:val="24"/>
        </w:rPr>
      </w:r>
      <w:r>
        <w:rPr>
          <w:rFonts w:ascii="Times New Roman" w:hAnsi="Times New Roman"/>
          <w:b/>
          <w:iCs/>
          <w:szCs w:val="24"/>
        </w:rPr>
      </w:r>
    </w:p>
    <w:p>
      <w:pPr>
        <w:keepNext w:val="true"/>
        <w:pBdr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24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месяца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pacing/>
        <w:ind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6</w:t>
      </w:r>
      <w:r>
        <w:rPr>
          <w:rFonts w:ascii="Times New Roman" w:hAnsi="Times New Roman"/>
          <w:b/>
          <w:bCs/>
          <w:szCs w:val="24"/>
        </w:rPr>
        <w:t xml:space="preserve">. Место поставки товара: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Поставщик самостоятельно до</w:t>
      </w:r>
      <w:r>
        <w:rPr>
          <w:rFonts w:ascii="Times New Roman" w:hAnsi="Times New Roman"/>
          <w:szCs w:val="24"/>
        </w:rPr>
        <w:t xml:space="preserve">ставляет Товар Заказчику в рабочие дни с 9.00 до 17.00 по следующему адресу: ФГБУ «ЦЛАТИ по ДФО» (филиал ЦЛАТИ по Амурской области): 675000, Амурская область, г. Благовещенск, ул. Ленина, 165/Д. Тел.:8 (4162) 59-39-87.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7</w:t>
      </w:r>
      <w:r>
        <w:rPr>
          <w:rFonts w:ascii="Times New Roman" w:hAnsi="Times New Roman"/>
          <w:b/>
          <w:bCs/>
          <w:szCs w:val="24"/>
        </w:rPr>
        <w:t xml:space="preserve">. Срок поставки товара: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Поставка то</w:t>
      </w:r>
      <w:r>
        <w:rPr>
          <w:rFonts w:ascii="Times New Roman" w:hAnsi="Times New Roman"/>
          <w:szCs w:val="24"/>
        </w:rPr>
        <w:t xml:space="preserve">вара осуществляется до 29.06.2026г.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pacing/>
        <w:ind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8. Требования к товару: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keepNext w:val="true"/>
        <w:pBdr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8.1. Товар новый, который не был в употреблении, не подвергался ремонту, в том числе восстановлению, замене составных частей, восстановлению потребительских свойств.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8.2. Товар не должен иметь де</w:t>
      </w:r>
      <w:r>
        <w:rPr>
          <w:rFonts w:ascii="Times New Roman" w:hAnsi="Times New Roman"/>
          <w:szCs w:val="24"/>
        </w:rPr>
        <w:t xml:space="preserve">фектов, связанных с разработкой, материалами и качеством изготовления, либо проявляющихся в результате действия или упущения поставщика при нормальном использовании поставленных товаров.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8.3. Товар не должен являться выставочным образцом, не должен быть со</w:t>
      </w:r>
      <w:r>
        <w:rPr>
          <w:rFonts w:ascii="Times New Roman" w:hAnsi="Times New Roman"/>
          <w:szCs w:val="24"/>
        </w:rPr>
        <w:t xml:space="preserve">бран из восстановленных деталей.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8.4. Год изготовления – не нормируется. 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8.5. Товар должен быть в упаковке, соответствующей характеру поставляемого товара и способу транспортировки. Упаковка должна предохранять товар от повреждений. Упаковка и маркировка </w:t>
      </w:r>
      <w:r>
        <w:rPr>
          <w:rFonts w:ascii="Times New Roman" w:hAnsi="Times New Roman"/>
          <w:szCs w:val="24"/>
        </w:rPr>
        <w:t xml:space="preserve">товара должна соответствовать требованиям ГОСТ, импортный товар - международным стандартам упаковки. Информация о товаре, в том числе маркировка на упаковке должна быть на русском языке или продублирована на русском языке.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8.6 Маркировка должна содержать с</w:t>
      </w:r>
      <w:r>
        <w:rPr>
          <w:rFonts w:ascii="Times New Roman" w:hAnsi="Times New Roman"/>
          <w:szCs w:val="24"/>
        </w:rPr>
        <w:t xml:space="preserve">ведения о товаре: его наименование, параметры, дату производства, номер партии, сведения о производителе товара, а также иные обозначения в соответствии с действующими международными стандартами и требованиями ГОСТ.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 xml:space="preserve">8.7. </w:t>
      </w:r>
      <w:r>
        <w:rPr>
          <w:rFonts w:ascii="Times New Roman" w:hAnsi="Times New Roman"/>
          <w:szCs w:val="24"/>
          <w:lang w:eastAsia="en-US"/>
        </w:rPr>
        <w:t xml:space="preserve">Товар должен быть поверен в соответ</w:t>
      </w:r>
      <w:r>
        <w:rPr>
          <w:rFonts w:ascii="Times New Roman" w:hAnsi="Times New Roman"/>
          <w:szCs w:val="24"/>
          <w:lang w:eastAsia="en-US"/>
        </w:rPr>
        <w:t xml:space="preserve">ствии с требованиями Федерального закона от 26.06.2008 № 102-ФЗ «Об обеспечении единства измерений», Приказа Минпромторга России от 31.07.2020 № 2510 "Об утверждении порядка проведения поверки средств измерений, требований к знаку поверки и содержанию свид</w:t>
      </w:r>
      <w:r>
        <w:rPr>
          <w:rFonts w:ascii="Times New Roman" w:hAnsi="Times New Roman"/>
          <w:szCs w:val="24"/>
          <w:lang w:eastAsia="en-US"/>
        </w:rPr>
        <w:t xml:space="preserve">етельства о поверке", Постановления Правительства РФ от 20.04.2010 № 250 "О перечне средств измерений,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</w:t>
      </w:r>
      <w:r>
        <w:rPr>
          <w:rFonts w:ascii="Times New Roman" w:hAnsi="Times New Roman"/>
          <w:szCs w:val="24"/>
          <w:lang w:eastAsia="en-US"/>
        </w:rPr>
        <w:t xml:space="preserve">нтрами метрологии 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Cs w:val="24"/>
          <w:highlight w:val="yellow"/>
        </w:rPr>
      </w:pPr>
      <w:r>
        <w:rPr>
          <w:rFonts w:ascii="Times New Roman" w:hAnsi="Times New Roman"/>
          <w:szCs w:val="24"/>
          <w:highlight w:val="yellow"/>
        </w:rPr>
      </w:r>
      <w:r>
        <w:rPr>
          <w:rFonts w:ascii="Times New Roman" w:hAnsi="Times New Roman"/>
          <w:szCs w:val="24"/>
          <w:highlight w:val="yellow"/>
        </w:rPr>
      </w:r>
      <w:r>
        <w:rPr>
          <w:rFonts w:ascii="Times New Roman" w:hAnsi="Times New Roman"/>
          <w:szCs w:val="24"/>
          <w:highlight w:val="yellow"/>
        </w:rPr>
      </w:r>
    </w:p>
    <w:p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9. Сведения о включенных в цену контракта расходах: </w:t>
      </w:r>
      <w:r>
        <w:rPr>
          <w:rFonts w:ascii="Times New Roman" w:hAnsi="Times New Roman"/>
          <w:b/>
          <w:bCs/>
          <w:szCs w:val="24"/>
        </w:rPr>
      </w:r>
      <w:r>
        <w:rPr>
          <w:rFonts w:ascii="Times New Roman" w:hAnsi="Times New Roman"/>
          <w:b/>
          <w:bCs/>
          <w:szCs w:val="24"/>
        </w:rPr>
      </w:r>
    </w:p>
    <w:p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Цена Контракта включает в себя: стоимость Товара, упаковки (тары), маркировки, расходы, связанные с доставкой (перевозкой), погрузкой - разгрузкой, </w:t>
      </w:r>
      <w:r>
        <w:rPr>
          <w:rFonts w:ascii="Times New Roman" w:hAnsi="Times New Roman"/>
          <w:szCs w:val="24"/>
        </w:rPr>
        <w:t xml:space="preserve">размещением Товара в местах хранения Заказчика, поверка, гарантийные обязательства, страхование, таможенные платежи (пошлины), в том числе все применимые налоги, пошлины, сборы и иные расходы Поставщика, связанные с исполнением Контракта.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Заместитель н</w:t>
      </w:r>
      <w:r>
        <w:rPr>
          <w:rFonts w:ascii="Times New Roman" w:hAnsi="Times New Roman"/>
          <w:szCs w:val="24"/>
        </w:rPr>
        <w:t xml:space="preserve">ачальник</w:t>
      </w:r>
      <w:r>
        <w:rPr>
          <w:rFonts w:ascii="Times New Roman" w:hAnsi="Times New Roman"/>
          <w:szCs w:val="24"/>
        </w:rPr>
        <w:t xml:space="preserve">а испытательной</w:t>
      </w:r>
      <w:r>
        <w:rPr>
          <w:rFonts w:ascii="Times New Roman" w:hAnsi="Times New Roman"/>
          <w:szCs w:val="24"/>
        </w:rPr>
        <w:t xml:space="preserve"> лаборатории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               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Станкова А.В.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h="11906" w:orient="landscape" w:w="16838"/>
      <w:pgMar w:top="851" w:right="1134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MS Mincho">
    <w:panose1 w:val="02040604050505090304"/>
  </w:font>
  <w:font w:name="Tahoma">
    <w:panose1 w:val="020B0604030504040204"/>
  </w:font>
  <w:font w:name="Arial">
    <w:panose1 w:val="020B0604020202020204"/>
  </w:font>
  <w:font w:name="Gilroy">
    <w:panose1 w:val="05040102010807070707"/>
  </w:font>
  <w:font w:name="Times New Roman">
    <w:panose1 w:val="02020603050405020304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ADE10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55501C5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  <w:bCs w:val="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2">
    <w:nsid w:val="5714584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72B5543B"/>
    <w:lvl w:ilvl="0">
      <w:isLgl w:val="false"/>
      <w:lvlJc w:val="left"/>
      <w:lvlText w:val="%1."/>
      <w:numFmt w:val="decimal"/>
      <w:pPr>
        <w:pBdr/>
        <w:spacing/>
        <w:ind w:hanging="360" w:left="50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 w:default="1">
    <w:name w:val="Normal"/>
    <w:qFormat/>
    <w:pPr>
      <w:pBdr/>
      <w:spacing w:after="0" w:line="240" w:lineRule="auto"/>
      <w:ind/>
    </w:pPr>
    <w:rPr>
      <w:rFonts w:ascii="Liberation Serif" w:hAnsi="Liberation Serif" w:eastAsia="Times New Roman" w:cs="Times New Roman"/>
      <w:color w:val="000000"/>
      <w:sz w:val="24"/>
      <w:szCs w:val="20"/>
      <w:lang w:eastAsia="ru-RU"/>
    </w:rPr>
  </w:style>
  <w:style w:type="paragraph" w:styleId="710">
    <w:name w:val="Heading 1"/>
    <w:basedOn w:val="709"/>
    <w:link w:val="922"/>
    <w:uiPriority w:val="9"/>
    <w:qFormat/>
    <w:pPr>
      <w:pBdr/>
      <w:spacing w:after="100" w:afterAutospacing="1" w:before="100" w:beforeAutospacing="1"/>
      <w:ind/>
      <w:outlineLvl w:val="0"/>
    </w:pPr>
    <w:rPr>
      <w:rFonts w:ascii="Times New Roman" w:hAnsi="Times New Roman"/>
      <w:b/>
      <w:bCs/>
      <w:color w:val="auto"/>
      <w:sz w:val="48"/>
      <w:szCs w:val="48"/>
    </w:rPr>
  </w:style>
  <w:style w:type="paragraph" w:styleId="711">
    <w:name w:val="Heading 2"/>
    <w:basedOn w:val="709"/>
    <w:next w:val="709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12">
    <w:name w:val="Heading 3"/>
    <w:basedOn w:val="709"/>
    <w:next w:val="709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13">
    <w:name w:val="Heading 4"/>
    <w:basedOn w:val="709"/>
    <w:next w:val="709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14">
    <w:name w:val="Heading 5"/>
    <w:basedOn w:val="709"/>
    <w:next w:val="709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15">
    <w:name w:val="Heading 6"/>
    <w:basedOn w:val="709"/>
    <w:next w:val="709"/>
    <w:link w:val="86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6">
    <w:name w:val="Heading 7"/>
    <w:basedOn w:val="709"/>
    <w:next w:val="709"/>
    <w:link w:val="86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7">
    <w:name w:val="Heading 8"/>
    <w:basedOn w:val="709"/>
    <w:next w:val="709"/>
    <w:link w:val="86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8">
    <w:name w:val="Heading 9"/>
    <w:basedOn w:val="709"/>
    <w:next w:val="709"/>
    <w:link w:val="86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9" w:default="1">
    <w:name w:val="Default Paragraph Font"/>
    <w:uiPriority w:val="1"/>
    <w:semiHidden/>
    <w:unhideWhenUsed/>
    <w:pPr>
      <w:pBdr/>
      <w:spacing/>
      <w:ind/>
    </w:pPr>
  </w:style>
  <w:style w:type="table" w:styleId="72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1" w:default="1">
    <w:name w:val="No List"/>
    <w:uiPriority w:val="99"/>
    <w:semiHidden/>
    <w:unhideWhenUsed/>
    <w:pPr>
      <w:pBdr/>
      <w:spacing/>
      <w:ind/>
    </w:pPr>
  </w:style>
  <w:style w:type="character" w:styleId="722" w:customStyle="1">
    <w:name w:val="Heading 2 Char"/>
    <w:basedOn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23" w:customStyle="1">
    <w:name w:val="Heading 3 Char"/>
    <w:basedOn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24" w:customStyle="1">
    <w:name w:val="Heading 4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25" w:customStyle="1">
    <w:name w:val="Heading 5 Char"/>
    <w:basedOn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26" w:customStyle="1">
    <w:name w:val="Heading 6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7" w:customStyle="1">
    <w:name w:val="Heading 7 Char"/>
    <w:basedOn w:val="71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8" w:customStyle="1">
    <w:name w:val="Heading 8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9" w:customStyle="1">
    <w:name w:val="Heading 9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0" w:customStyle="1">
    <w:name w:val="Subtitle Char"/>
    <w:basedOn w:val="7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1" w:customStyle="1">
    <w:name w:val="Quote Char"/>
    <w:basedOn w:val="71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2" w:customStyle="1">
    <w:name w:val="Intense Quote Char"/>
    <w:basedOn w:val="71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33" w:customStyle="1">
    <w:name w:val="Header Char"/>
    <w:basedOn w:val="719"/>
    <w:uiPriority w:val="99"/>
    <w:pPr>
      <w:pBdr/>
      <w:spacing/>
      <w:ind/>
    </w:pPr>
  </w:style>
  <w:style w:type="character" w:styleId="734" w:customStyle="1">
    <w:name w:val="Footer Char"/>
    <w:basedOn w:val="719"/>
    <w:uiPriority w:val="99"/>
    <w:pPr>
      <w:pBdr/>
      <w:spacing/>
      <w:ind/>
    </w:pPr>
  </w:style>
  <w:style w:type="character" w:styleId="735" w:customStyle="1">
    <w:name w:val="Footnote Text Char"/>
    <w:basedOn w:val="719"/>
    <w:uiPriority w:val="99"/>
    <w:semiHidden/>
    <w:pPr>
      <w:pBdr/>
      <w:spacing/>
      <w:ind/>
    </w:pPr>
    <w:rPr>
      <w:sz w:val="20"/>
      <w:szCs w:val="20"/>
    </w:rPr>
  </w:style>
  <w:style w:type="table" w:styleId="736" w:customStyle="1">
    <w:name w:val="Table Grid Light"/>
    <w:basedOn w:val="72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1"/>
    <w:basedOn w:val="72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2"/>
    <w:basedOn w:val="72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1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2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3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4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5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6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5 Dark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6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7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1 Light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3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5 Dark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6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7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 1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2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 3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4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5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6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1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2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 3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4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5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6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1" w:customStyle="1">
    <w:name w:val="Heading 1 Char"/>
    <w:basedOn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62" w:customStyle="1">
    <w:name w:val="Заголовок 2 Знак"/>
    <w:basedOn w:val="719"/>
    <w:link w:val="71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63" w:customStyle="1">
    <w:name w:val="Заголовок 3 Знак"/>
    <w:basedOn w:val="719"/>
    <w:link w:val="71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64" w:customStyle="1">
    <w:name w:val="Заголовок 4 Знак"/>
    <w:basedOn w:val="719"/>
    <w:link w:val="71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65" w:customStyle="1">
    <w:name w:val="Заголовок 5 Знак"/>
    <w:basedOn w:val="719"/>
    <w:link w:val="71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66" w:customStyle="1">
    <w:name w:val="Заголовок 6 Знак"/>
    <w:basedOn w:val="719"/>
    <w:link w:val="71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7" w:customStyle="1">
    <w:name w:val="Заголовок 7 Знак"/>
    <w:basedOn w:val="719"/>
    <w:link w:val="71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8" w:customStyle="1">
    <w:name w:val="Заголовок 8 Знак"/>
    <w:basedOn w:val="719"/>
    <w:link w:val="71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9" w:customStyle="1">
    <w:name w:val="Заголовок 9 Знак"/>
    <w:basedOn w:val="719"/>
    <w:link w:val="71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0" w:customStyle="1">
    <w:name w:val="Title Char"/>
    <w:basedOn w:val="7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1">
    <w:name w:val="Subtitle"/>
    <w:basedOn w:val="709"/>
    <w:next w:val="709"/>
    <w:link w:val="87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2" w:customStyle="1">
    <w:name w:val="Подзаголовок Знак"/>
    <w:basedOn w:val="719"/>
    <w:link w:val="87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3">
    <w:name w:val="Quote"/>
    <w:basedOn w:val="709"/>
    <w:next w:val="709"/>
    <w:link w:val="87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4" w:customStyle="1">
    <w:name w:val="Цитата 2 Знак"/>
    <w:basedOn w:val="719"/>
    <w:link w:val="87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5">
    <w:name w:val="Intense Emphasis"/>
    <w:basedOn w:val="71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76">
    <w:name w:val="Intense Quote"/>
    <w:basedOn w:val="709"/>
    <w:next w:val="709"/>
    <w:link w:val="87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77" w:customStyle="1">
    <w:name w:val="Выделенная цитата Знак"/>
    <w:basedOn w:val="719"/>
    <w:link w:val="87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78">
    <w:name w:val="Intense Reference"/>
    <w:basedOn w:val="71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79">
    <w:name w:val="No Spacing"/>
    <w:basedOn w:val="709"/>
    <w:uiPriority w:val="1"/>
    <w:qFormat/>
    <w:pPr>
      <w:pBdr/>
      <w:spacing/>
      <w:ind/>
    </w:pPr>
  </w:style>
  <w:style w:type="character" w:styleId="880">
    <w:name w:val="Subtle Emphasis"/>
    <w:basedOn w:val="71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1">
    <w:name w:val="Emphasis"/>
    <w:basedOn w:val="719"/>
    <w:uiPriority w:val="20"/>
    <w:qFormat/>
    <w:pPr>
      <w:pBdr/>
      <w:spacing/>
      <w:ind/>
    </w:pPr>
    <w:rPr>
      <w:i/>
      <w:iCs/>
    </w:rPr>
  </w:style>
  <w:style w:type="character" w:styleId="882">
    <w:name w:val="Subtle Reference"/>
    <w:basedOn w:val="71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3">
    <w:name w:val="Book Title"/>
    <w:basedOn w:val="71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4">
    <w:name w:val="Header"/>
    <w:basedOn w:val="709"/>
    <w:link w:val="88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85" w:customStyle="1">
    <w:name w:val="Верхний колонтитул Знак"/>
    <w:basedOn w:val="719"/>
    <w:link w:val="884"/>
    <w:uiPriority w:val="99"/>
    <w:pPr>
      <w:pBdr/>
      <w:spacing/>
      <w:ind/>
    </w:pPr>
  </w:style>
  <w:style w:type="paragraph" w:styleId="886">
    <w:name w:val="Footer"/>
    <w:basedOn w:val="709"/>
    <w:link w:val="887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87" w:customStyle="1">
    <w:name w:val="Нижний колонтитул Знак"/>
    <w:basedOn w:val="719"/>
    <w:link w:val="886"/>
    <w:uiPriority w:val="99"/>
    <w:pPr>
      <w:pBdr/>
      <w:spacing/>
      <w:ind/>
    </w:pPr>
  </w:style>
  <w:style w:type="paragraph" w:styleId="888">
    <w:name w:val="Caption"/>
    <w:basedOn w:val="709"/>
    <w:next w:val="709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889">
    <w:name w:val="footnote text"/>
    <w:basedOn w:val="709"/>
    <w:link w:val="890"/>
    <w:uiPriority w:val="99"/>
    <w:semiHidden/>
    <w:unhideWhenUsed/>
    <w:pPr>
      <w:pBdr/>
      <w:spacing/>
      <w:ind/>
    </w:pPr>
    <w:rPr>
      <w:sz w:val="20"/>
    </w:rPr>
  </w:style>
  <w:style w:type="character" w:styleId="890" w:customStyle="1">
    <w:name w:val="Текст сноски Знак"/>
    <w:basedOn w:val="719"/>
    <w:link w:val="889"/>
    <w:uiPriority w:val="99"/>
    <w:semiHidden/>
    <w:pPr>
      <w:pBdr/>
      <w:spacing/>
      <w:ind/>
    </w:pPr>
    <w:rPr>
      <w:sz w:val="20"/>
      <w:szCs w:val="20"/>
    </w:rPr>
  </w:style>
  <w:style w:type="character" w:styleId="891">
    <w:name w:val="footnote reference"/>
    <w:basedOn w:val="719"/>
    <w:uiPriority w:val="99"/>
    <w:semiHidden/>
    <w:unhideWhenUsed/>
    <w:pPr>
      <w:pBdr/>
      <w:spacing/>
      <w:ind/>
    </w:pPr>
    <w:rPr>
      <w:vertAlign w:val="superscript"/>
    </w:rPr>
  </w:style>
  <w:style w:type="character" w:styleId="892" w:customStyle="1">
    <w:name w:val="Endnote Text Char"/>
    <w:basedOn w:val="719"/>
    <w:uiPriority w:val="99"/>
    <w:semiHidden/>
    <w:pPr>
      <w:pBdr/>
      <w:spacing/>
      <w:ind/>
    </w:pPr>
    <w:rPr>
      <w:sz w:val="20"/>
      <w:szCs w:val="20"/>
    </w:rPr>
  </w:style>
  <w:style w:type="character" w:styleId="893">
    <w:name w:val="endnote reference"/>
    <w:basedOn w:val="719"/>
    <w:uiPriority w:val="99"/>
    <w:semiHidden/>
    <w:unhideWhenUsed/>
    <w:pPr>
      <w:pBdr/>
      <w:spacing/>
      <w:ind/>
    </w:pPr>
    <w:rPr>
      <w:vertAlign w:val="superscript"/>
    </w:rPr>
  </w:style>
  <w:style w:type="character" w:styleId="894">
    <w:name w:val="FollowedHyperlink"/>
    <w:basedOn w:val="71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95">
    <w:name w:val="toc 1"/>
    <w:basedOn w:val="709"/>
    <w:next w:val="709"/>
    <w:uiPriority w:val="39"/>
    <w:unhideWhenUsed/>
    <w:pPr>
      <w:pBdr/>
      <w:spacing w:after="100"/>
      <w:ind/>
    </w:pPr>
  </w:style>
  <w:style w:type="paragraph" w:styleId="896">
    <w:name w:val="toc 2"/>
    <w:basedOn w:val="709"/>
    <w:next w:val="709"/>
    <w:uiPriority w:val="39"/>
    <w:unhideWhenUsed/>
    <w:pPr>
      <w:pBdr/>
      <w:spacing w:after="100"/>
      <w:ind w:left="220"/>
    </w:pPr>
  </w:style>
  <w:style w:type="paragraph" w:styleId="897">
    <w:name w:val="toc 3"/>
    <w:basedOn w:val="709"/>
    <w:next w:val="709"/>
    <w:uiPriority w:val="39"/>
    <w:unhideWhenUsed/>
    <w:pPr>
      <w:pBdr/>
      <w:spacing w:after="100"/>
      <w:ind w:left="440"/>
    </w:pPr>
  </w:style>
  <w:style w:type="paragraph" w:styleId="898">
    <w:name w:val="toc 4"/>
    <w:basedOn w:val="709"/>
    <w:next w:val="709"/>
    <w:uiPriority w:val="39"/>
    <w:unhideWhenUsed/>
    <w:pPr>
      <w:pBdr/>
      <w:spacing w:after="100"/>
      <w:ind w:left="660"/>
    </w:pPr>
  </w:style>
  <w:style w:type="paragraph" w:styleId="899">
    <w:name w:val="toc 5"/>
    <w:basedOn w:val="709"/>
    <w:next w:val="709"/>
    <w:uiPriority w:val="39"/>
    <w:unhideWhenUsed/>
    <w:pPr>
      <w:pBdr/>
      <w:spacing w:after="100"/>
      <w:ind w:left="880"/>
    </w:pPr>
  </w:style>
  <w:style w:type="paragraph" w:styleId="900">
    <w:name w:val="toc 6"/>
    <w:basedOn w:val="709"/>
    <w:next w:val="709"/>
    <w:uiPriority w:val="39"/>
    <w:unhideWhenUsed/>
    <w:pPr>
      <w:pBdr/>
      <w:spacing w:after="100"/>
      <w:ind w:left="1100"/>
    </w:pPr>
  </w:style>
  <w:style w:type="paragraph" w:styleId="901">
    <w:name w:val="toc 7"/>
    <w:basedOn w:val="709"/>
    <w:next w:val="709"/>
    <w:uiPriority w:val="39"/>
    <w:unhideWhenUsed/>
    <w:pPr>
      <w:pBdr/>
      <w:spacing w:after="100"/>
      <w:ind w:left="1320"/>
    </w:pPr>
  </w:style>
  <w:style w:type="paragraph" w:styleId="902">
    <w:name w:val="toc 8"/>
    <w:basedOn w:val="709"/>
    <w:next w:val="709"/>
    <w:uiPriority w:val="39"/>
    <w:unhideWhenUsed/>
    <w:pPr>
      <w:pBdr/>
      <w:spacing w:after="100"/>
      <w:ind w:left="1540"/>
    </w:pPr>
  </w:style>
  <w:style w:type="paragraph" w:styleId="903">
    <w:name w:val="toc 9"/>
    <w:basedOn w:val="709"/>
    <w:next w:val="709"/>
    <w:uiPriority w:val="39"/>
    <w:unhideWhenUsed/>
    <w:pPr>
      <w:pBdr/>
      <w:spacing w:after="100"/>
      <w:ind w:left="1760"/>
    </w:pPr>
  </w:style>
  <w:style w:type="character" w:styleId="904">
    <w:name w:val="Placeholder Text"/>
    <w:basedOn w:val="719"/>
    <w:uiPriority w:val="99"/>
    <w:semiHidden/>
    <w:pPr>
      <w:pBdr/>
      <w:spacing/>
      <w:ind/>
    </w:pPr>
    <w:rPr>
      <w:color w:val="666666"/>
    </w:rPr>
  </w:style>
  <w:style w:type="paragraph" w:styleId="905">
    <w:name w:val="TOC Heading"/>
    <w:uiPriority w:val="39"/>
    <w:unhideWhenUsed/>
    <w:pPr>
      <w:pBdr/>
      <w:spacing/>
      <w:ind/>
    </w:pPr>
  </w:style>
  <w:style w:type="paragraph" w:styleId="906">
    <w:name w:val="table of figures"/>
    <w:basedOn w:val="709"/>
    <w:next w:val="709"/>
    <w:uiPriority w:val="99"/>
    <w:unhideWhenUsed/>
    <w:pPr>
      <w:pBdr/>
      <w:spacing/>
      <w:ind/>
    </w:pPr>
  </w:style>
  <w:style w:type="paragraph" w:styleId="907">
    <w:name w:val="List Paragraph"/>
    <w:basedOn w:val="709"/>
    <w:uiPriority w:val="34"/>
    <w:qFormat/>
    <w:pPr>
      <w:pBdr/>
      <w:spacing w:after="200" w:line="276" w:lineRule="auto"/>
      <w:ind w:left="720"/>
      <w:contextualSpacing w:val="true"/>
    </w:pPr>
    <w:rPr>
      <w:rFonts w:asciiTheme="minorHAnsi" w:hAnsiTheme="minorHAnsi" w:eastAsiaTheme="minorHAnsi" w:cstheme="minorBidi"/>
      <w:color w:val="auto"/>
      <w:sz w:val="22"/>
      <w:szCs w:val="22"/>
      <w:lang w:eastAsia="en-US"/>
    </w:rPr>
  </w:style>
  <w:style w:type="paragraph" w:styleId="908">
    <w:name w:val="Title"/>
    <w:basedOn w:val="709"/>
    <w:link w:val="911"/>
    <w:qFormat/>
    <w:pPr>
      <w:pBdr/>
      <w:spacing/>
      <w:ind/>
      <w:jc w:val="center"/>
    </w:pPr>
    <w:rPr>
      <w:rFonts w:asciiTheme="minorHAnsi" w:hAnsiTheme="minorHAnsi" w:eastAsiaTheme="minorHAnsi" w:cstheme="minorBidi"/>
      <w:color w:val="auto"/>
      <w:szCs w:val="22"/>
      <w:lang w:eastAsia="en-US"/>
    </w:rPr>
  </w:style>
  <w:style w:type="character" w:styleId="909" w:customStyle="1">
    <w:name w:val="Название Знак"/>
    <w:basedOn w:val="719"/>
    <w:uiPriority w:val="10"/>
    <w:pPr>
      <w:pBdr/>
      <w:spacing/>
      <w:ind/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910" w:customStyle="1">
    <w:name w:val="Заголовок1"/>
    <w:basedOn w:val="709"/>
    <w:next w:val="912"/>
    <w:pPr>
      <w:keepNext w:val="true"/>
      <w:pBdr/>
      <w:spacing w:after="120" w:before="240"/>
      <w:ind/>
    </w:pPr>
    <w:rPr>
      <w:rFonts w:ascii="Arial" w:hAnsi="Arial" w:eastAsia="MS Mincho" w:cs="Tahoma"/>
      <w:color w:val="auto"/>
      <w:sz w:val="28"/>
      <w:szCs w:val="28"/>
      <w:lang w:eastAsia="ar-SA"/>
    </w:rPr>
  </w:style>
  <w:style w:type="character" w:styleId="911" w:customStyle="1">
    <w:name w:val="Заголовок Знак"/>
    <w:basedOn w:val="719"/>
    <w:link w:val="908"/>
    <w:pPr>
      <w:pBdr/>
      <w:spacing/>
      <w:ind/>
    </w:pPr>
    <w:rPr>
      <w:sz w:val="24"/>
    </w:rPr>
  </w:style>
  <w:style w:type="paragraph" w:styleId="912">
    <w:name w:val="Body Text"/>
    <w:basedOn w:val="709"/>
    <w:link w:val="913"/>
    <w:uiPriority w:val="99"/>
    <w:semiHidden/>
    <w:unhideWhenUsed/>
    <w:pPr>
      <w:pBdr/>
      <w:spacing w:after="120" w:line="276" w:lineRule="auto"/>
      <w:ind/>
    </w:pPr>
    <w:rPr>
      <w:rFonts w:asciiTheme="minorHAnsi" w:hAnsiTheme="minorHAnsi" w:eastAsiaTheme="minorHAnsi" w:cstheme="minorBidi"/>
      <w:color w:val="auto"/>
      <w:sz w:val="22"/>
      <w:szCs w:val="22"/>
      <w:lang w:eastAsia="en-US"/>
    </w:rPr>
  </w:style>
  <w:style w:type="character" w:styleId="913" w:customStyle="1">
    <w:name w:val="Основной текст Знак"/>
    <w:basedOn w:val="719"/>
    <w:link w:val="912"/>
    <w:uiPriority w:val="99"/>
    <w:semiHidden/>
    <w:pPr>
      <w:pBdr/>
      <w:spacing/>
      <w:ind/>
    </w:pPr>
  </w:style>
  <w:style w:type="paragraph" w:styleId="914">
    <w:name w:val="Balloon Text"/>
    <w:basedOn w:val="709"/>
    <w:link w:val="915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15" w:customStyle="1">
    <w:name w:val="Текст выноски Знак"/>
    <w:basedOn w:val="719"/>
    <w:link w:val="91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16">
    <w:name w:val="endnote text"/>
    <w:basedOn w:val="709"/>
    <w:link w:val="917"/>
    <w:unhideWhenUsed/>
    <w:pPr>
      <w:pBdr/>
      <w:spacing/>
      <w:ind/>
    </w:pPr>
    <w:rPr>
      <w:sz w:val="20"/>
    </w:rPr>
  </w:style>
  <w:style w:type="character" w:styleId="917" w:customStyle="1">
    <w:name w:val="Текст концевой сноски Знак"/>
    <w:basedOn w:val="719"/>
    <w:link w:val="916"/>
    <w:pPr>
      <w:pBdr/>
      <w:spacing/>
      <w:ind/>
    </w:pPr>
    <w:rPr>
      <w:rFonts w:ascii="Liberation Serif" w:hAnsi="Liberation Serif" w:eastAsia="Times New Roman" w:cs="Times New Roman"/>
      <w:color w:val="000000"/>
      <w:sz w:val="20"/>
      <w:szCs w:val="20"/>
      <w:lang w:eastAsia="ru-RU"/>
    </w:rPr>
  </w:style>
  <w:style w:type="character" w:styleId="918" w:customStyle="1">
    <w:name w:val="ConsPlusNormal Знак"/>
    <w:link w:val="919"/>
    <w:pPr>
      <w:pBdr/>
      <w:spacing/>
      <w:ind/>
    </w:pPr>
    <w:rPr>
      <w:rFonts w:ascii="Arial" w:hAnsi="Arial" w:cs="Arial"/>
    </w:rPr>
  </w:style>
  <w:style w:type="paragraph" w:styleId="919" w:customStyle="1">
    <w:name w:val="ConsPlusNormal"/>
    <w:link w:val="918"/>
    <w:pPr>
      <w:widowControl w:val="false"/>
      <w:pBdr/>
      <w:spacing w:after="0" w:line="240" w:lineRule="auto"/>
      <w:ind/>
    </w:pPr>
    <w:rPr>
      <w:rFonts w:ascii="Arial" w:hAnsi="Arial" w:cs="Arial"/>
    </w:rPr>
  </w:style>
  <w:style w:type="table" w:styleId="920">
    <w:name w:val="Table Grid"/>
    <w:basedOn w:val="720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1">
    <w:name w:val="Hyperlink"/>
    <w:basedOn w:val="719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922" w:customStyle="1">
    <w:name w:val="Заголовок 1 Знак"/>
    <w:basedOn w:val="719"/>
    <w:link w:val="710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923">
    <w:name w:val="Strong"/>
    <w:basedOn w:val="719"/>
    <w:uiPriority w:val="22"/>
    <w:qFormat/>
    <w:pPr>
      <w:pBdr/>
      <w:spacing/>
      <w:ind/>
    </w:pPr>
    <w:rPr>
      <w:b/>
      <w:bCs/>
    </w:rPr>
  </w:style>
  <w:style w:type="character" w:styleId="924" w:customStyle="1">
    <w:name w:val="A6"/>
    <w:uiPriority w:val="99"/>
    <w:pPr>
      <w:pBdr/>
      <w:spacing/>
      <w:ind/>
    </w:pPr>
    <w:rPr>
      <w:rFonts w:cs="Gilroy"/>
      <w:b/>
      <w:bCs/>
      <w:color w:val="f26028"/>
      <w:sz w:val="15"/>
      <w:szCs w:val="15"/>
    </w:rPr>
  </w:style>
  <w:style w:type="character" w:styleId="925" w:customStyle="1">
    <w:name w:val="A3"/>
    <w:uiPriority w:val="99"/>
    <w:pPr>
      <w:pBdr/>
      <w:spacing/>
      <w:ind/>
    </w:pPr>
    <w:rPr>
      <w:rFonts w:cs="Gilroy"/>
      <w:color w:val="404041"/>
      <w:sz w:val="20"/>
      <w:szCs w:val="20"/>
    </w:rPr>
  </w:style>
  <w:style w:type="paragraph" w:styleId="926" w:customStyle="1">
    <w:name w:val="Таблица текст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40" w:before="40" w:line="240" w:lineRule="auto"/>
      <w:ind w:right="57" w:left="57"/>
    </w:pPr>
    <w:rPr>
      <w:rFonts w:ascii="Times New Roman" w:hAnsi="Times New Roman" w:eastAsia="Times New Roman" w:cs="Times New Roman"/>
      <w:sz w:val="24"/>
      <w:szCs w:val="2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zakupki.gov.ru/epz/ktru/ktruCard/ktru-description.html?itemId=26.51.51.110-00000426&amp;backUrl=" TargetMode="External"/><Relationship Id="rId10" Type="http://schemas.openxmlformats.org/officeDocument/2006/relationships/hyperlink" Target="https://zakupki.gov.ru/epz/ktru/ktruCard/ktru-description.html?itemId=26.51.51.110-00000426&amp;backUrl=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revision>43</cp:revision>
  <dcterms:created xsi:type="dcterms:W3CDTF">2025-07-14T05:58:00Z</dcterms:created>
  <dcterms:modified xsi:type="dcterms:W3CDTF">2026-04-28T22:12:17Z</dcterms:modified>
</cp:coreProperties>
</file>