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82" w:rsidRPr="00E4510A" w:rsidRDefault="00047E82" w:rsidP="0092600C">
      <w:pPr>
        <w:ind w:left="-284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>ТЕХНИЧЕСКОЕ ЗАДАНИЕ</w:t>
      </w:r>
    </w:p>
    <w:p w:rsidR="00047E82" w:rsidRPr="00E4510A" w:rsidRDefault="00047E82" w:rsidP="00047E82">
      <w:pPr>
        <w:ind w:left="-340"/>
        <w:jc w:val="center"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на </w:t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sz w:val="18"/>
          <w:szCs w:val="18"/>
        </w:rPr>
        <w:softHyphen/>
      </w:r>
      <w:r w:rsidRPr="00E4510A">
        <w:rPr>
          <w:rFonts w:ascii="Times New Roman" w:hAnsi="Times New Roman"/>
          <w:b/>
          <w:color w:val="000000"/>
          <w:sz w:val="18"/>
          <w:szCs w:val="18"/>
        </w:rPr>
        <w:t xml:space="preserve"> поставку </w:t>
      </w:r>
      <w:r w:rsidRPr="00E4510A">
        <w:rPr>
          <w:rFonts w:ascii="Times New Roman" w:hAnsi="Times New Roman"/>
          <w:b/>
          <w:sz w:val="18"/>
          <w:szCs w:val="18"/>
        </w:rPr>
        <w:t>горюче-смазочных материалов  (ГСМ)  по топливным картам</w:t>
      </w:r>
    </w:p>
    <w:p w:rsidR="00047E82" w:rsidRPr="00E4510A" w:rsidRDefault="00047E82" w:rsidP="00047E82">
      <w:pPr>
        <w:ind w:left="-340"/>
        <w:jc w:val="center"/>
        <w:rPr>
          <w:rFonts w:ascii="Times New Roman" w:hAnsi="Times New Roman"/>
          <w:b/>
          <w:sz w:val="18"/>
          <w:szCs w:val="18"/>
        </w:rPr>
      </w:pPr>
    </w:p>
    <w:p w:rsidR="00047E82" w:rsidRPr="00E4510A" w:rsidRDefault="00E806AA" w:rsidP="007B0288">
      <w:pPr>
        <w:ind w:left="-340"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</w:t>
      </w:r>
      <w:r w:rsidR="00047E82" w:rsidRPr="00E4510A">
        <w:rPr>
          <w:rFonts w:ascii="Times New Roman" w:hAnsi="Times New Roman"/>
          <w:b/>
          <w:sz w:val="18"/>
          <w:szCs w:val="18"/>
        </w:rPr>
        <w:t xml:space="preserve">1. Наименование объекта закупки: </w:t>
      </w:r>
      <w:r w:rsidR="007B0288" w:rsidRPr="00E4510A">
        <w:rPr>
          <w:rFonts w:ascii="Times New Roman" w:hAnsi="Times New Roman"/>
          <w:sz w:val="18"/>
          <w:szCs w:val="18"/>
        </w:rPr>
        <w:t>Передача</w:t>
      </w:r>
      <w:r w:rsidR="007B0288" w:rsidRPr="00E4510A">
        <w:rPr>
          <w:rFonts w:ascii="Times New Roman" w:hAnsi="Times New Roman"/>
          <w:b/>
          <w:sz w:val="18"/>
          <w:szCs w:val="18"/>
        </w:rPr>
        <w:t xml:space="preserve"> </w:t>
      </w:r>
      <w:r w:rsidR="007B0288" w:rsidRPr="00E4510A">
        <w:rPr>
          <w:rFonts w:ascii="Times New Roman" w:hAnsi="Times New Roman"/>
          <w:sz w:val="18"/>
          <w:szCs w:val="18"/>
        </w:rPr>
        <w:t>(п</w:t>
      </w:r>
      <w:r w:rsidR="00047E82" w:rsidRPr="00E4510A">
        <w:rPr>
          <w:rFonts w:ascii="Times New Roman" w:hAnsi="Times New Roman"/>
          <w:sz w:val="18"/>
          <w:szCs w:val="18"/>
        </w:rPr>
        <w:t>оставка</w:t>
      </w:r>
      <w:r w:rsidR="007B0288" w:rsidRPr="00E4510A">
        <w:rPr>
          <w:rFonts w:ascii="Times New Roman" w:hAnsi="Times New Roman"/>
          <w:sz w:val="18"/>
          <w:szCs w:val="18"/>
        </w:rPr>
        <w:t>)</w:t>
      </w:r>
      <w:r w:rsidR="00047E82" w:rsidRPr="00E4510A">
        <w:rPr>
          <w:rFonts w:ascii="Times New Roman" w:hAnsi="Times New Roman"/>
          <w:sz w:val="18"/>
          <w:szCs w:val="18"/>
        </w:rPr>
        <w:t xml:space="preserve"> горюче-смазочных материалов  (ГСМ)  по топливным картам.</w:t>
      </w:r>
    </w:p>
    <w:p w:rsidR="00047E82" w:rsidRPr="00E4510A" w:rsidRDefault="00E806AA" w:rsidP="00047E82">
      <w:pPr>
        <w:ind w:left="-340"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</w:t>
      </w:r>
      <w:r w:rsidR="00047E82" w:rsidRPr="00E4510A">
        <w:rPr>
          <w:rFonts w:ascii="Times New Roman" w:hAnsi="Times New Roman"/>
          <w:b/>
          <w:sz w:val="18"/>
          <w:szCs w:val="18"/>
        </w:rPr>
        <w:t>2.  Количество поставляемого товара:</w:t>
      </w:r>
    </w:p>
    <w:p w:rsidR="003543BC" w:rsidRPr="00E4510A" w:rsidRDefault="003543BC" w:rsidP="003543BC">
      <w:pPr>
        <w:ind w:left="-340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Неэтилированный бензин </w:t>
      </w:r>
      <w:proofErr w:type="spellStart"/>
      <w:r w:rsidRPr="00E4510A">
        <w:rPr>
          <w:rFonts w:ascii="Times New Roman" w:hAnsi="Times New Roman"/>
          <w:sz w:val="18"/>
          <w:szCs w:val="18"/>
        </w:rPr>
        <w:t>Регуляр</w:t>
      </w:r>
      <w:proofErr w:type="spellEnd"/>
      <w:r w:rsidRPr="00E4510A">
        <w:rPr>
          <w:rFonts w:ascii="Times New Roman" w:hAnsi="Times New Roman"/>
          <w:sz w:val="18"/>
          <w:szCs w:val="18"/>
        </w:rPr>
        <w:t xml:space="preserve"> 92 (АИ-92-3) по заявкам</w:t>
      </w:r>
      <w:r w:rsidR="00E97047">
        <w:rPr>
          <w:rFonts w:ascii="Times New Roman" w:hAnsi="Times New Roman"/>
          <w:sz w:val="18"/>
          <w:szCs w:val="18"/>
        </w:rPr>
        <w:t xml:space="preserve"> заказчика в количестве-    1320</w:t>
      </w:r>
      <w:r w:rsidRPr="00E4510A">
        <w:rPr>
          <w:rFonts w:ascii="Times New Roman" w:hAnsi="Times New Roman"/>
          <w:sz w:val="18"/>
          <w:szCs w:val="18"/>
        </w:rPr>
        <w:t xml:space="preserve"> лит.</w:t>
      </w:r>
    </w:p>
    <w:p w:rsidR="003543BC" w:rsidRPr="00E4510A" w:rsidRDefault="003543BC" w:rsidP="003543BC">
      <w:pPr>
        <w:ind w:left="-340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Неэтилированный бензин Премиум 95 (АИ-95-3) по заявкам заказчика в количестве</w:t>
      </w:r>
      <w:r w:rsidR="0029011C" w:rsidRPr="00E4510A">
        <w:rPr>
          <w:rFonts w:ascii="Times New Roman" w:hAnsi="Times New Roman"/>
          <w:sz w:val="18"/>
          <w:szCs w:val="18"/>
        </w:rPr>
        <w:t xml:space="preserve"> </w:t>
      </w:r>
      <w:r w:rsidR="00E97047">
        <w:rPr>
          <w:rFonts w:ascii="Times New Roman" w:hAnsi="Times New Roman"/>
          <w:sz w:val="18"/>
          <w:szCs w:val="18"/>
        </w:rPr>
        <w:t>- 1235</w:t>
      </w:r>
      <w:r w:rsidRPr="00E4510A">
        <w:rPr>
          <w:rFonts w:ascii="Times New Roman" w:hAnsi="Times New Roman"/>
          <w:sz w:val="18"/>
          <w:szCs w:val="18"/>
        </w:rPr>
        <w:t xml:space="preserve"> лит.</w:t>
      </w:r>
    </w:p>
    <w:p w:rsidR="003543BC" w:rsidRPr="00E4510A" w:rsidRDefault="003543BC" w:rsidP="003543BC">
      <w:pPr>
        <w:ind w:left="-340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Дизельное топливо (евро) ГОСТ Р 52368-2005 по заявкам за</w:t>
      </w:r>
      <w:r w:rsidR="00E97047">
        <w:rPr>
          <w:rFonts w:ascii="Times New Roman" w:hAnsi="Times New Roman"/>
          <w:sz w:val="18"/>
          <w:szCs w:val="18"/>
        </w:rPr>
        <w:t>казчика в количестве -      1080</w:t>
      </w:r>
      <w:r w:rsidRPr="00E4510A">
        <w:rPr>
          <w:rFonts w:ascii="Times New Roman" w:hAnsi="Times New Roman"/>
          <w:sz w:val="18"/>
          <w:szCs w:val="18"/>
        </w:rPr>
        <w:t xml:space="preserve"> лит.    </w:t>
      </w:r>
    </w:p>
    <w:p w:rsidR="003543BC" w:rsidRPr="00E4510A" w:rsidRDefault="003543BC" w:rsidP="003543BC">
      <w:pPr>
        <w:ind w:left="-340"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     Отпуск ГСМ на АЗС осуществляется через топливораздаточные колонки Поставщика (Исполнителя) по топливным картам, непосредственно в топливный бак автотранспорта Заказчика. Представитель Заказчика вправе </w:t>
      </w:r>
      <w:r w:rsidR="000D0CE8" w:rsidRPr="00E4510A">
        <w:rPr>
          <w:rFonts w:ascii="Times New Roman" w:hAnsi="Times New Roman"/>
          <w:sz w:val="18"/>
          <w:szCs w:val="18"/>
        </w:rPr>
        <w:t>увеличить или наоборот уменьшить объем отпускаемого того или иного топлива ГСМ (</w:t>
      </w:r>
      <w:r w:rsidR="0029011C" w:rsidRPr="00E4510A">
        <w:rPr>
          <w:rFonts w:ascii="Times New Roman" w:hAnsi="Times New Roman"/>
          <w:sz w:val="18"/>
          <w:szCs w:val="18"/>
        </w:rPr>
        <w:t>АИ-92-3, АИ-95-3 или ДТ</w:t>
      </w:r>
      <w:r w:rsidR="000D0CE8" w:rsidRPr="00E4510A">
        <w:rPr>
          <w:rFonts w:ascii="Times New Roman" w:hAnsi="Times New Roman"/>
          <w:sz w:val="18"/>
          <w:szCs w:val="18"/>
        </w:rPr>
        <w:t>), но</w:t>
      </w:r>
      <w:r w:rsidR="0029011C" w:rsidRPr="00E4510A">
        <w:rPr>
          <w:rFonts w:ascii="Times New Roman" w:hAnsi="Times New Roman"/>
          <w:sz w:val="18"/>
          <w:szCs w:val="18"/>
        </w:rPr>
        <w:t xml:space="preserve"> в пределах общей цены дого</w:t>
      </w:r>
      <w:r w:rsidR="007D3EC2" w:rsidRPr="00E4510A">
        <w:rPr>
          <w:rFonts w:ascii="Times New Roman" w:hAnsi="Times New Roman"/>
          <w:sz w:val="18"/>
          <w:szCs w:val="18"/>
        </w:rPr>
        <w:t>во</w:t>
      </w:r>
      <w:r w:rsidR="0029011C" w:rsidRPr="00E4510A">
        <w:rPr>
          <w:rFonts w:ascii="Times New Roman" w:hAnsi="Times New Roman"/>
          <w:sz w:val="18"/>
          <w:szCs w:val="18"/>
        </w:rPr>
        <w:t>ра.</w:t>
      </w:r>
    </w:p>
    <w:p w:rsidR="00F873B5" w:rsidRPr="00E4510A" w:rsidRDefault="000320A3" w:rsidP="000320A3">
      <w:pPr>
        <w:ind w:left="-340"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 </w:t>
      </w:r>
      <w:r w:rsidR="0029011C" w:rsidRPr="00E4510A">
        <w:rPr>
          <w:rFonts w:ascii="Times New Roman" w:hAnsi="Times New Roman"/>
          <w:sz w:val="18"/>
          <w:szCs w:val="18"/>
        </w:rPr>
        <w:t xml:space="preserve">     </w:t>
      </w:r>
      <w:r w:rsidRPr="00E4510A">
        <w:rPr>
          <w:rFonts w:ascii="Times New Roman" w:hAnsi="Times New Roman"/>
          <w:sz w:val="18"/>
          <w:szCs w:val="18"/>
        </w:rPr>
        <w:t>Максимальн</w:t>
      </w:r>
      <w:r w:rsidR="000D0CE8" w:rsidRPr="00E4510A">
        <w:rPr>
          <w:rFonts w:ascii="Times New Roman" w:hAnsi="Times New Roman"/>
          <w:sz w:val="18"/>
          <w:szCs w:val="18"/>
        </w:rPr>
        <w:t>ый объем</w:t>
      </w:r>
      <w:r w:rsidR="00F873B5" w:rsidRPr="00E4510A">
        <w:rPr>
          <w:rFonts w:ascii="Times New Roman" w:hAnsi="Times New Roman"/>
          <w:sz w:val="18"/>
          <w:szCs w:val="18"/>
        </w:rPr>
        <w:t xml:space="preserve"> </w:t>
      </w:r>
      <w:r w:rsidR="000D0CE8" w:rsidRPr="00E4510A">
        <w:rPr>
          <w:rFonts w:ascii="Times New Roman" w:hAnsi="Times New Roman"/>
          <w:sz w:val="18"/>
          <w:szCs w:val="18"/>
        </w:rPr>
        <w:t>отпускаемых (</w:t>
      </w:r>
      <w:r w:rsidRPr="00E4510A">
        <w:rPr>
          <w:rFonts w:ascii="Times New Roman" w:hAnsi="Times New Roman"/>
          <w:sz w:val="18"/>
          <w:szCs w:val="18"/>
        </w:rPr>
        <w:t>п</w:t>
      </w:r>
      <w:r w:rsidR="00F873B5" w:rsidRPr="00E4510A">
        <w:rPr>
          <w:rFonts w:ascii="Times New Roman" w:hAnsi="Times New Roman"/>
          <w:sz w:val="18"/>
          <w:szCs w:val="18"/>
        </w:rPr>
        <w:t>оставляемых</w:t>
      </w:r>
      <w:r w:rsidR="000D0CE8" w:rsidRPr="00E4510A">
        <w:rPr>
          <w:rFonts w:ascii="Times New Roman" w:hAnsi="Times New Roman"/>
          <w:sz w:val="18"/>
          <w:szCs w:val="18"/>
        </w:rPr>
        <w:t>)</w:t>
      </w:r>
      <w:r w:rsidR="00F873B5" w:rsidRPr="00E4510A">
        <w:rPr>
          <w:rFonts w:ascii="Times New Roman" w:hAnsi="Times New Roman"/>
          <w:sz w:val="18"/>
          <w:szCs w:val="18"/>
        </w:rPr>
        <w:t xml:space="preserve"> горюче-смазочных материалов  (ГСМ)  по топливным картам</w:t>
      </w:r>
      <w:r w:rsidR="007B0288" w:rsidRPr="00E4510A">
        <w:rPr>
          <w:rFonts w:ascii="Times New Roman" w:hAnsi="Times New Roman"/>
          <w:sz w:val="18"/>
          <w:szCs w:val="18"/>
        </w:rPr>
        <w:t xml:space="preserve"> не должно</w:t>
      </w:r>
      <w:r w:rsidR="00F873B5" w:rsidRPr="00E4510A">
        <w:rPr>
          <w:rFonts w:ascii="Times New Roman" w:hAnsi="Times New Roman"/>
          <w:sz w:val="18"/>
          <w:szCs w:val="18"/>
        </w:rPr>
        <w:t xml:space="preserve"> превышать</w:t>
      </w:r>
      <w:r w:rsidRPr="00E4510A">
        <w:rPr>
          <w:rFonts w:ascii="Times New Roman" w:hAnsi="Times New Roman"/>
          <w:sz w:val="18"/>
          <w:szCs w:val="18"/>
        </w:rPr>
        <w:t xml:space="preserve"> </w:t>
      </w:r>
      <w:r w:rsidR="00F873B5" w:rsidRPr="00E4510A">
        <w:rPr>
          <w:rFonts w:ascii="Times New Roman" w:hAnsi="Times New Roman"/>
          <w:sz w:val="18"/>
          <w:szCs w:val="18"/>
        </w:rPr>
        <w:t>цены договора.</w:t>
      </w:r>
    </w:p>
    <w:p w:rsidR="00F873B5" w:rsidRPr="00E4510A" w:rsidRDefault="00F873B5" w:rsidP="00047E82">
      <w:pPr>
        <w:ind w:left="-340"/>
        <w:rPr>
          <w:rFonts w:ascii="Times New Roman" w:hAnsi="Times New Roman"/>
          <w:sz w:val="18"/>
          <w:szCs w:val="18"/>
        </w:rPr>
      </w:pPr>
    </w:p>
    <w:p w:rsidR="00C41915" w:rsidRPr="00E4510A" w:rsidRDefault="00E806AA" w:rsidP="00C41915">
      <w:pPr>
        <w:spacing w:after="200"/>
        <w:ind w:hanging="426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E4510A">
        <w:rPr>
          <w:rFonts w:ascii="Times New Roman" w:eastAsia="Calibri" w:hAnsi="Times New Roman"/>
          <w:b/>
          <w:sz w:val="18"/>
          <w:szCs w:val="18"/>
          <w:lang w:eastAsia="en-US"/>
        </w:rPr>
        <w:t xml:space="preserve">  </w:t>
      </w:r>
      <w:r w:rsidR="00C41915" w:rsidRPr="00E4510A">
        <w:rPr>
          <w:rFonts w:ascii="Times New Roman" w:eastAsia="Calibri" w:hAnsi="Times New Roman"/>
          <w:b/>
          <w:sz w:val="18"/>
          <w:szCs w:val="18"/>
          <w:lang w:eastAsia="en-US"/>
        </w:rPr>
        <w:t>3.Требования к функциональным, техническим и качественным характеристикам товара:</w:t>
      </w:r>
    </w:p>
    <w:tbl>
      <w:tblPr>
        <w:tblStyle w:val="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1417"/>
        <w:gridCol w:w="2268"/>
        <w:gridCol w:w="4649"/>
        <w:gridCol w:w="1418"/>
      </w:tblGrid>
      <w:tr w:rsidR="00C41915" w:rsidRPr="00E4510A" w:rsidTr="0092600C">
        <w:trPr>
          <w:trHeight w:val="664"/>
        </w:trPr>
        <w:tc>
          <w:tcPr>
            <w:tcW w:w="739" w:type="dxa"/>
            <w:vAlign w:val="center"/>
          </w:tcPr>
          <w:p w:rsidR="00C41915" w:rsidRPr="00E4510A" w:rsidRDefault="00C41915" w:rsidP="0092600C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№ позиции</w:t>
            </w:r>
          </w:p>
        </w:tc>
        <w:tc>
          <w:tcPr>
            <w:tcW w:w="1417" w:type="dxa"/>
            <w:vAlign w:val="center"/>
          </w:tcPr>
          <w:p w:rsidR="00C41915" w:rsidRPr="00E4510A" w:rsidRDefault="00C41915" w:rsidP="0092600C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ОКПД-2</w:t>
            </w:r>
          </w:p>
        </w:tc>
        <w:tc>
          <w:tcPr>
            <w:tcW w:w="2268" w:type="dxa"/>
            <w:vAlign w:val="center"/>
          </w:tcPr>
          <w:p w:rsidR="00C41915" w:rsidRPr="00E4510A" w:rsidRDefault="00C41915" w:rsidP="0092600C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4649" w:type="dxa"/>
            <w:vAlign w:val="center"/>
          </w:tcPr>
          <w:p w:rsidR="00C41915" w:rsidRPr="00E4510A" w:rsidRDefault="00C41915" w:rsidP="0092600C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Наименование характеристики, единица измерения</w:t>
            </w:r>
          </w:p>
        </w:tc>
        <w:tc>
          <w:tcPr>
            <w:tcW w:w="1418" w:type="dxa"/>
            <w:vAlign w:val="center"/>
          </w:tcPr>
          <w:p w:rsidR="00C41915" w:rsidRPr="00E4510A" w:rsidRDefault="00C41915" w:rsidP="0092600C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</w:tr>
      <w:tr w:rsidR="00C41915" w:rsidRPr="00E4510A" w:rsidTr="00E73CF4">
        <w:trPr>
          <w:trHeight w:val="834"/>
        </w:trPr>
        <w:tc>
          <w:tcPr>
            <w:tcW w:w="739" w:type="dxa"/>
            <w:vMerge w:val="restart"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19.20.21.124</w:t>
            </w:r>
          </w:p>
        </w:tc>
        <w:tc>
          <w:tcPr>
            <w:tcW w:w="2268" w:type="dxa"/>
            <w:vMerge w:val="restart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b/>
                <w:sz w:val="18"/>
                <w:szCs w:val="18"/>
              </w:rPr>
            </w:pPr>
            <w:r w:rsidRPr="00E4510A">
              <w:rPr>
                <w:rFonts w:ascii="Times New Roman" w:hAnsi="Times New Roman"/>
                <w:b/>
                <w:sz w:val="18"/>
                <w:szCs w:val="18"/>
              </w:rPr>
              <w:t>Автомобильный бензинАИ-92</w:t>
            </w:r>
          </w:p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b/>
                <w:sz w:val="18"/>
                <w:szCs w:val="18"/>
              </w:rPr>
            </w:pPr>
            <w:r w:rsidRPr="00E4510A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spellStart"/>
            <w:r w:rsidRPr="00E4510A">
              <w:rPr>
                <w:rFonts w:ascii="Times New Roman" w:hAnsi="Times New Roman"/>
                <w:b/>
                <w:sz w:val="18"/>
                <w:szCs w:val="18"/>
              </w:rPr>
              <w:t>Регуляр</w:t>
            </w:r>
            <w:proofErr w:type="spellEnd"/>
            <w:r w:rsidRPr="00E4510A">
              <w:rPr>
                <w:rFonts w:ascii="Times New Roman" w:hAnsi="Times New Roman"/>
                <w:b/>
                <w:sz w:val="18"/>
                <w:szCs w:val="18"/>
              </w:rPr>
              <w:t xml:space="preserve"> 92)</w:t>
            </w:r>
          </w:p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ГОСТ Р 51105-97</w:t>
            </w:r>
            <w:r w:rsidRPr="00E4510A">
              <w:rPr>
                <w:rFonts w:ascii="Times New Roman" w:hAnsi="Times New Roman"/>
                <w:sz w:val="18"/>
                <w:szCs w:val="18"/>
              </w:rPr>
              <w:br/>
              <w:t>"Топлива для двигателей внутреннего сгорания. Неэтилированный бензин. Технические условия" (с изм. 1-</w:t>
            </w:r>
            <w:proofErr w:type="gramStart"/>
            <w:r w:rsidRPr="00E4510A">
              <w:rPr>
                <w:rFonts w:ascii="Times New Roman" w:hAnsi="Times New Roman"/>
                <w:sz w:val="18"/>
                <w:szCs w:val="18"/>
              </w:rPr>
              <w:t>6)</w:t>
            </w:r>
            <w:r w:rsidRPr="00E4510A">
              <w:rPr>
                <w:rFonts w:ascii="Times New Roman" w:hAnsi="Times New Roman"/>
                <w:sz w:val="18"/>
                <w:szCs w:val="18"/>
              </w:rPr>
              <w:br/>
              <w:t>Экологический</w:t>
            </w:r>
            <w:proofErr w:type="gramEnd"/>
            <w:r w:rsidRPr="00E4510A">
              <w:rPr>
                <w:rFonts w:ascii="Times New Roman" w:hAnsi="Times New Roman"/>
                <w:sz w:val="18"/>
                <w:szCs w:val="18"/>
              </w:rPr>
              <w:t xml:space="preserve"> класса топлива К4</w:t>
            </w:r>
          </w:p>
        </w:tc>
        <w:tc>
          <w:tcPr>
            <w:tcW w:w="4649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Октановое число, не менее: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-по моторному методу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-по исследовательскому методу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83,0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</w:tr>
      <w:tr w:rsidR="00C41915" w:rsidRPr="00E4510A" w:rsidTr="00E73CF4">
        <w:trPr>
          <w:trHeight w:val="381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Концентрация свинца, не более, 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</w:rPr>
              <w:t xml:space="preserve"> мг/дм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</w:tr>
      <w:tr w:rsidR="00C41915" w:rsidRPr="00E4510A" w:rsidTr="00E73CF4">
        <w:trPr>
          <w:trHeight w:val="189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Концентрация марганца, не более, 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</w:rPr>
              <w:t xml:space="preserve"> мг/дм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</w:tr>
      <w:tr w:rsidR="00C41915" w:rsidRPr="00E4510A" w:rsidTr="00E73CF4">
        <w:trPr>
          <w:trHeight w:val="592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Концентрация фактических смол, мг на 100 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313055" cy="2800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10A">
              <w:rPr>
                <w:rFonts w:ascii="Times New Roman" w:hAnsi="Times New Roman"/>
                <w:sz w:val="18"/>
                <w:szCs w:val="18"/>
              </w:rPr>
              <w:t xml:space="preserve"> бензина,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C41915" w:rsidRPr="00E4510A" w:rsidTr="00E73CF4">
        <w:trPr>
          <w:trHeight w:val="351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Индукционный период бензина, мин, не менее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</w:tr>
      <w:tr w:rsidR="00C41915" w:rsidRPr="00E4510A" w:rsidTr="00E73CF4">
        <w:trPr>
          <w:trHeight w:val="191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Концентрация серы, мг/кг,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41915" w:rsidRPr="00E4510A" w:rsidTr="00E73CF4">
        <w:trPr>
          <w:trHeight w:val="169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Объемная доля бензола, %,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C41915" w:rsidRPr="00E4510A" w:rsidTr="00E73CF4">
        <w:trPr>
          <w:trHeight w:val="275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Массовая доля кислорода, %,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</w:tr>
      <w:tr w:rsidR="00C41915" w:rsidRPr="00E4510A" w:rsidTr="00E73CF4">
        <w:trPr>
          <w:trHeight w:val="225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Испытание на медной пластине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</w:tr>
      <w:tr w:rsidR="00C41915" w:rsidRPr="00E4510A" w:rsidTr="00E73CF4">
        <w:trPr>
          <w:trHeight w:val="330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Внешний вид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Чистый, прозрачный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Концентрация железа, не более,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485775" cy="280035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</w:tr>
      <w:tr w:rsidR="00C41915" w:rsidRPr="00E4510A" w:rsidTr="00E73CF4">
        <w:trPr>
          <w:trHeight w:val="560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bookmarkStart w:id="0" w:name="sub_150"/>
            <w:r w:rsidRPr="00E4510A">
              <w:rPr>
                <w:rFonts w:ascii="Times New Roman" w:hAnsi="Times New Roman"/>
                <w:sz w:val="18"/>
                <w:szCs w:val="18"/>
              </w:rPr>
              <w:t xml:space="preserve">Объемная доля </w:t>
            </w:r>
            <w:proofErr w:type="spellStart"/>
            <w:r w:rsidRPr="00E4510A">
              <w:rPr>
                <w:rFonts w:ascii="Times New Roman" w:hAnsi="Times New Roman"/>
                <w:sz w:val="18"/>
                <w:szCs w:val="18"/>
              </w:rPr>
              <w:t>монометиланилина</w:t>
            </w:r>
            <w:proofErr w:type="spellEnd"/>
            <w:r w:rsidRPr="00E4510A">
              <w:rPr>
                <w:rFonts w:ascii="Times New Roman" w:hAnsi="Times New Roman"/>
                <w:sz w:val="18"/>
                <w:szCs w:val="18"/>
              </w:rPr>
              <w:t>, %, не более</w:t>
            </w:r>
            <w:bookmarkEnd w:id="0"/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</w:tr>
      <w:tr w:rsidR="00C41915" w:rsidRPr="00E4510A" w:rsidTr="00E73CF4">
        <w:trPr>
          <w:trHeight w:val="683"/>
        </w:trPr>
        <w:tc>
          <w:tcPr>
            <w:tcW w:w="739" w:type="dxa"/>
            <w:vMerge w:val="restart"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19.20.21.134</w:t>
            </w:r>
          </w:p>
        </w:tc>
        <w:tc>
          <w:tcPr>
            <w:tcW w:w="2268" w:type="dxa"/>
            <w:vMerge w:val="restart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b/>
                <w:sz w:val="18"/>
                <w:szCs w:val="18"/>
              </w:rPr>
            </w:pPr>
            <w:r w:rsidRPr="00E4510A">
              <w:rPr>
                <w:rFonts w:ascii="Times New Roman" w:hAnsi="Times New Roman"/>
                <w:b/>
                <w:sz w:val="18"/>
                <w:szCs w:val="18"/>
              </w:rPr>
              <w:t>Автомобильный бензин  АИ-95</w:t>
            </w:r>
          </w:p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4510A">
              <w:rPr>
                <w:rFonts w:ascii="Times New Roman" w:hAnsi="Times New Roman"/>
                <w:b/>
                <w:bCs/>
                <w:sz w:val="18"/>
                <w:szCs w:val="18"/>
              </w:rPr>
              <w:t>(Премиум Евро-95)</w:t>
            </w:r>
          </w:p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bCs/>
                <w:sz w:val="18"/>
                <w:szCs w:val="18"/>
              </w:rPr>
            </w:pPr>
            <w:r w:rsidRPr="00E4510A">
              <w:rPr>
                <w:rFonts w:ascii="Times New Roman" w:hAnsi="Times New Roman"/>
                <w:bCs/>
                <w:sz w:val="18"/>
                <w:szCs w:val="18"/>
              </w:rPr>
              <w:t>ГОСТ Р 51866-2002 (EH 228-2004)</w:t>
            </w:r>
          </w:p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"Топлива моторные. Бензин неэтилированный. Технические условия" (с изм. 1-</w:t>
            </w:r>
            <w:proofErr w:type="gramStart"/>
            <w:r w:rsidRPr="00E4510A">
              <w:rPr>
                <w:rFonts w:ascii="Times New Roman" w:hAnsi="Times New Roman"/>
                <w:sz w:val="18"/>
                <w:szCs w:val="18"/>
              </w:rPr>
              <w:t>4)</w:t>
            </w:r>
            <w:r w:rsidRPr="00E4510A">
              <w:rPr>
                <w:rFonts w:ascii="Times New Roman" w:hAnsi="Times New Roman"/>
                <w:sz w:val="18"/>
                <w:szCs w:val="18"/>
              </w:rPr>
              <w:br/>
              <w:t>Экологический</w:t>
            </w:r>
            <w:proofErr w:type="gramEnd"/>
            <w:r w:rsidRPr="00E4510A">
              <w:rPr>
                <w:rFonts w:ascii="Times New Roman" w:hAnsi="Times New Roman"/>
                <w:sz w:val="18"/>
                <w:szCs w:val="18"/>
              </w:rPr>
              <w:t xml:space="preserve"> класса топлива К4</w:t>
            </w:r>
          </w:p>
        </w:tc>
        <w:tc>
          <w:tcPr>
            <w:tcW w:w="4649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bookmarkStart w:id="1" w:name="sub_30111"/>
            <w:r w:rsidRPr="00E4510A">
              <w:rPr>
                <w:rFonts w:ascii="Times New Roman" w:hAnsi="Times New Roman"/>
                <w:sz w:val="18"/>
                <w:szCs w:val="18"/>
              </w:rPr>
              <w:t xml:space="preserve"> Октановое число, не менее:</w:t>
            </w:r>
            <w:bookmarkEnd w:id="1"/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- по исследовательскому методу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- по моторному методу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95,0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Концентрация свинца, не более, 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593090" cy="280035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</w:tr>
      <w:tr w:rsidR="00C41915" w:rsidRPr="00E4510A" w:rsidTr="00E73CF4">
        <w:trPr>
          <w:trHeight w:val="551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Плотность при температуре 15°С, 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485775" cy="2800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720-775</w:t>
            </w:r>
          </w:p>
        </w:tc>
      </w:tr>
      <w:tr w:rsidR="00C41915" w:rsidRPr="00E4510A" w:rsidTr="00E73CF4">
        <w:trPr>
          <w:trHeight w:val="203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Концентрация серы, мг/кг,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41915" w:rsidRPr="00E4510A" w:rsidTr="00E73CF4">
        <w:trPr>
          <w:trHeight w:val="876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Концентрация смол, промытых растворителем, мг 100 </w:t>
            </w:r>
            <w:r w:rsidRPr="00E4510A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313055" cy="2800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10A">
              <w:rPr>
                <w:rFonts w:ascii="Times New Roman" w:hAnsi="Times New Roman"/>
                <w:sz w:val="18"/>
                <w:szCs w:val="18"/>
              </w:rPr>
              <w:t xml:space="preserve"> бензина,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C41915" w:rsidRPr="00E4510A" w:rsidTr="00E73CF4">
        <w:trPr>
          <w:trHeight w:val="511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Коррозия медной пластинки (3 ч при 50°С)</w:t>
            </w:r>
            <w:hyperlink w:anchor="sub_333" w:history="1"/>
            <w:r w:rsidRPr="00E4510A">
              <w:rPr>
                <w:rFonts w:ascii="Times New Roman" w:hAnsi="Times New Roman"/>
                <w:sz w:val="18"/>
                <w:szCs w:val="18"/>
              </w:rPr>
              <w:t>, единицы по шкале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</w:tr>
      <w:tr w:rsidR="00C41915" w:rsidRPr="00E4510A" w:rsidTr="00E73CF4">
        <w:trPr>
          <w:trHeight w:val="520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Внешний вид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Прозрачный и чистый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Объемная доля бензола, %,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C41915" w:rsidRPr="00E4510A" w:rsidTr="00E73CF4">
        <w:trPr>
          <w:trHeight w:val="457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Массовая доля кислорода, %,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</w:tr>
      <w:tr w:rsidR="00C41915" w:rsidRPr="00E4510A" w:rsidTr="00E73CF4">
        <w:trPr>
          <w:trHeight w:val="431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Объемная доля </w:t>
            </w:r>
            <w:proofErr w:type="spellStart"/>
            <w:r w:rsidRPr="00E4510A">
              <w:rPr>
                <w:rFonts w:ascii="Times New Roman" w:hAnsi="Times New Roman"/>
                <w:sz w:val="18"/>
                <w:szCs w:val="18"/>
              </w:rPr>
              <w:t>монометиланилина</w:t>
            </w:r>
            <w:proofErr w:type="spellEnd"/>
            <w:r w:rsidRPr="00E4510A">
              <w:rPr>
                <w:rFonts w:ascii="Times New Roman" w:hAnsi="Times New Roman"/>
                <w:sz w:val="18"/>
                <w:szCs w:val="18"/>
              </w:rPr>
              <w:t>, %,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</w:tr>
      <w:tr w:rsidR="00C41915" w:rsidRPr="00E4510A" w:rsidTr="00E73CF4">
        <w:tc>
          <w:tcPr>
            <w:tcW w:w="739" w:type="dxa"/>
            <w:vMerge w:val="restart"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19.20.21.344</w:t>
            </w:r>
          </w:p>
        </w:tc>
        <w:tc>
          <w:tcPr>
            <w:tcW w:w="2268" w:type="dxa"/>
            <w:vMerge w:val="restart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b/>
                <w:sz w:val="18"/>
                <w:szCs w:val="18"/>
              </w:rPr>
            </w:pPr>
            <w:r w:rsidRPr="00E4510A">
              <w:rPr>
                <w:rFonts w:ascii="Times New Roman" w:hAnsi="Times New Roman"/>
                <w:b/>
                <w:sz w:val="18"/>
                <w:szCs w:val="18"/>
              </w:rPr>
              <w:t xml:space="preserve">Дизельное топливо </w:t>
            </w:r>
          </w:p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ГОСТ Р 52368-2005 </w:t>
            </w:r>
            <w:r w:rsidRPr="00E4510A">
              <w:rPr>
                <w:rFonts w:ascii="Times New Roman" w:hAnsi="Times New Roman"/>
                <w:sz w:val="18"/>
                <w:szCs w:val="18"/>
              </w:rPr>
              <w:br/>
              <w:t>"Топливо дизельное ЕВРО. Технические условия"</w:t>
            </w:r>
            <w:r w:rsidRPr="00E4510A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510A">
              <w:rPr>
                <w:rFonts w:ascii="Times New Roman" w:hAnsi="Times New Roman"/>
                <w:sz w:val="18"/>
                <w:szCs w:val="18"/>
              </w:rPr>
              <w:t>Цетановое</w:t>
            </w:r>
            <w:proofErr w:type="spellEnd"/>
            <w:r w:rsidRPr="00E4510A">
              <w:rPr>
                <w:rFonts w:ascii="Times New Roman" w:hAnsi="Times New Roman"/>
                <w:sz w:val="18"/>
                <w:szCs w:val="18"/>
              </w:rPr>
              <w:t xml:space="preserve"> число не менее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</w:tr>
      <w:tr w:rsidR="00C41915" w:rsidRPr="00E4510A" w:rsidTr="00E73CF4">
        <w:trPr>
          <w:trHeight w:val="227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510A">
              <w:rPr>
                <w:rFonts w:ascii="Times New Roman" w:hAnsi="Times New Roman"/>
                <w:sz w:val="18"/>
                <w:szCs w:val="18"/>
              </w:rPr>
              <w:t>Цетановый</w:t>
            </w:r>
            <w:proofErr w:type="spellEnd"/>
            <w:r w:rsidRPr="00E4510A">
              <w:rPr>
                <w:rFonts w:ascii="Times New Roman" w:hAnsi="Times New Roman"/>
                <w:sz w:val="18"/>
                <w:szCs w:val="18"/>
              </w:rPr>
              <w:t xml:space="preserve"> индекс, не менее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Плотность при 15°С, кг/м3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820-845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Полициклические ароматические углеводороды, % (по массе),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C41915" w:rsidRPr="00E4510A" w:rsidTr="00E73CF4">
        <w:trPr>
          <w:trHeight w:val="301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Содержание серы, мг/кг,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C41915" w:rsidRPr="00E4510A" w:rsidTr="00E73CF4">
        <w:trPr>
          <w:trHeight w:val="407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Температура вспышки в закрытом тигле, °С, выше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Коксуемость 10 %-</w:t>
            </w:r>
            <w:proofErr w:type="spellStart"/>
            <w:r w:rsidRPr="00E4510A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E4510A">
              <w:rPr>
                <w:rFonts w:ascii="Times New Roman" w:hAnsi="Times New Roman"/>
                <w:sz w:val="18"/>
                <w:szCs w:val="18"/>
              </w:rPr>
              <w:t xml:space="preserve"> остатка разгонки, % (по массе),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Зольность, % (по массе),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Содержание воды, мг/кг,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Общее загрязнение, мг/кг,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Коррозия медной пластинки (3 ч при 50°С), единицы по шкале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Окислительная стабильность: общее количество осадка, г/м3,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Смазывающая способность: скорректированный диаметр пятна износа при 60°С, мкм,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Кинематическая вязкость при 40°С, мм2/с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2,00-4,50</w:t>
            </w:r>
          </w:p>
        </w:tc>
      </w:tr>
      <w:tr w:rsidR="00C41915" w:rsidRPr="00E4510A" w:rsidTr="00E73CF4"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Фракционный состав: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при температуре 250°С, % (по объему), менее</w:t>
            </w:r>
          </w:p>
          <w:p w:rsidR="000B3BE1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 xml:space="preserve">при температуре 350°С, % (по объему), 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не менее</w:t>
            </w:r>
          </w:p>
          <w:p w:rsidR="00C41915" w:rsidRPr="00E4510A" w:rsidRDefault="00C41915" w:rsidP="00E73CF4">
            <w:pPr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95% (по объему) перегоняется при температуре, °С, не выше</w:t>
            </w:r>
          </w:p>
        </w:tc>
        <w:tc>
          <w:tcPr>
            <w:tcW w:w="1418" w:type="dxa"/>
          </w:tcPr>
          <w:p w:rsidR="000B3BE1" w:rsidRPr="00E4510A" w:rsidRDefault="000B3BE1" w:rsidP="000B3BE1">
            <w:pPr>
              <w:pStyle w:val="a6"/>
              <w:rPr>
                <w:sz w:val="18"/>
                <w:szCs w:val="18"/>
              </w:rPr>
            </w:pPr>
          </w:p>
          <w:p w:rsidR="00C41915" w:rsidRPr="00E4510A" w:rsidRDefault="00C41915" w:rsidP="000B3BE1">
            <w:pPr>
              <w:pStyle w:val="a6"/>
              <w:rPr>
                <w:sz w:val="18"/>
                <w:szCs w:val="18"/>
              </w:rPr>
            </w:pPr>
            <w:r w:rsidRPr="00E4510A">
              <w:rPr>
                <w:sz w:val="18"/>
                <w:szCs w:val="18"/>
              </w:rPr>
              <w:t>65</w:t>
            </w:r>
          </w:p>
          <w:p w:rsidR="000B3BE1" w:rsidRPr="00E4510A" w:rsidRDefault="000B3BE1" w:rsidP="000B3BE1">
            <w:pPr>
              <w:pStyle w:val="a6"/>
              <w:rPr>
                <w:sz w:val="18"/>
                <w:szCs w:val="18"/>
              </w:rPr>
            </w:pPr>
          </w:p>
          <w:p w:rsidR="00C41915" w:rsidRPr="00E4510A" w:rsidRDefault="00C41915" w:rsidP="000B3BE1">
            <w:pPr>
              <w:pStyle w:val="a6"/>
              <w:rPr>
                <w:sz w:val="18"/>
                <w:szCs w:val="18"/>
              </w:rPr>
            </w:pPr>
            <w:r w:rsidRPr="00E4510A">
              <w:rPr>
                <w:sz w:val="18"/>
                <w:szCs w:val="18"/>
              </w:rPr>
              <w:t>85</w:t>
            </w:r>
          </w:p>
          <w:p w:rsidR="000B3BE1" w:rsidRPr="00E4510A" w:rsidRDefault="000B3BE1" w:rsidP="000B3BE1">
            <w:pPr>
              <w:pStyle w:val="a6"/>
              <w:rPr>
                <w:sz w:val="18"/>
                <w:szCs w:val="18"/>
              </w:rPr>
            </w:pPr>
          </w:p>
          <w:p w:rsidR="00C41915" w:rsidRPr="00E4510A" w:rsidRDefault="00C41915" w:rsidP="000B3BE1">
            <w:pPr>
              <w:pStyle w:val="a6"/>
              <w:rPr>
                <w:sz w:val="18"/>
                <w:szCs w:val="18"/>
              </w:rPr>
            </w:pPr>
            <w:r w:rsidRPr="00E4510A">
              <w:rPr>
                <w:sz w:val="18"/>
                <w:szCs w:val="18"/>
              </w:rPr>
              <w:t>360</w:t>
            </w:r>
          </w:p>
        </w:tc>
      </w:tr>
      <w:tr w:rsidR="00C41915" w:rsidRPr="00E4510A" w:rsidTr="00E73CF4">
        <w:trPr>
          <w:trHeight w:val="499"/>
        </w:trPr>
        <w:tc>
          <w:tcPr>
            <w:tcW w:w="739" w:type="dxa"/>
            <w:vMerge/>
            <w:vAlign w:val="center"/>
          </w:tcPr>
          <w:p w:rsidR="00C41915" w:rsidRPr="00E4510A" w:rsidRDefault="00C41915" w:rsidP="00E73CF4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9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Содержание метиловых эфиров жирных кислот % (по объему), не более</w:t>
            </w:r>
          </w:p>
        </w:tc>
        <w:tc>
          <w:tcPr>
            <w:tcW w:w="1418" w:type="dxa"/>
          </w:tcPr>
          <w:p w:rsidR="00C41915" w:rsidRPr="00E4510A" w:rsidRDefault="00C41915" w:rsidP="00E73CF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E4510A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</w:tbl>
    <w:p w:rsidR="0092600C" w:rsidRPr="00E4510A" w:rsidRDefault="0092600C" w:rsidP="00C41915">
      <w:pPr>
        <w:contextualSpacing/>
        <w:rPr>
          <w:rFonts w:ascii="Times New Roman" w:hAnsi="Times New Roman"/>
          <w:sz w:val="20"/>
        </w:rPr>
      </w:pPr>
    </w:p>
    <w:p w:rsidR="00C41915" w:rsidRPr="00E4510A" w:rsidRDefault="00C41915" w:rsidP="00C41915">
      <w:pPr>
        <w:contextualSpacing/>
        <w:rPr>
          <w:rFonts w:ascii="Times New Roman" w:hAnsi="Times New Roman"/>
          <w:sz w:val="18"/>
          <w:szCs w:val="18"/>
          <w:highlight w:val="yellow"/>
        </w:rPr>
      </w:pPr>
      <w:r w:rsidRPr="00E4510A">
        <w:rPr>
          <w:rFonts w:ascii="Times New Roman" w:hAnsi="Times New Roman"/>
          <w:sz w:val="18"/>
          <w:szCs w:val="18"/>
        </w:rPr>
        <w:t>Допускается поставка ГСМ более высокого качества, но не менее качества 4 класса.</w:t>
      </w:r>
    </w:p>
    <w:p w:rsidR="00C41915" w:rsidRPr="00E4510A" w:rsidRDefault="000B3BE1" w:rsidP="00C41915">
      <w:pPr>
        <w:contextualSpacing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   </w:t>
      </w:r>
      <w:r w:rsidR="00C41915" w:rsidRPr="00E4510A">
        <w:rPr>
          <w:rFonts w:ascii="Times New Roman" w:hAnsi="Times New Roman"/>
          <w:b/>
          <w:sz w:val="18"/>
          <w:szCs w:val="18"/>
        </w:rPr>
        <w:t xml:space="preserve">4.  </w:t>
      </w:r>
      <w:r w:rsidRPr="00E4510A">
        <w:rPr>
          <w:rFonts w:ascii="Times New Roman" w:hAnsi="Times New Roman"/>
          <w:b/>
          <w:sz w:val="18"/>
          <w:szCs w:val="18"/>
        </w:rPr>
        <w:t>Це</w:t>
      </w:r>
      <w:r w:rsidR="00C41915" w:rsidRPr="00E4510A">
        <w:rPr>
          <w:rFonts w:ascii="Times New Roman" w:hAnsi="Times New Roman"/>
          <w:b/>
          <w:sz w:val="18"/>
          <w:szCs w:val="18"/>
        </w:rPr>
        <w:t>на договора:</w:t>
      </w:r>
    </w:p>
    <w:p w:rsidR="00C41915" w:rsidRPr="00E4510A" w:rsidRDefault="000B3BE1" w:rsidP="00C41915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     </w:t>
      </w:r>
      <w:r w:rsidR="00C41915" w:rsidRPr="00E4510A">
        <w:rPr>
          <w:rFonts w:ascii="Times New Roman" w:hAnsi="Times New Roman"/>
          <w:sz w:val="18"/>
          <w:szCs w:val="18"/>
        </w:rPr>
        <w:t xml:space="preserve">Цена договора включает в себя все расходы поставщика, связанные с исполнением договора, а также стоимость ГСМ, затраты на изготовление и обслуживание топливных смарт-карт (в количестве </w:t>
      </w:r>
      <w:r w:rsidRPr="00E4510A">
        <w:rPr>
          <w:rFonts w:ascii="Times New Roman" w:hAnsi="Times New Roman"/>
          <w:sz w:val="18"/>
          <w:szCs w:val="18"/>
        </w:rPr>
        <w:t xml:space="preserve">- </w:t>
      </w:r>
      <w:r w:rsidR="00C41915" w:rsidRPr="00E4510A">
        <w:rPr>
          <w:rFonts w:ascii="Times New Roman" w:hAnsi="Times New Roman"/>
          <w:sz w:val="18"/>
          <w:szCs w:val="18"/>
        </w:rPr>
        <w:t xml:space="preserve">5 штук), информационные услуги, все расходы по оформлению необходимой </w:t>
      </w:r>
      <w:r w:rsidRPr="00E4510A">
        <w:rPr>
          <w:rFonts w:ascii="Times New Roman" w:hAnsi="Times New Roman"/>
          <w:sz w:val="18"/>
          <w:szCs w:val="18"/>
        </w:rPr>
        <w:t xml:space="preserve">бухгалтерской </w:t>
      </w:r>
      <w:r w:rsidR="00C41915" w:rsidRPr="00E4510A">
        <w:rPr>
          <w:rFonts w:ascii="Times New Roman" w:hAnsi="Times New Roman"/>
          <w:sz w:val="18"/>
          <w:szCs w:val="18"/>
        </w:rPr>
        <w:t>документации, в том числе расходы на страхование, расходы, связанные с уплатой всех пошлин, налогов, сборов и других обязательных платежей в соответствии с законодательством Российской Федерации.</w:t>
      </w:r>
    </w:p>
    <w:p w:rsidR="00C41915" w:rsidRPr="00E4510A" w:rsidRDefault="000B3BE1" w:rsidP="00C41915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   </w:t>
      </w:r>
      <w:r w:rsidR="00C41915" w:rsidRPr="00E4510A">
        <w:rPr>
          <w:rFonts w:ascii="Times New Roman" w:hAnsi="Times New Roman"/>
          <w:b/>
          <w:sz w:val="18"/>
          <w:szCs w:val="18"/>
        </w:rPr>
        <w:t xml:space="preserve">5. Область применения: </w:t>
      </w:r>
      <w:r w:rsidR="00C41915" w:rsidRPr="00E4510A">
        <w:rPr>
          <w:rFonts w:ascii="Times New Roman" w:hAnsi="Times New Roman"/>
          <w:sz w:val="18"/>
          <w:szCs w:val="18"/>
        </w:rPr>
        <w:t>Бензин АИ-92, АИ-95 -Топливная система транспортных средств. Дизельное топливо (евро) - Топливная система транспортных средств в зимний и летний период эксплуатации.</w:t>
      </w:r>
    </w:p>
    <w:p w:rsidR="00C41915" w:rsidRPr="00E4510A" w:rsidRDefault="00E806AA" w:rsidP="00C41915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 </w:t>
      </w:r>
      <w:r w:rsidR="00C41915" w:rsidRPr="00E4510A">
        <w:rPr>
          <w:rFonts w:ascii="Times New Roman" w:hAnsi="Times New Roman"/>
          <w:b/>
          <w:sz w:val="18"/>
          <w:szCs w:val="18"/>
        </w:rPr>
        <w:t>6.</w:t>
      </w:r>
      <w:r w:rsidR="000B3BE1" w:rsidRPr="00E4510A">
        <w:rPr>
          <w:rFonts w:ascii="Times New Roman" w:hAnsi="Times New Roman"/>
          <w:b/>
          <w:sz w:val="18"/>
          <w:szCs w:val="18"/>
        </w:rPr>
        <w:t xml:space="preserve"> </w:t>
      </w:r>
      <w:r w:rsidR="00C41915" w:rsidRPr="00E4510A">
        <w:rPr>
          <w:rFonts w:ascii="Times New Roman" w:hAnsi="Times New Roman"/>
          <w:b/>
          <w:sz w:val="18"/>
          <w:szCs w:val="18"/>
        </w:rPr>
        <w:t xml:space="preserve">Срок (период) поставки товара: </w:t>
      </w:r>
      <w:r w:rsidR="00C41915" w:rsidRPr="00E4510A">
        <w:rPr>
          <w:rFonts w:ascii="Times New Roman" w:hAnsi="Times New Roman"/>
          <w:sz w:val="18"/>
          <w:szCs w:val="18"/>
        </w:rPr>
        <w:t>Срок поставки товара–</w:t>
      </w:r>
      <w:r w:rsidR="0014781B" w:rsidRPr="00E4510A">
        <w:rPr>
          <w:rFonts w:ascii="Times New Roman" w:hAnsi="Times New Roman"/>
          <w:sz w:val="18"/>
          <w:szCs w:val="18"/>
        </w:rPr>
        <w:t xml:space="preserve"> </w:t>
      </w:r>
      <w:r w:rsidR="00C41915" w:rsidRPr="00E4510A">
        <w:rPr>
          <w:rFonts w:ascii="Times New Roman" w:hAnsi="Times New Roman"/>
          <w:sz w:val="18"/>
          <w:szCs w:val="18"/>
        </w:rPr>
        <w:t>с 1</w:t>
      </w:r>
      <w:r w:rsidR="005F3FF6" w:rsidRPr="00E4510A">
        <w:rPr>
          <w:rFonts w:ascii="Times New Roman" w:hAnsi="Times New Roman"/>
          <w:sz w:val="18"/>
          <w:szCs w:val="18"/>
        </w:rPr>
        <w:t xml:space="preserve"> </w:t>
      </w:r>
      <w:r w:rsidR="002D22E9">
        <w:rPr>
          <w:rFonts w:ascii="Times New Roman" w:hAnsi="Times New Roman"/>
          <w:sz w:val="18"/>
          <w:szCs w:val="18"/>
        </w:rPr>
        <w:t>апреля</w:t>
      </w:r>
      <w:r w:rsidR="005F3FF6" w:rsidRPr="00E4510A">
        <w:rPr>
          <w:rFonts w:ascii="Times New Roman" w:hAnsi="Times New Roman"/>
          <w:sz w:val="18"/>
          <w:szCs w:val="18"/>
        </w:rPr>
        <w:t xml:space="preserve"> </w:t>
      </w:r>
      <w:r w:rsidR="00C41915" w:rsidRPr="00E4510A">
        <w:rPr>
          <w:rFonts w:ascii="Times New Roman" w:hAnsi="Times New Roman"/>
          <w:sz w:val="18"/>
          <w:szCs w:val="18"/>
        </w:rPr>
        <w:t>по</w:t>
      </w:r>
      <w:r w:rsidRPr="00E4510A">
        <w:rPr>
          <w:rFonts w:ascii="Times New Roman" w:hAnsi="Times New Roman"/>
          <w:sz w:val="18"/>
          <w:szCs w:val="18"/>
        </w:rPr>
        <w:t xml:space="preserve"> </w:t>
      </w:r>
      <w:r w:rsidR="00C41915" w:rsidRPr="00E4510A">
        <w:rPr>
          <w:rFonts w:ascii="Times New Roman" w:hAnsi="Times New Roman"/>
          <w:sz w:val="18"/>
          <w:szCs w:val="18"/>
        </w:rPr>
        <w:t>3</w:t>
      </w:r>
      <w:r w:rsidR="002D22E9">
        <w:rPr>
          <w:rFonts w:ascii="Times New Roman" w:hAnsi="Times New Roman"/>
          <w:sz w:val="18"/>
          <w:szCs w:val="18"/>
        </w:rPr>
        <w:t>0</w:t>
      </w:r>
      <w:r w:rsidR="00C41915" w:rsidRPr="00E4510A">
        <w:rPr>
          <w:rFonts w:ascii="Times New Roman" w:hAnsi="Times New Roman"/>
          <w:sz w:val="18"/>
          <w:szCs w:val="18"/>
        </w:rPr>
        <w:t xml:space="preserve"> </w:t>
      </w:r>
      <w:r w:rsidR="002D22E9">
        <w:rPr>
          <w:rFonts w:ascii="Times New Roman" w:hAnsi="Times New Roman"/>
          <w:sz w:val="18"/>
          <w:szCs w:val="18"/>
        </w:rPr>
        <w:t>июня</w:t>
      </w:r>
      <w:r w:rsidR="00C41915" w:rsidRPr="00E4510A">
        <w:rPr>
          <w:rFonts w:ascii="Times New Roman" w:hAnsi="Times New Roman"/>
          <w:sz w:val="18"/>
          <w:szCs w:val="18"/>
        </w:rPr>
        <w:t xml:space="preserve"> 202</w:t>
      </w:r>
      <w:r w:rsidR="002D22E9">
        <w:rPr>
          <w:rFonts w:ascii="Times New Roman" w:hAnsi="Times New Roman"/>
          <w:sz w:val="18"/>
          <w:szCs w:val="18"/>
        </w:rPr>
        <w:t>6</w:t>
      </w:r>
      <w:r w:rsidR="000B3BE1" w:rsidRPr="00E4510A">
        <w:rPr>
          <w:rFonts w:ascii="Times New Roman" w:hAnsi="Times New Roman"/>
          <w:sz w:val="18"/>
          <w:szCs w:val="18"/>
        </w:rPr>
        <w:t xml:space="preserve">г. </w:t>
      </w:r>
    </w:p>
    <w:p w:rsidR="001F409F" w:rsidRPr="00E4510A" w:rsidRDefault="00E806AA" w:rsidP="001F409F">
      <w:pPr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</w:t>
      </w:r>
      <w:r w:rsidR="001F409F" w:rsidRPr="00E4510A">
        <w:rPr>
          <w:rFonts w:ascii="Times New Roman" w:hAnsi="Times New Roman"/>
          <w:b/>
          <w:sz w:val="18"/>
          <w:szCs w:val="18"/>
        </w:rPr>
        <w:t xml:space="preserve">7. Место и условия поставки товара: </w:t>
      </w:r>
      <w:r w:rsidR="001F409F" w:rsidRPr="00E4510A">
        <w:rPr>
          <w:rFonts w:ascii="Times New Roman" w:hAnsi="Times New Roman"/>
          <w:sz w:val="18"/>
          <w:szCs w:val="18"/>
        </w:rPr>
        <w:t>АЗС Исполнителя должна соответствовать следующим требованиям:</w:t>
      </w:r>
    </w:p>
    <w:p w:rsidR="001F409F" w:rsidRPr="00E4510A" w:rsidRDefault="001F409F" w:rsidP="001F409F">
      <w:pPr>
        <w:contextualSpacing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 - режим работы – круглосуточный; </w:t>
      </w:r>
    </w:p>
    <w:p w:rsidR="001F409F" w:rsidRPr="00E4510A" w:rsidRDefault="00432533" w:rsidP="00432533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</w:t>
      </w:r>
      <w:r w:rsidR="001F409F" w:rsidRPr="00E4510A">
        <w:rPr>
          <w:rFonts w:ascii="Times New Roman" w:hAnsi="Times New Roman"/>
          <w:sz w:val="18"/>
          <w:szCs w:val="18"/>
        </w:rPr>
        <w:t>- автозаправочный комплекс должен обеспечивать заправку топливом через раздаточные колонки безналичным способом – по электронным топливным картам;</w:t>
      </w:r>
    </w:p>
    <w:p w:rsidR="002D76E2" w:rsidRPr="00E4510A" w:rsidRDefault="001F409F" w:rsidP="005F3FF6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</w:t>
      </w:r>
      <w:r w:rsidR="00432533" w:rsidRPr="00E4510A">
        <w:rPr>
          <w:rFonts w:ascii="Times New Roman" w:hAnsi="Times New Roman"/>
          <w:sz w:val="18"/>
          <w:szCs w:val="18"/>
        </w:rPr>
        <w:t xml:space="preserve"> У</w:t>
      </w:r>
      <w:r w:rsidRPr="00E4510A">
        <w:rPr>
          <w:rFonts w:ascii="Times New Roman" w:hAnsi="Times New Roman"/>
          <w:sz w:val="18"/>
          <w:szCs w:val="18"/>
        </w:rPr>
        <w:t xml:space="preserve"> </w:t>
      </w:r>
      <w:r w:rsidR="00320AEC" w:rsidRPr="00E4510A">
        <w:rPr>
          <w:rFonts w:ascii="Times New Roman" w:hAnsi="Times New Roman"/>
          <w:sz w:val="18"/>
          <w:szCs w:val="18"/>
        </w:rPr>
        <w:t>поставщика</w:t>
      </w:r>
      <w:r w:rsidRPr="00E4510A">
        <w:rPr>
          <w:rFonts w:ascii="Times New Roman" w:hAnsi="Times New Roman"/>
          <w:sz w:val="18"/>
          <w:szCs w:val="18"/>
        </w:rPr>
        <w:t xml:space="preserve"> должна быть разветвлённая сеть АЗС </w:t>
      </w:r>
      <w:r w:rsidR="000B3BE1" w:rsidRPr="00E4510A">
        <w:rPr>
          <w:rFonts w:ascii="Times New Roman" w:hAnsi="Times New Roman"/>
          <w:sz w:val="18"/>
          <w:szCs w:val="18"/>
        </w:rPr>
        <w:t xml:space="preserve">в г.Пенза и Пензенской области, а также </w:t>
      </w:r>
      <w:r w:rsidRPr="00E4510A">
        <w:rPr>
          <w:rFonts w:ascii="Times New Roman" w:hAnsi="Times New Roman"/>
          <w:sz w:val="18"/>
          <w:szCs w:val="18"/>
        </w:rPr>
        <w:t xml:space="preserve">на </w:t>
      </w:r>
      <w:r w:rsidR="0014781B" w:rsidRPr="00E4510A">
        <w:rPr>
          <w:rFonts w:ascii="Times New Roman" w:hAnsi="Times New Roman"/>
          <w:sz w:val="18"/>
          <w:szCs w:val="18"/>
        </w:rPr>
        <w:t xml:space="preserve">автодороге </w:t>
      </w:r>
      <w:r w:rsidR="00320AEC" w:rsidRPr="00E4510A">
        <w:rPr>
          <w:rFonts w:ascii="Times New Roman" w:hAnsi="Times New Roman"/>
          <w:sz w:val="18"/>
          <w:szCs w:val="18"/>
        </w:rPr>
        <w:t>М-5</w:t>
      </w:r>
      <w:r w:rsidR="00432533" w:rsidRPr="00E4510A">
        <w:rPr>
          <w:rFonts w:ascii="Times New Roman" w:hAnsi="Times New Roman"/>
          <w:sz w:val="18"/>
          <w:szCs w:val="18"/>
        </w:rPr>
        <w:t xml:space="preserve"> </w:t>
      </w:r>
      <w:r w:rsidRPr="00E4510A">
        <w:rPr>
          <w:rFonts w:ascii="Times New Roman" w:hAnsi="Times New Roman"/>
          <w:sz w:val="18"/>
          <w:szCs w:val="18"/>
        </w:rPr>
        <w:t>в крупных областных центрах</w:t>
      </w:r>
      <w:r w:rsidR="00432533" w:rsidRPr="00E4510A">
        <w:rPr>
          <w:rFonts w:ascii="Times New Roman" w:hAnsi="Times New Roman"/>
          <w:sz w:val="18"/>
          <w:szCs w:val="18"/>
        </w:rPr>
        <w:t xml:space="preserve"> (</w:t>
      </w:r>
      <w:r w:rsidR="00320AEC" w:rsidRPr="00E4510A">
        <w:rPr>
          <w:rFonts w:ascii="Times New Roman" w:hAnsi="Times New Roman"/>
          <w:sz w:val="18"/>
          <w:szCs w:val="18"/>
        </w:rPr>
        <w:t>Республика Мордовия, не менее – 1 шт. АЗС; Рязанская</w:t>
      </w:r>
      <w:r w:rsidR="00432533" w:rsidRPr="00E4510A">
        <w:rPr>
          <w:rFonts w:ascii="Times New Roman" w:hAnsi="Times New Roman"/>
          <w:sz w:val="18"/>
          <w:szCs w:val="18"/>
        </w:rPr>
        <w:t xml:space="preserve"> область, не менее – 1 шт</w:t>
      </w:r>
      <w:r w:rsidR="00320AEC" w:rsidRPr="00E4510A">
        <w:rPr>
          <w:rFonts w:ascii="Times New Roman" w:hAnsi="Times New Roman"/>
          <w:sz w:val="18"/>
          <w:szCs w:val="18"/>
        </w:rPr>
        <w:t>.</w:t>
      </w:r>
      <w:r w:rsidR="00432533" w:rsidRPr="00E4510A">
        <w:rPr>
          <w:rFonts w:ascii="Times New Roman" w:hAnsi="Times New Roman"/>
          <w:sz w:val="18"/>
          <w:szCs w:val="18"/>
        </w:rPr>
        <w:t xml:space="preserve"> АЗС</w:t>
      </w:r>
      <w:r w:rsidR="00320AEC" w:rsidRPr="00E4510A">
        <w:rPr>
          <w:rFonts w:ascii="Times New Roman" w:hAnsi="Times New Roman"/>
          <w:sz w:val="18"/>
          <w:szCs w:val="18"/>
        </w:rPr>
        <w:t>;</w:t>
      </w:r>
      <w:r w:rsidR="00432533" w:rsidRPr="00E4510A">
        <w:rPr>
          <w:rFonts w:ascii="Times New Roman" w:hAnsi="Times New Roman"/>
          <w:sz w:val="18"/>
          <w:szCs w:val="18"/>
        </w:rPr>
        <w:t xml:space="preserve"> Московской области- </w:t>
      </w:r>
      <w:r w:rsidR="00320AEC" w:rsidRPr="00E4510A">
        <w:rPr>
          <w:rFonts w:ascii="Times New Roman" w:hAnsi="Times New Roman"/>
          <w:sz w:val="18"/>
          <w:szCs w:val="18"/>
        </w:rPr>
        <w:t>не</w:t>
      </w:r>
      <w:r w:rsidR="00432533" w:rsidRPr="00E4510A">
        <w:rPr>
          <w:rFonts w:ascii="Times New Roman" w:hAnsi="Times New Roman"/>
          <w:sz w:val="18"/>
          <w:szCs w:val="18"/>
        </w:rPr>
        <w:t xml:space="preserve"> менее 1 шт</w:t>
      </w:r>
      <w:r w:rsidR="00320AEC" w:rsidRPr="00E4510A">
        <w:rPr>
          <w:rFonts w:ascii="Times New Roman" w:hAnsi="Times New Roman"/>
          <w:sz w:val="18"/>
          <w:szCs w:val="18"/>
        </w:rPr>
        <w:t>.</w:t>
      </w:r>
      <w:r w:rsidR="00E806AA" w:rsidRPr="00E4510A">
        <w:rPr>
          <w:rFonts w:ascii="Times New Roman" w:hAnsi="Times New Roman"/>
          <w:sz w:val="18"/>
          <w:szCs w:val="18"/>
        </w:rPr>
        <w:t xml:space="preserve"> АЗС)</w:t>
      </w:r>
      <w:r w:rsidR="00432533" w:rsidRPr="00E4510A">
        <w:rPr>
          <w:rFonts w:ascii="Times New Roman" w:hAnsi="Times New Roman"/>
          <w:sz w:val="18"/>
          <w:szCs w:val="18"/>
        </w:rPr>
        <w:t xml:space="preserve"> и в Юго-Восточном административном округе </w:t>
      </w:r>
      <w:r w:rsidR="00320AEC" w:rsidRPr="00E4510A">
        <w:rPr>
          <w:rFonts w:ascii="Times New Roman" w:hAnsi="Times New Roman"/>
          <w:sz w:val="18"/>
          <w:szCs w:val="18"/>
        </w:rPr>
        <w:t>г</w:t>
      </w:r>
      <w:r w:rsidR="007B0288" w:rsidRPr="00E4510A">
        <w:rPr>
          <w:rFonts w:ascii="Times New Roman" w:hAnsi="Times New Roman"/>
          <w:sz w:val="18"/>
          <w:szCs w:val="18"/>
        </w:rPr>
        <w:t>.</w:t>
      </w:r>
      <w:r w:rsidR="00432533" w:rsidRPr="00E4510A">
        <w:rPr>
          <w:rFonts w:ascii="Times New Roman" w:hAnsi="Times New Roman"/>
          <w:sz w:val="18"/>
          <w:szCs w:val="18"/>
        </w:rPr>
        <w:t>Москвы</w:t>
      </w:r>
      <w:r w:rsidR="00320AEC" w:rsidRPr="00E4510A">
        <w:rPr>
          <w:rFonts w:ascii="Times New Roman" w:hAnsi="Times New Roman"/>
          <w:sz w:val="18"/>
          <w:szCs w:val="18"/>
        </w:rPr>
        <w:t>, не менее 1 шт. АЗС</w:t>
      </w:r>
      <w:r w:rsidRPr="00E4510A">
        <w:rPr>
          <w:rFonts w:ascii="Times New Roman" w:hAnsi="Times New Roman"/>
          <w:sz w:val="18"/>
          <w:szCs w:val="18"/>
        </w:rPr>
        <w:t xml:space="preserve">, </w:t>
      </w:r>
      <w:r w:rsidRPr="00E4510A">
        <w:rPr>
          <w:rFonts w:ascii="Times New Roman" w:hAnsi="Times New Roman"/>
          <w:sz w:val="18"/>
          <w:szCs w:val="18"/>
        </w:rPr>
        <w:lastRenderedPageBreak/>
        <w:t>либо заключены договоры, в соответствии с которыми топливные карты Исполнителя принимаются к оплате за топливо на АЗС других собственников</w:t>
      </w:r>
      <w:r w:rsidR="002D76E2" w:rsidRPr="00E4510A">
        <w:rPr>
          <w:rFonts w:ascii="Times New Roman" w:hAnsi="Times New Roman"/>
          <w:sz w:val="18"/>
          <w:szCs w:val="18"/>
        </w:rPr>
        <w:t>.</w:t>
      </w:r>
      <w:r w:rsidR="00432533" w:rsidRPr="00E4510A">
        <w:rPr>
          <w:rFonts w:ascii="Times New Roman" w:hAnsi="Times New Roman"/>
          <w:sz w:val="18"/>
          <w:szCs w:val="18"/>
        </w:rPr>
        <w:t xml:space="preserve"> По требованию заказчика в течение 2-х рабочих дней с даты направления соответствующего запроса,</w:t>
      </w:r>
      <w:r w:rsidR="00CD72A2" w:rsidRPr="00CD72A2">
        <w:rPr>
          <w:rFonts w:ascii="Times New Roman" w:hAnsi="Times New Roman"/>
          <w:sz w:val="18"/>
          <w:szCs w:val="18"/>
        </w:rPr>
        <w:t xml:space="preserve"> </w:t>
      </w:r>
      <w:r w:rsidR="00CD72A2" w:rsidRPr="00E4510A">
        <w:rPr>
          <w:rFonts w:ascii="Times New Roman" w:hAnsi="Times New Roman"/>
          <w:sz w:val="18"/>
          <w:szCs w:val="18"/>
        </w:rPr>
        <w:t>поставщик обязан сообщить письменно</w:t>
      </w:r>
      <w:r w:rsidR="00432533" w:rsidRPr="00E4510A">
        <w:rPr>
          <w:rFonts w:ascii="Times New Roman" w:hAnsi="Times New Roman"/>
          <w:sz w:val="18"/>
          <w:szCs w:val="18"/>
        </w:rPr>
        <w:t xml:space="preserve"> </w:t>
      </w:r>
      <w:r w:rsidR="00320AEC" w:rsidRPr="00E4510A">
        <w:rPr>
          <w:rFonts w:ascii="Times New Roman" w:hAnsi="Times New Roman"/>
          <w:sz w:val="18"/>
          <w:szCs w:val="18"/>
        </w:rPr>
        <w:t>адреса (</w:t>
      </w:r>
      <w:r w:rsidR="00432533" w:rsidRPr="00E4510A">
        <w:rPr>
          <w:rFonts w:ascii="Times New Roman" w:hAnsi="Times New Roman"/>
          <w:sz w:val="18"/>
          <w:szCs w:val="18"/>
        </w:rPr>
        <w:t>места</w:t>
      </w:r>
      <w:r w:rsidR="00320AEC" w:rsidRPr="00E4510A">
        <w:rPr>
          <w:rFonts w:ascii="Times New Roman" w:hAnsi="Times New Roman"/>
          <w:sz w:val="18"/>
          <w:szCs w:val="18"/>
        </w:rPr>
        <w:t>)</w:t>
      </w:r>
      <w:r w:rsidR="00432533" w:rsidRPr="00E4510A">
        <w:rPr>
          <w:rFonts w:ascii="Times New Roman" w:hAnsi="Times New Roman"/>
          <w:sz w:val="18"/>
          <w:szCs w:val="18"/>
        </w:rPr>
        <w:t xml:space="preserve"> расположения АЗС</w:t>
      </w:r>
      <w:r w:rsidR="00E806AA" w:rsidRPr="00E4510A">
        <w:rPr>
          <w:rFonts w:ascii="Times New Roman" w:hAnsi="Times New Roman"/>
          <w:sz w:val="18"/>
          <w:szCs w:val="18"/>
        </w:rPr>
        <w:t xml:space="preserve"> на </w:t>
      </w:r>
      <w:r w:rsidR="0014781B" w:rsidRPr="00E4510A">
        <w:rPr>
          <w:rFonts w:ascii="Times New Roman" w:hAnsi="Times New Roman"/>
          <w:sz w:val="18"/>
          <w:szCs w:val="18"/>
        </w:rPr>
        <w:t xml:space="preserve">автодороге </w:t>
      </w:r>
      <w:r w:rsidR="00E806AA" w:rsidRPr="00E4510A">
        <w:rPr>
          <w:rFonts w:ascii="Times New Roman" w:hAnsi="Times New Roman"/>
          <w:sz w:val="18"/>
          <w:szCs w:val="18"/>
        </w:rPr>
        <w:t>М-5</w:t>
      </w:r>
      <w:r w:rsidR="00432533" w:rsidRPr="00E4510A">
        <w:rPr>
          <w:rFonts w:ascii="Times New Roman" w:hAnsi="Times New Roman"/>
          <w:sz w:val="18"/>
          <w:szCs w:val="18"/>
        </w:rPr>
        <w:t xml:space="preserve"> </w:t>
      </w:r>
      <w:r w:rsidR="00E806AA" w:rsidRPr="00E4510A">
        <w:rPr>
          <w:rFonts w:ascii="Times New Roman" w:hAnsi="Times New Roman"/>
          <w:sz w:val="18"/>
          <w:szCs w:val="18"/>
        </w:rPr>
        <w:t>(</w:t>
      </w:r>
      <w:r w:rsidR="0014781B" w:rsidRPr="00E4510A">
        <w:rPr>
          <w:rFonts w:ascii="Times New Roman" w:hAnsi="Times New Roman"/>
          <w:sz w:val="18"/>
          <w:szCs w:val="18"/>
        </w:rPr>
        <w:t xml:space="preserve">территории: </w:t>
      </w:r>
      <w:r w:rsidR="00E806AA" w:rsidRPr="00E4510A">
        <w:rPr>
          <w:rFonts w:ascii="Times New Roman" w:hAnsi="Times New Roman"/>
          <w:sz w:val="18"/>
          <w:szCs w:val="18"/>
        </w:rPr>
        <w:t>Республика Мордовия, не менее – 1 шт.; Рязанская область, не менее – 1 шт. и Мос</w:t>
      </w:r>
      <w:r w:rsidR="00CD72A2">
        <w:rPr>
          <w:rFonts w:ascii="Times New Roman" w:hAnsi="Times New Roman"/>
          <w:sz w:val="18"/>
          <w:szCs w:val="18"/>
        </w:rPr>
        <w:t>ковской области- не менее 1 шт.</w:t>
      </w:r>
      <w:r w:rsidR="00E806AA" w:rsidRPr="00E4510A">
        <w:rPr>
          <w:rFonts w:ascii="Times New Roman" w:hAnsi="Times New Roman"/>
          <w:sz w:val="18"/>
          <w:szCs w:val="18"/>
        </w:rPr>
        <w:t xml:space="preserve"> и в Юго-Восточном административном округе г.Москвы, не менее 1 </w:t>
      </w:r>
      <w:proofErr w:type="spellStart"/>
      <w:r w:rsidR="00E806AA" w:rsidRPr="00E4510A">
        <w:rPr>
          <w:rFonts w:ascii="Times New Roman" w:hAnsi="Times New Roman"/>
          <w:sz w:val="18"/>
          <w:szCs w:val="18"/>
        </w:rPr>
        <w:t>шт</w:t>
      </w:r>
      <w:proofErr w:type="spellEnd"/>
      <w:r w:rsidR="00CD72A2">
        <w:rPr>
          <w:rFonts w:ascii="Times New Roman" w:hAnsi="Times New Roman"/>
          <w:sz w:val="18"/>
          <w:szCs w:val="18"/>
        </w:rPr>
        <w:t>)</w:t>
      </w:r>
      <w:bookmarkStart w:id="2" w:name="_GoBack"/>
      <w:bookmarkEnd w:id="2"/>
      <w:r w:rsidR="00432533" w:rsidRPr="00E4510A">
        <w:rPr>
          <w:rFonts w:ascii="Times New Roman" w:hAnsi="Times New Roman"/>
          <w:sz w:val="18"/>
          <w:szCs w:val="18"/>
        </w:rPr>
        <w:t xml:space="preserve">. </w:t>
      </w:r>
    </w:p>
    <w:p w:rsidR="00317E5C" w:rsidRPr="00E4510A" w:rsidRDefault="0070760B" w:rsidP="005F3FF6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  </w:t>
      </w:r>
      <w:r w:rsidR="00AA1609" w:rsidRPr="00E4510A">
        <w:rPr>
          <w:rFonts w:ascii="Times New Roman" w:hAnsi="Times New Roman"/>
          <w:sz w:val="18"/>
          <w:szCs w:val="18"/>
        </w:rPr>
        <w:t>Перечень то</w:t>
      </w:r>
      <w:r w:rsidRPr="00E4510A">
        <w:rPr>
          <w:rFonts w:ascii="Times New Roman" w:hAnsi="Times New Roman"/>
          <w:sz w:val="18"/>
          <w:szCs w:val="18"/>
        </w:rPr>
        <w:t xml:space="preserve">чек обслуживания </w:t>
      </w:r>
      <w:r w:rsidR="00320AEC" w:rsidRPr="00E4510A">
        <w:rPr>
          <w:rFonts w:ascii="Times New Roman" w:hAnsi="Times New Roman"/>
          <w:sz w:val="18"/>
          <w:szCs w:val="18"/>
        </w:rPr>
        <w:t>в г</w:t>
      </w:r>
      <w:r w:rsidR="003543BC" w:rsidRPr="00E4510A">
        <w:rPr>
          <w:rFonts w:ascii="Times New Roman" w:hAnsi="Times New Roman"/>
          <w:sz w:val="18"/>
          <w:szCs w:val="18"/>
        </w:rPr>
        <w:t>.</w:t>
      </w:r>
      <w:r w:rsidR="00320AEC" w:rsidRPr="00E4510A">
        <w:rPr>
          <w:rFonts w:ascii="Times New Roman" w:hAnsi="Times New Roman"/>
          <w:sz w:val="18"/>
          <w:szCs w:val="18"/>
        </w:rPr>
        <w:t xml:space="preserve"> Пенза и Пензенской области </w:t>
      </w:r>
      <w:r w:rsidRPr="00E4510A">
        <w:rPr>
          <w:rFonts w:ascii="Times New Roman" w:hAnsi="Times New Roman"/>
          <w:sz w:val="18"/>
          <w:szCs w:val="18"/>
        </w:rPr>
        <w:t>указан в Приложении №</w:t>
      </w:r>
      <w:r w:rsidR="007721CB" w:rsidRPr="00E4510A">
        <w:rPr>
          <w:rFonts w:ascii="Times New Roman" w:hAnsi="Times New Roman"/>
          <w:sz w:val="18"/>
          <w:szCs w:val="18"/>
        </w:rPr>
        <w:t>3</w:t>
      </w:r>
      <w:r w:rsidRPr="00E4510A">
        <w:rPr>
          <w:rFonts w:ascii="Times New Roman" w:hAnsi="Times New Roman"/>
          <w:sz w:val="18"/>
          <w:szCs w:val="18"/>
        </w:rPr>
        <w:t xml:space="preserve"> к настоящему договору.</w:t>
      </w:r>
      <w:r w:rsidR="00F873B5" w:rsidRPr="00E4510A">
        <w:rPr>
          <w:rFonts w:ascii="Times New Roman" w:hAnsi="Times New Roman"/>
          <w:sz w:val="18"/>
          <w:szCs w:val="18"/>
        </w:rPr>
        <w:t xml:space="preserve">  </w:t>
      </w:r>
      <w:r w:rsidR="00F029B9" w:rsidRPr="00E4510A">
        <w:rPr>
          <w:rFonts w:ascii="Times New Roman" w:hAnsi="Times New Roman"/>
          <w:sz w:val="18"/>
          <w:szCs w:val="18"/>
        </w:rPr>
        <w:t>Кроме того, у</w:t>
      </w:r>
      <w:r w:rsidR="00F873B5" w:rsidRPr="00E4510A">
        <w:rPr>
          <w:rFonts w:ascii="Times New Roman" w:hAnsi="Times New Roman"/>
          <w:sz w:val="18"/>
          <w:szCs w:val="18"/>
        </w:rPr>
        <w:t xml:space="preserve"> поставщика товара должн</w:t>
      </w:r>
      <w:r w:rsidR="00317E5C" w:rsidRPr="00E4510A">
        <w:rPr>
          <w:rFonts w:ascii="Times New Roman" w:hAnsi="Times New Roman"/>
          <w:sz w:val="18"/>
          <w:szCs w:val="18"/>
        </w:rPr>
        <w:t>а</w:t>
      </w:r>
      <w:r w:rsidR="00F873B5" w:rsidRPr="00E4510A">
        <w:rPr>
          <w:rFonts w:ascii="Times New Roman" w:hAnsi="Times New Roman"/>
          <w:sz w:val="18"/>
          <w:szCs w:val="18"/>
        </w:rPr>
        <w:t xml:space="preserve"> быть в наличии </w:t>
      </w:r>
      <w:r w:rsidR="007721CB" w:rsidRPr="00E4510A">
        <w:rPr>
          <w:rFonts w:ascii="Times New Roman" w:hAnsi="Times New Roman"/>
          <w:sz w:val="18"/>
          <w:szCs w:val="18"/>
        </w:rPr>
        <w:t xml:space="preserve">в г.Пенза </w:t>
      </w:r>
      <w:r w:rsidR="00F873B5" w:rsidRPr="00E4510A">
        <w:rPr>
          <w:rFonts w:ascii="Times New Roman" w:hAnsi="Times New Roman"/>
          <w:sz w:val="18"/>
          <w:szCs w:val="18"/>
        </w:rPr>
        <w:t xml:space="preserve">не менее одной </w:t>
      </w:r>
      <w:r w:rsidR="00F029B9" w:rsidRPr="00E4510A">
        <w:rPr>
          <w:rFonts w:ascii="Times New Roman" w:hAnsi="Times New Roman"/>
          <w:sz w:val="18"/>
          <w:szCs w:val="18"/>
        </w:rPr>
        <w:t xml:space="preserve">стационарной </w:t>
      </w:r>
      <w:r w:rsidR="00F873B5" w:rsidRPr="00E4510A">
        <w:rPr>
          <w:rFonts w:ascii="Times New Roman" w:hAnsi="Times New Roman"/>
          <w:sz w:val="18"/>
          <w:szCs w:val="18"/>
        </w:rPr>
        <w:t>АЗС</w:t>
      </w:r>
      <w:r w:rsidR="00F029B9" w:rsidRPr="00E4510A">
        <w:rPr>
          <w:rFonts w:ascii="Times New Roman" w:hAnsi="Times New Roman"/>
          <w:sz w:val="18"/>
          <w:szCs w:val="18"/>
        </w:rPr>
        <w:t xml:space="preserve">, которая </w:t>
      </w:r>
      <w:r w:rsidR="00317E5C" w:rsidRPr="00E4510A">
        <w:rPr>
          <w:rFonts w:ascii="Times New Roman" w:hAnsi="Times New Roman"/>
          <w:sz w:val="18"/>
          <w:szCs w:val="18"/>
        </w:rPr>
        <w:t>в обязательном порядке должна ра</w:t>
      </w:r>
      <w:r w:rsidR="00F029B9" w:rsidRPr="00E4510A">
        <w:rPr>
          <w:rFonts w:ascii="Times New Roman" w:hAnsi="Times New Roman"/>
          <w:sz w:val="18"/>
          <w:szCs w:val="18"/>
        </w:rPr>
        <w:t>змещаться</w:t>
      </w:r>
      <w:r w:rsidR="00317E5C" w:rsidRPr="00E4510A">
        <w:rPr>
          <w:rFonts w:ascii="Times New Roman" w:hAnsi="Times New Roman"/>
          <w:sz w:val="18"/>
          <w:szCs w:val="18"/>
        </w:rPr>
        <w:t xml:space="preserve"> н</w:t>
      </w:r>
      <w:r w:rsidR="00317E5C" w:rsidRPr="002D22E9">
        <w:rPr>
          <w:rFonts w:ascii="Times New Roman" w:hAnsi="Times New Roman"/>
          <w:sz w:val="18"/>
          <w:szCs w:val="18"/>
        </w:rPr>
        <w:t xml:space="preserve">а </w:t>
      </w:r>
      <w:r w:rsidR="00317E5C" w:rsidRPr="00E4510A">
        <w:rPr>
          <w:rFonts w:ascii="Times New Roman" w:hAnsi="Times New Roman"/>
          <w:sz w:val="18"/>
          <w:szCs w:val="18"/>
        </w:rPr>
        <w:t>расстоянии не далее 4 км от Пензенского государственного университета архитектуры и строительства. Это расстояние определяется при движении по дорогам общего пользования от наиболее выступающей части контрольно-пропускного пункта №1 ПГУАС (г.Пенза, ул. Германа Титова, 28</w:t>
      </w:r>
      <w:r w:rsidR="00F029B9" w:rsidRPr="00E4510A">
        <w:rPr>
          <w:rFonts w:ascii="Times New Roman" w:hAnsi="Times New Roman"/>
          <w:sz w:val="18"/>
          <w:szCs w:val="18"/>
        </w:rPr>
        <w:t xml:space="preserve">, </w:t>
      </w:r>
      <w:r w:rsidR="007721CB" w:rsidRPr="00E4510A">
        <w:rPr>
          <w:rFonts w:ascii="Times New Roman" w:hAnsi="Times New Roman"/>
          <w:sz w:val="18"/>
          <w:szCs w:val="18"/>
        </w:rPr>
        <w:t>от здания</w:t>
      </w:r>
      <w:r w:rsidR="00F029B9" w:rsidRPr="00E4510A">
        <w:rPr>
          <w:rFonts w:ascii="Times New Roman" w:hAnsi="Times New Roman"/>
          <w:sz w:val="18"/>
          <w:szCs w:val="18"/>
        </w:rPr>
        <w:t xml:space="preserve"> общежития №1</w:t>
      </w:r>
      <w:r w:rsidR="00317E5C" w:rsidRPr="00E4510A">
        <w:rPr>
          <w:rFonts w:ascii="Times New Roman" w:hAnsi="Times New Roman"/>
          <w:sz w:val="18"/>
          <w:szCs w:val="18"/>
        </w:rPr>
        <w:t xml:space="preserve">) и до ближайшей топливораздаточной колонки АЗС </w:t>
      </w:r>
      <w:r w:rsidR="00E806AA" w:rsidRPr="00E4510A">
        <w:rPr>
          <w:rFonts w:ascii="Times New Roman" w:hAnsi="Times New Roman"/>
          <w:sz w:val="18"/>
          <w:szCs w:val="18"/>
        </w:rPr>
        <w:t>Поставщика</w:t>
      </w:r>
      <w:r w:rsidR="00F029B9" w:rsidRPr="00E4510A">
        <w:rPr>
          <w:rFonts w:ascii="Times New Roman" w:hAnsi="Times New Roman"/>
          <w:sz w:val="18"/>
          <w:szCs w:val="18"/>
        </w:rPr>
        <w:t>.</w:t>
      </w:r>
      <w:r w:rsidR="007721CB" w:rsidRPr="00E4510A">
        <w:rPr>
          <w:rFonts w:ascii="Times New Roman" w:hAnsi="Times New Roman"/>
          <w:sz w:val="18"/>
          <w:szCs w:val="18"/>
        </w:rPr>
        <w:t xml:space="preserve"> </w:t>
      </w:r>
    </w:p>
    <w:p w:rsidR="00F873B5" w:rsidRPr="00E4510A" w:rsidRDefault="00F873B5" w:rsidP="005F3FF6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У </w:t>
      </w:r>
      <w:r w:rsidR="00E806AA" w:rsidRPr="00E4510A">
        <w:rPr>
          <w:rFonts w:ascii="Times New Roman" w:hAnsi="Times New Roman"/>
          <w:sz w:val="18"/>
          <w:szCs w:val="18"/>
        </w:rPr>
        <w:t>П</w:t>
      </w:r>
      <w:r w:rsidRPr="00E4510A">
        <w:rPr>
          <w:rFonts w:ascii="Times New Roman" w:hAnsi="Times New Roman"/>
          <w:sz w:val="18"/>
          <w:szCs w:val="18"/>
        </w:rPr>
        <w:t xml:space="preserve">оставщика товара должно быть в наличии не менее одной АЗС </w:t>
      </w:r>
      <w:r w:rsidR="003543BC" w:rsidRPr="00E4510A">
        <w:rPr>
          <w:rFonts w:ascii="Times New Roman" w:hAnsi="Times New Roman"/>
          <w:sz w:val="18"/>
          <w:szCs w:val="18"/>
        </w:rPr>
        <w:t xml:space="preserve">в </w:t>
      </w:r>
      <w:r w:rsidR="00E806AA" w:rsidRPr="00E4510A">
        <w:rPr>
          <w:rFonts w:ascii="Times New Roman" w:hAnsi="Times New Roman"/>
          <w:sz w:val="18"/>
          <w:szCs w:val="18"/>
        </w:rPr>
        <w:t xml:space="preserve">описанных </w:t>
      </w:r>
      <w:r w:rsidRPr="00E4510A">
        <w:rPr>
          <w:rFonts w:ascii="Times New Roman" w:hAnsi="Times New Roman"/>
          <w:sz w:val="18"/>
          <w:szCs w:val="18"/>
        </w:rPr>
        <w:t xml:space="preserve">районах Пензенской </w:t>
      </w:r>
      <w:r w:rsidR="00E806AA" w:rsidRPr="00E4510A">
        <w:rPr>
          <w:rFonts w:ascii="Times New Roman" w:hAnsi="Times New Roman"/>
          <w:sz w:val="18"/>
          <w:szCs w:val="18"/>
        </w:rPr>
        <w:t>области (Приложение №3).</w:t>
      </w:r>
    </w:p>
    <w:p w:rsidR="002D76E2" w:rsidRPr="00E4510A" w:rsidRDefault="00E806AA" w:rsidP="002D76E2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</w:t>
      </w:r>
      <w:r w:rsidR="002D76E2" w:rsidRPr="00E4510A">
        <w:rPr>
          <w:rFonts w:ascii="Times New Roman" w:hAnsi="Times New Roman"/>
          <w:b/>
          <w:sz w:val="18"/>
          <w:szCs w:val="18"/>
        </w:rPr>
        <w:t xml:space="preserve">8.  Требования к безопасности: </w:t>
      </w:r>
      <w:r w:rsidR="002D76E2" w:rsidRPr="00E4510A">
        <w:rPr>
          <w:rFonts w:ascii="Times New Roman" w:hAnsi="Times New Roman"/>
          <w:sz w:val="18"/>
          <w:szCs w:val="18"/>
        </w:rPr>
        <w:t xml:space="preserve">Обе стороны должны руководствоваться действующим законодательством РФ, руководящим документом РД 153-39.2-080-01 «Правила технической эксплуатации автозаправочных станций», принятым и введенным в действие приказом Минэнерго РФ от 01.08.2001 № 229, с изменениями от 17.06.2003, инструкцией о порядке поступления, хранения, отпуска и учета нефти и нефтепродуктов на нефтебазах, наливных пунктах и автозаправочных станциях системы </w:t>
      </w:r>
      <w:proofErr w:type="spellStart"/>
      <w:r w:rsidR="002D76E2" w:rsidRPr="00E4510A">
        <w:rPr>
          <w:rFonts w:ascii="Times New Roman" w:hAnsi="Times New Roman"/>
          <w:sz w:val="18"/>
          <w:szCs w:val="18"/>
        </w:rPr>
        <w:t>Госкомнефтепродукта</w:t>
      </w:r>
      <w:proofErr w:type="spellEnd"/>
      <w:r w:rsidR="002D76E2" w:rsidRPr="00E4510A">
        <w:rPr>
          <w:rFonts w:ascii="Times New Roman" w:hAnsi="Times New Roman"/>
          <w:sz w:val="18"/>
          <w:szCs w:val="18"/>
        </w:rPr>
        <w:t xml:space="preserve"> СССР, утвержденной </w:t>
      </w:r>
      <w:proofErr w:type="spellStart"/>
      <w:r w:rsidR="002D76E2" w:rsidRPr="00E4510A">
        <w:rPr>
          <w:rFonts w:ascii="Times New Roman" w:hAnsi="Times New Roman"/>
          <w:sz w:val="18"/>
          <w:szCs w:val="18"/>
        </w:rPr>
        <w:t>Госкомнефтепродуктом</w:t>
      </w:r>
      <w:proofErr w:type="spellEnd"/>
      <w:r w:rsidR="002D76E2" w:rsidRPr="00E4510A">
        <w:rPr>
          <w:rFonts w:ascii="Times New Roman" w:hAnsi="Times New Roman"/>
          <w:sz w:val="18"/>
          <w:szCs w:val="18"/>
        </w:rPr>
        <w:t xml:space="preserve"> СССР 15.08.1985 № 06/21-</w:t>
      </w:r>
      <w:r w:rsidR="00F73A7E" w:rsidRPr="00E4510A">
        <w:rPr>
          <w:rFonts w:ascii="Times New Roman" w:hAnsi="Times New Roman"/>
          <w:sz w:val="18"/>
          <w:szCs w:val="18"/>
        </w:rPr>
        <w:t>8-446.</w:t>
      </w:r>
    </w:p>
    <w:p w:rsidR="0014781B" w:rsidRPr="00E4510A" w:rsidRDefault="0014781B" w:rsidP="002D76E2">
      <w:pPr>
        <w:contextualSpacing/>
        <w:jc w:val="both"/>
        <w:rPr>
          <w:rFonts w:ascii="Times New Roman" w:hAnsi="Times New Roman"/>
          <w:sz w:val="18"/>
          <w:szCs w:val="18"/>
        </w:rPr>
      </w:pPr>
    </w:p>
    <w:p w:rsidR="0014781B" w:rsidRPr="00E4510A" w:rsidRDefault="0014781B" w:rsidP="002D76E2">
      <w:pPr>
        <w:contextualSpacing/>
        <w:jc w:val="both"/>
        <w:rPr>
          <w:rFonts w:ascii="Times New Roman" w:hAnsi="Times New Roman"/>
          <w:sz w:val="18"/>
          <w:szCs w:val="18"/>
        </w:rPr>
      </w:pPr>
    </w:p>
    <w:p w:rsidR="002D76E2" w:rsidRPr="00E4510A" w:rsidRDefault="00E806AA" w:rsidP="002D76E2">
      <w:pPr>
        <w:contextualSpacing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</w:t>
      </w:r>
      <w:r w:rsidR="002D76E2" w:rsidRPr="00E4510A">
        <w:rPr>
          <w:rFonts w:ascii="Times New Roman" w:hAnsi="Times New Roman"/>
          <w:b/>
          <w:sz w:val="18"/>
          <w:szCs w:val="18"/>
        </w:rPr>
        <w:t>9. Требования к качеству товара:</w:t>
      </w:r>
    </w:p>
    <w:p w:rsidR="002D76E2" w:rsidRPr="00E4510A" w:rsidRDefault="002D76E2" w:rsidP="002D76E2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9.1. Качество ГСМ должно соответствовать ГОСТ Р 51105-97, ГОСТ Р 51866-2002, ГОСТ Р 52368-2005,требованиям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ТР ТС 013/2011, утвержденного Решением Таможенного союза от 18.10.2011 № 826, и  требованиям технического регламента, утвержденного Постановлением Правительства Российской Федерации от 27.02.2008 № 118 «О требованиях к автомобильному и авиационному бензину, дизельному и судовому топливу, топливу для реактивных двигателей и топочному мазуту», а также сертификату соответствия на товар и паспортам качества.</w:t>
      </w:r>
    </w:p>
    <w:p w:rsidR="002D76E2" w:rsidRPr="00E4510A" w:rsidRDefault="002D76E2" w:rsidP="002D76E2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9.2. Качество поставляемых нефтепродуктов должно соответствовать ГОСТам и ТУ на данный вид товара, подтверждаться действующими сертификатами соответствия РФ, паспортом качества, выданным заводом-изготовителем.</w:t>
      </w:r>
    </w:p>
    <w:p w:rsidR="002D76E2" w:rsidRPr="00E4510A" w:rsidRDefault="002D76E2" w:rsidP="002D76E2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9.3 Товар должен отвечать требованиям безопасности жизни и здоровья, а также иным требованиям, предъявляемым действующим законодательством Российской Федерации.</w:t>
      </w:r>
    </w:p>
    <w:p w:rsidR="00E362E4" w:rsidRPr="00E4510A" w:rsidRDefault="00E806AA" w:rsidP="00E362E4">
      <w:pPr>
        <w:contextualSpacing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</w:t>
      </w:r>
      <w:r w:rsidR="00E362E4" w:rsidRPr="00E4510A">
        <w:rPr>
          <w:rFonts w:ascii="Times New Roman" w:hAnsi="Times New Roman"/>
          <w:b/>
          <w:sz w:val="18"/>
          <w:szCs w:val="18"/>
        </w:rPr>
        <w:t>10.  Требования к порядку сдачи и приемки товара:</w:t>
      </w:r>
    </w:p>
    <w:p w:rsidR="00E362E4" w:rsidRPr="00E4510A" w:rsidRDefault="00E362E4" w:rsidP="00E362E4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10.1 Отпуск ГСМ на АЗС осуществляется через топливораздаточные колонки </w:t>
      </w:r>
      <w:r w:rsidR="00E806AA" w:rsidRPr="00E4510A">
        <w:rPr>
          <w:rFonts w:ascii="Times New Roman" w:hAnsi="Times New Roman"/>
          <w:sz w:val="18"/>
          <w:szCs w:val="18"/>
        </w:rPr>
        <w:t>Поставщика (</w:t>
      </w:r>
      <w:r w:rsidRPr="00E4510A">
        <w:rPr>
          <w:rFonts w:ascii="Times New Roman" w:hAnsi="Times New Roman"/>
          <w:sz w:val="18"/>
          <w:szCs w:val="18"/>
        </w:rPr>
        <w:t>Исполнителя</w:t>
      </w:r>
      <w:r w:rsidR="00E806AA" w:rsidRPr="00E4510A">
        <w:rPr>
          <w:rFonts w:ascii="Times New Roman" w:hAnsi="Times New Roman"/>
          <w:sz w:val="18"/>
          <w:szCs w:val="18"/>
        </w:rPr>
        <w:t>)</w:t>
      </w:r>
      <w:r w:rsidRPr="00E4510A">
        <w:rPr>
          <w:rFonts w:ascii="Times New Roman" w:hAnsi="Times New Roman"/>
          <w:sz w:val="18"/>
          <w:szCs w:val="18"/>
        </w:rPr>
        <w:t xml:space="preserve"> по топливным картам, непосредственно в топливный бак автотранспорта Заказчика.</w:t>
      </w:r>
    </w:p>
    <w:p w:rsidR="00E362E4" w:rsidRPr="00E4510A" w:rsidRDefault="00E362E4" w:rsidP="00E362E4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10.2</w:t>
      </w:r>
      <w:r w:rsidR="00E806AA" w:rsidRPr="00E4510A">
        <w:rPr>
          <w:rFonts w:ascii="Times New Roman" w:hAnsi="Times New Roman"/>
          <w:sz w:val="18"/>
          <w:szCs w:val="18"/>
        </w:rPr>
        <w:t xml:space="preserve"> </w:t>
      </w:r>
      <w:r w:rsidRPr="00E4510A">
        <w:rPr>
          <w:rFonts w:ascii="Times New Roman" w:hAnsi="Times New Roman"/>
          <w:sz w:val="18"/>
          <w:szCs w:val="18"/>
        </w:rPr>
        <w:t>Использование при заправке топливной карты и устного кода является юридическим подтверждением факта получения водителем топлива. Это равнозначно личной подписи водителя на получение топлива.</w:t>
      </w:r>
    </w:p>
    <w:p w:rsidR="00E362E4" w:rsidRPr="00E4510A" w:rsidRDefault="00E362E4" w:rsidP="00E362E4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10.3 </w:t>
      </w:r>
      <w:r w:rsidR="00F73A7E" w:rsidRPr="00E4510A">
        <w:rPr>
          <w:rFonts w:ascii="Times New Roman" w:hAnsi="Times New Roman"/>
          <w:sz w:val="18"/>
          <w:szCs w:val="18"/>
        </w:rPr>
        <w:t xml:space="preserve">Ежемесячно </w:t>
      </w:r>
      <w:r w:rsidRPr="00E4510A">
        <w:rPr>
          <w:rFonts w:ascii="Times New Roman" w:hAnsi="Times New Roman"/>
          <w:sz w:val="18"/>
          <w:szCs w:val="18"/>
        </w:rPr>
        <w:t>Поставщик передает Заказчику следующие документы, оформленные в соответствии с действующим законодательством РФ:</w:t>
      </w:r>
    </w:p>
    <w:p w:rsidR="00E362E4" w:rsidRPr="00E4510A" w:rsidRDefault="00F73A7E" w:rsidP="00E362E4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</w:t>
      </w:r>
      <w:r w:rsidR="00E362E4" w:rsidRPr="00E4510A">
        <w:rPr>
          <w:rFonts w:ascii="Times New Roman" w:hAnsi="Times New Roman"/>
          <w:sz w:val="18"/>
          <w:szCs w:val="18"/>
        </w:rPr>
        <w:t>а) счет-фактуру (при наличии) и</w:t>
      </w:r>
      <w:r w:rsidRPr="00E4510A">
        <w:rPr>
          <w:rFonts w:ascii="Times New Roman" w:hAnsi="Times New Roman"/>
          <w:sz w:val="18"/>
          <w:szCs w:val="18"/>
        </w:rPr>
        <w:t>/или</w:t>
      </w:r>
      <w:r w:rsidR="00E362E4" w:rsidRPr="00E4510A">
        <w:rPr>
          <w:rFonts w:ascii="Times New Roman" w:hAnsi="Times New Roman"/>
          <w:sz w:val="18"/>
          <w:szCs w:val="18"/>
        </w:rPr>
        <w:t xml:space="preserve"> товарную накладную (форма ТОРГ-12) </w:t>
      </w:r>
      <w:r w:rsidRPr="00E4510A">
        <w:rPr>
          <w:rFonts w:ascii="Times New Roman" w:hAnsi="Times New Roman"/>
          <w:sz w:val="18"/>
          <w:szCs w:val="18"/>
        </w:rPr>
        <w:t>и/</w:t>
      </w:r>
      <w:r w:rsidR="00E362E4" w:rsidRPr="00E4510A">
        <w:rPr>
          <w:rFonts w:ascii="Times New Roman" w:hAnsi="Times New Roman"/>
          <w:sz w:val="18"/>
          <w:szCs w:val="18"/>
        </w:rPr>
        <w:t xml:space="preserve">или универсальный передаточный документ (УПД) на товар в 2-х экз. (один экземпляр для Покупателя и один экземпляр для Поставщика), </w:t>
      </w:r>
      <w:r w:rsidRPr="00E4510A">
        <w:rPr>
          <w:rFonts w:ascii="Times New Roman" w:hAnsi="Times New Roman"/>
          <w:sz w:val="18"/>
          <w:szCs w:val="18"/>
        </w:rPr>
        <w:t>отчет о транзакциях, проведенных  с использованием топливных карт</w:t>
      </w:r>
      <w:r w:rsidR="00E362E4" w:rsidRPr="00E4510A">
        <w:rPr>
          <w:rFonts w:ascii="Times New Roman" w:hAnsi="Times New Roman"/>
          <w:sz w:val="18"/>
          <w:szCs w:val="18"/>
        </w:rPr>
        <w:t xml:space="preserve">. </w:t>
      </w:r>
    </w:p>
    <w:p w:rsidR="00E362E4" w:rsidRPr="00E4510A" w:rsidRDefault="00F73A7E" w:rsidP="00E362E4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    </w:t>
      </w:r>
      <w:r w:rsidR="00E362E4" w:rsidRPr="00E4510A">
        <w:rPr>
          <w:rFonts w:ascii="Times New Roman" w:hAnsi="Times New Roman"/>
          <w:sz w:val="18"/>
          <w:szCs w:val="18"/>
        </w:rPr>
        <w:t xml:space="preserve"> </w:t>
      </w:r>
      <w:r w:rsidRPr="00E4510A">
        <w:rPr>
          <w:rFonts w:ascii="Times New Roman" w:hAnsi="Times New Roman"/>
          <w:sz w:val="18"/>
          <w:szCs w:val="18"/>
        </w:rPr>
        <w:t>При необходимости п</w:t>
      </w:r>
      <w:r w:rsidR="00E806AA" w:rsidRPr="00E4510A">
        <w:rPr>
          <w:rFonts w:ascii="Times New Roman" w:hAnsi="Times New Roman"/>
          <w:sz w:val="18"/>
          <w:szCs w:val="18"/>
        </w:rPr>
        <w:t xml:space="preserve">о </w:t>
      </w:r>
      <w:r w:rsidRPr="00E4510A">
        <w:rPr>
          <w:rFonts w:ascii="Times New Roman" w:hAnsi="Times New Roman"/>
          <w:sz w:val="18"/>
          <w:szCs w:val="18"/>
        </w:rPr>
        <w:t xml:space="preserve">отдельному </w:t>
      </w:r>
      <w:r w:rsidR="00E806AA" w:rsidRPr="00E4510A">
        <w:rPr>
          <w:rFonts w:ascii="Times New Roman" w:hAnsi="Times New Roman"/>
          <w:sz w:val="18"/>
          <w:szCs w:val="18"/>
        </w:rPr>
        <w:t xml:space="preserve">письменному запросу заказчика </w:t>
      </w:r>
      <w:r w:rsidRPr="00E4510A">
        <w:rPr>
          <w:rFonts w:ascii="Times New Roman" w:hAnsi="Times New Roman"/>
          <w:sz w:val="18"/>
          <w:szCs w:val="18"/>
        </w:rPr>
        <w:t xml:space="preserve">должна быть предоставлена </w:t>
      </w:r>
      <w:r w:rsidR="00E362E4" w:rsidRPr="00E4510A">
        <w:rPr>
          <w:rFonts w:ascii="Times New Roman" w:hAnsi="Times New Roman"/>
          <w:sz w:val="18"/>
          <w:szCs w:val="18"/>
        </w:rPr>
        <w:t>документаци</w:t>
      </w:r>
      <w:r w:rsidRPr="00E4510A">
        <w:rPr>
          <w:rFonts w:ascii="Times New Roman" w:hAnsi="Times New Roman"/>
          <w:sz w:val="18"/>
          <w:szCs w:val="18"/>
        </w:rPr>
        <w:t>я</w:t>
      </w:r>
      <w:r w:rsidR="00E362E4" w:rsidRPr="00E4510A">
        <w:rPr>
          <w:rFonts w:ascii="Times New Roman" w:hAnsi="Times New Roman"/>
          <w:sz w:val="18"/>
          <w:szCs w:val="18"/>
        </w:rPr>
        <w:t>, подтверждающ</w:t>
      </w:r>
      <w:r w:rsidRPr="00E4510A">
        <w:rPr>
          <w:rFonts w:ascii="Times New Roman" w:hAnsi="Times New Roman"/>
          <w:sz w:val="18"/>
          <w:szCs w:val="18"/>
        </w:rPr>
        <w:t>ая</w:t>
      </w:r>
      <w:r w:rsidR="00E362E4" w:rsidRPr="00E4510A">
        <w:rPr>
          <w:rFonts w:ascii="Times New Roman" w:hAnsi="Times New Roman"/>
          <w:sz w:val="18"/>
          <w:szCs w:val="18"/>
        </w:rPr>
        <w:t xml:space="preserve"> качество товара, сертификат соответствия или декларацию соответствия, иные документы в соответствии с требованиями законодательства Российской Федерации. Документация, подтверждающая качество товара, сертификаты должна быть заверены поставщиком</w:t>
      </w:r>
      <w:r w:rsidRPr="00E4510A">
        <w:rPr>
          <w:rFonts w:ascii="Times New Roman" w:hAnsi="Times New Roman"/>
          <w:sz w:val="18"/>
          <w:szCs w:val="18"/>
        </w:rPr>
        <w:t>.</w:t>
      </w:r>
    </w:p>
    <w:p w:rsidR="000F46B7" w:rsidRPr="00E4510A" w:rsidRDefault="00E806AA" w:rsidP="000F46B7">
      <w:pPr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</w:t>
      </w:r>
      <w:r w:rsidR="000F46B7" w:rsidRPr="00E4510A">
        <w:rPr>
          <w:rFonts w:ascii="Times New Roman" w:hAnsi="Times New Roman"/>
          <w:b/>
          <w:sz w:val="18"/>
          <w:szCs w:val="18"/>
        </w:rPr>
        <w:t>11. Требования к гарантийному сроку товара и (или) объему предоставления гарантий их качества:</w:t>
      </w:r>
    </w:p>
    <w:p w:rsidR="000F46B7" w:rsidRPr="00E4510A" w:rsidRDefault="000F46B7" w:rsidP="000F46B7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11.1 Исполнитель гарантирует качество ГСМ на момент отпуска, претензии по качеству принимаются не позднее 3х дней с момента заправки.</w:t>
      </w:r>
    </w:p>
    <w:p w:rsidR="000F46B7" w:rsidRPr="00E4510A" w:rsidRDefault="000F46B7" w:rsidP="000F46B7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 xml:space="preserve">11.2 </w:t>
      </w:r>
      <w:proofErr w:type="gramStart"/>
      <w:r w:rsidRPr="00E4510A">
        <w:rPr>
          <w:rFonts w:ascii="Times New Roman" w:hAnsi="Times New Roman"/>
          <w:sz w:val="18"/>
          <w:szCs w:val="18"/>
        </w:rPr>
        <w:t>В</w:t>
      </w:r>
      <w:proofErr w:type="gramEnd"/>
      <w:r w:rsidRPr="00E4510A">
        <w:rPr>
          <w:rFonts w:ascii="Times New Roman" w:hAnsi="Times New Roman"/>
          <w:sz w:val="18"/>
          <w:szCs w:val="18"/>
        </w:rPr>
        <w:t xml:space="preserve"> случае выявления несоответствия качества поставляемого ГСМ условиям договора, Заказчик вправе обращаться в органы государственного контроля и экспертные </w:t>
      </w:r>
    </w:p>
    <w:p w:rsidR="000F46B7" w:rsidRPr="00E4510A" w:rsidRDefault="000F46B7" w:rsidP="000F46B7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организации с целью определения качества и проведения экспертизы ГСМ.</w:t>
      </w:r>
    </w:p>
    <w:p w:rsidR="000F46B7" w:rsidRPr="00E4510A" w:rsidRDefault="000F46B7" w:rsidP="000F46B7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sz w:val="18"/>
          <w:szCs w:val="18"/>
        </w:rPr>
        <w:t>11.3 В случае проведения экспертизы поставленного товара с привлечением экспертов, либо экспертных организаций,  приемка  поставленного ГСМ, осуществляется в течение 5-ти рабочих дней, с момента получения заказчиком результатов экспертизы, и оформляется актом о приемке ГСМ, который подписывается заказчиком (в случае создания приемочной комиссии всеми членами приемочной комиссии и утверждается заказчиком), либо составляется мотивированный отказ в письменной форме от подписания акта о приемке ГСМ и направляется Поставщику в течение трех рабочих дней.</w:t>
      </w:r>
    </w:p>
    <w:p w:rsidR="007B0288" w:rsidRPr="00E4510A" w:rsidRDefault="00E806AA" w:rsidP="0070760B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4510A">
        <w:rPr>
          <w:rFonts w:ascii="Times New Roman" w:hAnsi="Times New Roman"/>
          <w:b/>
          <w:sz w:val="18"/>
          <w:szCs w:val="18"/>
        </w:rPr>
        <w:t xml:space="preserve">    </w:t>
      </w:r>
      <w:r w:rsidR="000F46B7" w:rsidRPr="00E4510A">
        <w:rPr>
          <w:rFonts w:ascii="Times New Roman" w:hAnsi="Times New Roman"/>
          <w:b/>
          <w:sz w:val="18"/>
          <w:szCs w:val="18"/>
        </w:rPr>
        <w:t xml:space="preserve">12. Требование к форме предоставляемой информации: </w:t>
      </w:r>
      <w:r w:rsidR="000F46B7" w:rsidRPr="00E4510A">
        <w:rPr>
          <w:rFonts w:ascii="Times New Roman" w:hAnsi="Times New Roman"/>
          <w:sz w:val="18"/>
          <w:szCs w:val="18"/>
        </w:rPr>
        <w:t>Исполнитель обязан подтвердить наличие устойчивых договоров аренды, либо наличие собственных АЗС, соответствующих требованиям раздела 7 настоящего технического задания. Исполнитель должен предоставить список АЗС с указанием месторасположения, где принимаются к оплате за ГСМ топливные карты Исполнителя, на бумажном либо электронном носителе.</w:t>
      </w:r>
    </w:p>
    <w:p w:rsidR="00AA1609" w:rsidRPr="00B83FAC" w:rsidRDefault="00AA1609" w:rsidP="00AA1609">
      <w:pPr>
        <w:pageBreakBefore/>
        <w:jc w:val="right"/>
        <w:outlineLvl w:val="0"/>
        <w:rPr>
          <w:rFonts w:ascii="Times New Roman" w:hAnsi="Times New Roman"/>
        </w:rPr>
      </w:pPr>
      <w:r w:rsidRPr="00B83FAC">
        <w:rPr>
          <w:rFonts w:ascii="Times New Roman" w:hAnsi="Times New Roman"/>
        </w:rPr>
        <w:lastRenderedPageBreak/>
        <w:t>Приложение №</w:t>
      </w:r>
      <w:r w:rsidR="00AD0193" w:rsidRPr="00B83FAC">
        <w:rPr>
          <w:rFonts w:ascii="Times New Roman" w:hAnsi="Times New Roman"/>
        </w:rPr>
        <w:t>3</w:t>
      </w:r>
    </w:p>
    <w:p w:rsidR="00AA1609" w:rsidRDefault="00AA1609" w:rsidP="00AA1609">
      <w:pPr>
        <w:ind w:right="-1"/>
        <w:jc w:val="right"/>
        <w:outlineLvl w:val="0"/>
        <w:rPr>
          <w:rFonts w:ascii="Times New Roman" w:hAnsi="Times New Roman"/>
        </w:rPr>
      </w:pPr>
      <w:r w:rsidRPr="00AD0193">
        <w:rPr>
          <w:rFonts w:ascii="Times New Roman" w:hAnsi="Times New Roman"/>
        </w:rPr>
        <w:t xml:space="preserve">К Договору </w:t>
      </w:r>
      <w:proofErr w:type="gramStart"/>
      <w:r w:rsidRPr="00AD0193">
        <w:rPr>
          <w:rFonts w:ascii="Times New Roman" w:hAnsi="Times New Roman"/>
        </w:rPr>
        <w:t>№  –</w:t>
      </w:r>
      <w:proofErr w:type="gramEnd"/>
      <w:r w:rsidRPr="00AD0193">
        <w:rPr>
          <w:rFonts w:ascii="Times New Roman" w:hAnsi="Times New Roman"/>
        </w:rPr>
        <w:t xml:space="preserve">              от  «____»  </w:t>
      </w:r>
      <w:r w:rsidRPr="00AD0193">
        <w:rPr>
          <w:rFonts w:ascii="Times New Roman" w:hAnsi="Times New Roman"/>
          <w:u w:val="single"/>
        </w:rPr>
        <w:t>__________________</w:t>
      </w:r>
      <w:r w:rsidRPr="00AD0193">
        <w:rPr>
          <w:rFonts w:ascii="Times New Roman" w:hAnsi="Times New Roman"/>
        </w:rPr>
        <w:t xml:space="preserve">   20</w:t>
      </w:r>
      <w:r w:rsidR="00AF301C" w:rsidRPr="00AD0193">
        <w:rPr>
          <w:rFonts w:ascii="Times New Roman" w:hAnsi="Times New Roman"/>
        </w:rPr>
        <w:t>2</w:t>
      </w:r>
      <w:r w:rsidR="009B408A">
        <w:rPr>
          <w:rFonts w:ascii="Times New Roman" w:hAnsi="Times New Roman"/>
        </w:rPr>
        <w:t>6</w:t>
      </w:r>
      <w:r w:rsidRPr="00AD0193">
        <w:rPr>
          <w:rFonts w:ascii="Times New Roman" w:hAnsi="Times New Roman"/>
        </w:rPr>
        <w:t xml:space="preserve"> г.</w:t>
      </w:r>
    </w:p>
    <w:p w:rsidR="00AF301C" w:rsidRPr="002F15CC" w:rsidRDefault="00AF301C" w:rsidP="00AA1609">
      <w:pPr>
        <w:ind w:right="-1"/>
        <w:jc w:val="right"/>
        <w:outlineLvl w:val="0"/>
        <w:rPr>
          <w:rFonts w:ascii="Times New Roman" w:hAnsi="Times New Roman"/>
        </w:rPr>
      </w:pPr>
    </w:p>
    <w:p w:rsidR="00AD0193" w:rsidRDefault="00F73A7E" w:rsidP="00F73A7E">
      <w:pPr>
        <w:jc w:val="center"/>
        <w:rPr>
          <w:rFonts w:ascii="Arial CYR" w:hAnsi="Arial CYR" w:cs="Arial CYR"/>
          <w:b/>
          <w:bCs/>
        </w:rPr>
      </w:pPr>
      <w:r w:rsidRPr="00201CA1">
        <w:rPr>
          <w:rFonts w:ascii="Arial CYR" w:hAnsi="Arial CYR" w:cs="Arial CYR"/>
          <w:b/>
          <w:bCs/>
        </w:rPr>
        <w:t>Перечень АЗС</w:t>
      </w:r>
      <w:r w:rsidR="00AD0193">
        <w:rPr>
          <w:rFonts w:ascii="Arial CYR" w:hAnsi="Arial CYR" w:cs="Arial CYR"/>
          <w:b/>
          <w:bCs/>
        </w:rPr>
        <w:t xml:space="preserve"> в</w:t>
      </w:r>
      <w:r w:rsidRPr="00201CA1">
        <w:rPr>
          <w:rFonts w:ascii="Arial CYR" w:hAnsi="Arial CYR" w:cs="Arial CYR"/>
          <w:b/>
          <w:bCs/>
        </w:rPr>
        <w:t xml:space="preserve"> Пензенской области </w:t>
      </w:r>
    </w:p>
    <w:p w:rsidR="00F73A7E" w:rsidRDefault="00F73A7E" w:rsidP="00F73A7E">
      <w:pPr>
        <w:jc w:val="center"/>
        <w:rPr>
          <w:rFonts w:ascii="Arial CYR" w:hAnsi="Arial CYR" w:cs="Arial CYR"/>
          <w:b/>
          <w:bCs/>
        </w:rPr>
      </w:pPr>
      <w:r w:rsidRPr="00201CA1">
        <w:rPr>
          <w:rFonts w:ascii="Arial CYR" w:hAnsi="Arial CYR" w:cs="Arial CYR"/>
          <w:b/>
          <w:bCs/>
        </w:rPr>
        <w:t>(бензин и дизельное топливо)</w:t>
      </w:r>
    </w:p>
    <w:p w:rsidR="00AA1609" w:rsidRPr="00201CA1" w:rsidRDefault="00AA1609" w:rsidP="00AA1609">
      <w:pPr>
        <w:ind w:right="-1"/>
        <w:jc w:val="right"/>
        <w:outlineLvl w:val="0"/>
      </w:pPr>
    </w:p>
    <w:p w:rsidR="00AA1609" w:rsidRDefault="00AA1609" w:rsidP="00AA1609">
      <w:pPr>
        <w:tabs>
          <w:tab w:val="left" w:pos="6237"/>
        </w:tabs>
        <w:outlineLvl w:val="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975"/>
        <w:gridCol w:w="3402"/>
        <w:gridCol w:w="4641"/>
        <w:gridCol w:w="29"/>
      </w:tblGrid>
      <w:tr w:rsidR="00AF301C" w:rsidRPr="00E4510A" w:rsidTr="00AD0193">
        <w:trPr>
          <w:jc w:val="center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1C" w:rsidRPr="00E4510A" w:rsidRDefault="00AF301C" w:rsidP="00B917A9">
            <w:pPr>
              <w:jc w:val="center"/>
              <w:rPr>
                <w:sz w:val="20"/>
              </w:rPr>
            </w:pPr>
            <w:r w:rsidRPr="00E4510A">
              <w:rPr>
                <w:sz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1C" w:rsidRPr="00E4510A" w:rsidRDefault="00AF301C" w:rsidP="00B917A9">
            <w:pPr>
              <w:jc w:val="center"/>
              <w:rPr>
                <w:sz w:val="20"/>
              </w:rPr>
            </w:pPr>
            <w:r w:rsidRPr="00E4510A">
              <w:rPr>
                <w:sz w:val="20"/>
              </w:rPr>
              <w:t>Наименование АЗС</w:t>
            </w:r>
          </w:p>
          <w:p w:rsidR="00AD0193" w:rsidRPr="00E4510A" w:rsidRDefault="00AD0193" w:rsidP="00B917A9">
            <w:pPr>
              <w:jc w:val="center"/>
              <w:rPr>
                <w:sz w:val="20"/>
              </w:rPr>
            </w:pPr>
            <w:r w:rsidRPr="00E4510A">
              <w:rPr>
                <w:sz w:val="20"/>
              </w:rPr>
              <w:t>в г. Пенза и Пензенской области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1C" w:rsidRPr="00E4510A" w:rsidRDefault="00AF301C" w:rsidP="00B917A9">
            <w:pPr>
              <w:jc w:val="center"/>
              <w:rPr>
                <w:sz w:val="20"/>
              </w:rPr>
            </w:pPr>
            <w:r w:rsidRPr="00E4510A">
              <w:rPr>
                <w:sz w:val="20"/>
              </w:rPr>
              <w:t>Местонахождение АЗС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D0193" w:rsidP="00AD0193">
            <w:pPr>
              <w:rPr>
                <w:sz w:val="20"/>
              </w:rPr>
            </w:pPr>
            <w:proofErr w:type="gramStart"/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 на</w:t>
            </w:r>
            <w:proofErr w:type="gramEnd"/>
            <w:r w:rsidR="0052566C" w:rsidRPr="00E4510A">
              <w:rPr>
                <w:sz w:val="20"/>
              </w:rPr>
              <w:t xml:space="preserve"> территории </w:t>
            </w:r>
            <w:r w:rsidR="00AF301C" w:rsidRPr="00E4510A">
              <w:rPr>
                <w:sz w:val="20"/>
              </w:rPr>
              <w:t xml:space="preserve">г. Заречный </w:t>
            </w:r>
            <w:r w:rsidR="0014781B" w:rsidRPr="00E4510A">
              <w:rPr>
                <w:sz w:val="20"/>
              </w:rPr>
              <w:t>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14781B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proofErr w:type="spellStart"/>
            <w:r w:rsidRPr="00E4510A">
              <w:rPr>
                <w:sz w:val="20"/>
              </w:rPr>
              <w:t>г.Сердобск</w:t>
            </w:r>
            <w:proofErr w:type="spellEnd"/>
            <w:r w:rsidR="00AD0193" w:rsidRPr="00E4510A">
              <w:rPr>
                <w:sz w:val="20"/>
              </w:rPr>
              <w:t xml:space="preserve"> и/или </w:t>
            </w:r>
            <w:proofErr w:type="spellStart"/>
            <w:r w:rsidR="00AD0193" w:rsidRPr="00E4510A">
              <w:rPr>
                <w:sz w:val="20"/>
              </w:rPr>
              <w:t>Сердобск</w:t>
            </w:r>
            <w:r w:rsidR="0029011C" w:rsidRPr="00E4510A">
              <w:rPr>
                <w:sz w:val="20"/>
              </w:rPr>
              <w:t>ого</w:t>
            </w:r>
            <w:proofErr w:type="spellEnd"/>
            <w:r w:rsidR="00AD0193"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обл.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AF30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Pr="00E4510A">
              <w:rPr>
                <w:sz w:val="20"/>
              </w:rPr>
              <w:t>г.Пенза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г. Каменка</w:t>
            </w:r>
            <w:r w:rsidR="00AD0193" w:rsidRPr="00E4510A">
              <w:rPr>
                <w:sz w:val="20"/>
              </w:rPr>
              <w:t xml:space="preserve"> и/или Каменск</w:t>
            </w:r>
            <w:r w:rsidR="0029011C" w:rsidRPr="00E4510A">
              <w:rPr>
                <w:sz w:val="20"/>
              </w:rPr>
              <w:t>ого</w:t>
            </w:r>
            <w:r w:rsidR="00AD0193"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 </w:t>
            </w:r>
            <w:r w:rsidRPr="00E4510A">
              <w:rPr>
                <w:sz w:val="20"/>
              </w:rPr>
              <w:t xml:space="preserve"> </w:t>
            </w:r>
            <w:proofErr w:type="spellStart"/>
            <w:r w:rsidRPr="00E4510A">
              <w:rPr>
                <w:sz w:val="20"/>
              </w:rPr>
              <w:t>Мокшан</w:t>
            </w:r>
            <w:r w:rsidR="00AD0193" w:rsidRPr="00E4510A">
              <w:rPr>
                <w:sz w:val="20"/>
              </w:rPr>
              <w:t>ск</w:t>
            </w:r>
            <w:r w:rsidR="0029011C" w:rsidRPr="00E4510A">
              <w:rPr>
                <w:sz w:val="20"/>
              </w:rPr>
              <w:t>ого</w:t>
            </w:r>
            <w:proofErr w:type="spellEnd"/>
            <w:r w:rsidR="00AD0193"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D0193" w:rsidP="00AD0193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</w:t>
            </w:r>
            <w:r w:rsidR="00AF301C" w:rsidRPr="00E4510A">
              <w:rPr>
                <w:sz w:val="20"/>
              </w:rPr>
              <w:t>Колышлей</w:t>
            </w:r>
            <w:r w:rsidRPr="00E4510A">
              <w:rPr>
                <w:sz w:val="20"/>
              </w:rPr>
              <w:t>ский</w:t>
            </w:r>
            <w:r w:rsidR="00AF301C" w:rsidRPr="00E4510A">
              <w:rPr>
                <w:sz w:val="20"/>
              </w:rPr>
              <w:t xml:space="preserve"> </w:t>
            </w:r>
            <w:r w:rsidRPr="00E4510A">
              <w:rPr>
                <w:sz w:val="20"/>
              </w:rPr>
              <w:t>район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D0193" w:rsidP="00AD0193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</w:t>
            </w:r>
            <w:proofErr w:type="spellStart"/>
            <w:r w:rsidR="00AF301C" w:rsidRPr="00E4510A">
              <w:rPr>
                <w:sz w:val="20"/>
              </w:rPr>
              <w:t>Беков</w:t>
            </w:r>
            <w:r w:rsidRPr="00E4510A">
              <w:rPr>
                <w:sz w:val="20"/>
              </w:rPr>
              <w:t>ский</w:t>
            </w:r>
            <w:proofErr w:type="spellEnd"/>
            <w:r w:rsidRPr="00E4510A">
              <w:rPr>
                <w:sz w:val="20"/>
              </w:rPr>
              <w:t xml:space="preserve"> район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г. Никольск</w:t>
            </w:r>
            <w:r w:rsidR="00AD0193" w:rsidRPr="00E4510A">
              <w:rPr>
                <w:sz w:val="20"/>
              </w:rPr>
              <w:t xml:space="preserve"> или Никольск</w:t>
            </w:r>
            <w:r w:rsidR="0029011C" w:rsidRPr="00E4510A">
              <w:rPr>
                <w:sz w:val="20"/>
              </w:rPr>
              <w:t>ого</w:t>
            </w:r>
            <w:r w:rsidR="00AD0193"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proofErr w:type="spellStart"/>
            <w:r w:rsidR="0029011C" w:rsidRPr="00E4510A">
              <w:rPr>
                <w:sz w:val="20"/>
              </w:rPr>
              <w:t>Шемышейкого</w:t>
            </w:r>
            <w:proofErr w:type="spellEnd"/>
            <w:r w:rsidR="0029011C" w:rsidRPr="00E4510A">
              <w:rPr>
                <w:sz w:val="20"/>
              </w:rPr>
              <w:t xml:space="preserve"> </w:t>
            </w:r>
            <w:proofErr w:type="spellStart"/>
            <w:r w:rsidR="0029011C" w:rsidRPr="00E4510A">
              <w:rPr>
                <w:sz w:val="20"/>
              </w:rPr>
              <w:t>раойна</w:t>
            </w:r>
            <w:proofErr w:type="spellEnd"/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 </w:t>
            </w:r>
            <w:proofErr w:type="spellStart"/>
            <w:r w:rsidRPr="00E4510A">
              <w:rPr>
                <w:sz w:val="20"/>
              </w:rPr>
              <w:t>Кондоль</w:t>
            </w:r>
            <w:r w:rsidR="0029011C" w:rsidRPr="00E4510A">
              <w:rPr>
                <w:sz w:val="20"/>
              </w:rPr>
              <w:t>кого</w:t>
            </w:r>
            <w:proofErr w:type="spellEnd"/>
            <w:r w:rsidR="0029011C" w:rsidRPr="00E4510A">
              <w:rPr>
                <w:sz w:val="20"/>
              </w:rPr>
              <w:t xml:space="preserve"> </w:t>
            </w:r>
            <w:proofErr w:type="spellStart"/>
            <w:r w:rsidR="0029011C" w:rsidRPr="00E4510A">
              <w:rPr>
                <w:sz w:val="20"/>
              </w:rPr>
              <w:t>раойна</w:t>
            </w:r>
            <w:proofErr w:type="spellEnd"/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D0193" w:rsidP="00AF30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="00AF301C" w:rsidRPr="00E4510A">
              <w:rPr>
                <w:sz w:val="20"/>
              </w:rPr>
              <w:t xml:space="preserve">п. Башмаково </w:t>
            </w:r>
            <w:r w:rsidR="0014781B" w:rsidRPr="00E4510A">
              <w:rPr>
                <w:sz w:val="20"/>
              </w:rPr>
              <w:t>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 </w:t>
            </w:r>
            <w:proofErr w:type="spellStart"/>
            <w:r w:rsidRPr="00E4510A">
              <w:rPr>
                <w:sz w:val="20"/>
              </w:rPr>
              <w:t>Лунин</w:t>
            </w:r>
            <w:r w:rsidR="0029011C" w:rsidRPr="00E4510A">
              <w:rPr>
                <w:sz w:val="20"/>
              </w:rPr>
              <w:t>ского</w:t>
            </w:r>
            <w:proofErr w:type="spellEnd"/>
            <w:r w:rsidR="0029011C" w:rsidRPr="00E4510A">
              <w:rPr>
                <w:sz w:val="20"/>
              </w:rPr>
              <w:t xml:space="preserve"> </w:t>
            </w:r>
            <w:proofErr w:type="spellStart"/>
            <w:r w:rsidR="0029011C" w:rsidRPr="00E4510A">
              <w:rPr>
                <w:sz w:val="20"/>
              </w:rPr>
              <w:t>раойна</w:t>
            </w:r>
            <w:proofErr w:type="spellEnd"/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proofErr w:type="spellStart"/>
            <w:r w:rsidR="00AD0193" w:rsidRPr="00E4510A">
              <w:rPr>
                <w:sz w:val="20"/>
              </w:rPr>
              <w:t>Сосновоборск</w:t>
            </w:r>
            <w:r w:rsidR="0029011C" w:rsidRPr="00E4510A">
              <w:rPr>
                <w:sz w:val="20"/>
              </w:rPr>
              <w:t>ого</w:t>
            </w:r>
            <w:proofErr w:type="spellEnd"/>
            <w:r w:rsidR="00AD0193"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Pr="00E4510A">
              <w:rPr>
                <w:sz w:val="20"/>
              </w:rPr>
              <w:t xml:space="preserve"> </w:t>
            </w:r>
            <w:r w:rsidR="0014781B" w:rsidRPr="00E4510A">
              <w:rPr>
                <w:sz w:val="20"/>
              </w:rPr>
              <w:t>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Pr="00E4510A">
              <w:rPr>
                <w:sz w:val="20"/>
              </w:rPr>
              <w:t>Лопатин</w:t>
            </w:r>
            <w:r w:rsidR="0029011C" w:rsidRPr="00E4510A">
              <w:rPr>
                <w:sz w:val="20"/>
              </w:rPr>
              <w:t>ского района</w:t>
            </w:r>
            <w:r w:rsidRPr="00E4510A">
              <w:rPr>
                <w:sz w:val="20"/>
              </w:rPr>
              <w:t xml:space="preserve"> </w:t>
            </w:r>
            <w:r w:rsidR="0014781B" w:rsidRPr="00E4510A">
              <w:rPr>
                <w:sz w:val="20"/>
              </w:rPr>
              <w:t>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14781B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Пензенская область, п. Неверкино</w:t>
            </w:r>
            <w:r w:rsidR="0029011C" w:rsidRPr="00E4510A">
              <w:rPr>
                <w:sz w:val="20"/>
              </w:rPr>
              <w:t xml:space="preserve"> или района</w:t>
            </w:r>
            <w:r w:rsidRPr="00E4510A">
              <w:rPr>
                <w:sz w:val="20"/>
              </w:rPr>
              <w:t xml:space="preserve">, </w:t>
            </w:r>
            <w:r w:rsidR="0014781B" w:rsidRPr="00E4510A">
              <w:rPr>
                <w:sz w:val="20"/>
              </w:rPr>
              <w:t>Пензенской обл.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Белинск</w:t>
            </w:r>
            <w:r w:rsidR="0029011C" w:rsidRPr="00E4510A">
              <w:rPr>
                <w:sz w:val="20"/>
              </w:rPr>
              <w:t>ого</w:t>
            </w:r>
            <w:r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14781B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Pr="00E4510A">
              <w:rPr>
                <w:sz w:val="20"/>
              </w:rPr>
              <w:t xml:space="preserve"> </w:t>
            </w:r>
            <w:proofErr w:type="spellStart"/>
            <w:r w:rsidRPr="00E4510A">
              <w:rPr>
                <w:sz w:val="20"/>
              </w:rPr>
              <w:t>Камешкир</w:t>
            </w:r>
            <w:r w:rsidR="0014781B" w:rsidRPr="00E4510A">
              <w:rPr>
                <w:sz w:val="20"/>
              </w:rPr>
              <w:t>ского</w:t>
            </w:r>
            <w:proofErr w:type="spellEnd"/>
            <w:r w:rsidR="0014781B" w:rsidRPr="00E4510A">
              <w:rPr>
                <w:sz w:val="20"/>
              </w:rPr>
              <w:t xml:space="preserve"> района</w:t>
            </w:r>
            <w:r w:rsidRPr="00E4510A">
              <w:rPr>
                <w:sz w:val="20"/>
              </w:rPr>
              <w:t xml:space="preserve"> </w:t>
            </w:r>
            <w:r w:rsidR="0014781B" w:rsidRPr="00E4510A">
              <w:rPr>
                <w:sz w:val="20"/>
              </w:rPr>
              <w:t>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</w:t>
            </w:r>
            <w:r w:rsidR="0052566C" w:rsidRPr="00E4510A">
              <w:rPr>
                <w:sz w:val="20"/>
              </w:rPr>
              <w:t xml:space="preserve"> </w:t>
            </w:r>
            <w:proofErr w:type="spellStart"/>
            <w:r w:rsidRPr="00E4510A">
              <w:rPr>
                <w:sz w:val="20"/>
              </w:rPr>
              <w:t>Тамалинск</w:t>
            </w:r>
            <w:r w:rsidR="0029011C" w:rsidRPr="00E4510A">
              <w:rPr>
                <w:sz w:val="20"/>
              </w:rPr>
              <w:t>ого</w:t>
            </w:r>
            <w:proofErr w:type="spellEnd"/>
            <w:r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="0029011C" w:rsidRPr="00E4510A">
              <w:rPr>
                <w:sz w:val="20"/>
              </w:rPr>
              <w:t>Наровчатского района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AD0193" w:rsidRPr="00E4510A">
              <w:rPr>
                <w:sz w:val="20"/>
              </w:rPr>
              <w:t xml:space="preserve">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="00AD0193" w:rsidRPr="00E4510A">
              <w:rPr>
                <w:sz w:val="20"/>
              </w:rPr>
              <w:t>Спасск</w:t>
            </w:r>
            <w:r w:rsidR="0029011C" w:rsidRPr="00E4510A">
              <w:rPr>
                <w:sz w:val="20"/>
              </w:rPr>
              <w:t>ого</w:t>
            </w:r>
            <w:r w:rsidR="00AD0193"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AD0193">
            <w:pPr>
              <w:rPr>
                <w:sz w:val="20"/>
              </w:rPr>
            </w:pPr>
            <w:r w:rsidRPr="00E4510A">
              <w:rPr>
                <w:sz w:val="20"/>
              </w:rPr>
              <w:t>Россия,</w:t>
            </w:r>
            <w:r w:rsidR="0052566C" w:rsidRPr="00E4510A">
              <w:rPr>
                <w:sz w:val="20"/>
              </w:rPr>
              <w:t xml:space="preserve"> на территории</w:t>
            </w:r>
            <w:r w:rsidRPr="00E4510A">
              <w:rPr>
                <w:sz w:val="20"/>
              </w:rPr>
              <w:t xml:space="preserve"> р.п. </w:t>
            </w:r>
            <w:proofErr w:type="spellStart"/>
            <w:r w:rsidRPr="00E4510A">
              <w:rPr>
                <w:sz w:val="20"/>
              </w:rPr>
              <w:t>Исса</w:t>
            </w:r>
            <w:proofErr w:type="spellEnd"/>
            <w:r w:rsidR="0029011C" w:rsidRPr="00E4510A">
              <w:rPr>
                <w:sz w:val="20"/>
              </w:rPr>
              <w:t xml:space="preserve"> или района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AD0193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Pr="00E4510A">
              <w:rPr>
                <w:sz w:val="20"/>
              </w:rPr>
              <w:t>р.п. Земетчино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proofErr w:type="spellStart"/>
            <w:r w:rsidR="00AD0193" w:rsidRPr="00E4510A">
              <w:rPr>
                <w:sz w:val="20"/>
              </w:rPr>
              <w:t>Бессоновск</w:t>
            </w:r>
            <w:r w:rsidR="0029011C" w:rsidRPr="00E4510A">
              <w:rPr>
                <w:sz w:val="20"/>
              </w:rPr>
              <w:t>ого</w:t>
            </w:r>
            <w:proofErr w:type="spellEnd"/>
            <w:r w:rsidR="00AD0193"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AD0193" w:rsidRPr="00E4510A">
              <w:rPr>
                <w:sz w:val="20"/>
              </w:rPr>
              <w:t xml:space="preserve"> </w:t>
            </w:r>
            <w:r w:rsidR="0014781B" w:rsidRPr="00E4510A">
              <w:rPr>
                <w:sz w:val="20"/>
              </w:rPr>
              <w:t>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 на территории </w:t>
            </w:r>
            <w:r w:rsidRPr="00E4510A">
              <w:rPr>
                <w:sz w:val="20"/>
              </w:rPr>
              <w:t xml:space="preserve">Н - </w:t>
            </w:r>
            <w:proofErr w:type="spellStart"/>
            <w:r w:rsidRPr="00E4510A">
              <w:rPr>
                <w:sz w:val="20"/>
              </w:rPr>
              <w:t>Ломовск</w:t>
            </w:r>
            <w:r w:rsidR="0029011C" w:rsidRPr="00E4510A">
              <w:rPr>
                <w:sz w:val="20"/>
              </w:rPr>
              <w:t>ого</w:t>
            </w:r>
            <w:proofErr w:type="spellEnd"/>
            <w:r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proofErr w:type="spellStart"/>
            <w:r w:rsidRPr="00E4510A">
              <w:rPr>
                <w:sz w:val="20"/>
              </w:rPr>
              <w:t>Городищенск</w:t>
            </w:r>
            <w:r w:rsidR="0029011C" w:rsidRPr="00E4510A">
              <w:rPr>
                <w:sz w:val="20"/>
              </w:rPr>
              <w:t>ого</w:t>
            </w:r>
            <w:proofErr w:type="spellEnd"/>
            <w:r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14781B" w:rsidRPr="00E4510A">
              <w:rPr>
                <w:sz w:val="20"/>
              </w:rPr>
              <w:t xml:space="preserve"> 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D0193" w:rsidP="0029011C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Pr="00E4510A">
              <w:rPr>
                <w:sz w:val="20"/>
              </w:rPr>
              <w:t>Пензенск</w:t>
            </w:r>
            <w:r w:rsidR="0029011C" w:rsidRPr="00E4510A">
              <w:rPr>
                <w:sz w:val="20"/>
              </w:rPr>
              <w:t>ого</w:t>
            </w:r>
            <w:r w:rsidRPr="00E4510A">
              <w:rPr>
                <w:sz w:val="20"/>
              </w:rPr>
              <w:t xml:space="preserve"> район</w:t>
            </w:r>
            <w:r w:rsidR="0029011C" w:rsidRPr="00E4510A">
              <w:rPr>
                <w:sz w:val="20"/>
              </w:rPr>
              <w:t>а</w:t>
            </w:r>
            <w:r w:rsidR="00AF301C" w:rsidRPr="00E4510A">
              <w:rPr>
                <w:sz w:val="20"/>
              </w:rPr>
              <w:t xml:space="preserve"> </w:t>
            </w:r>
            <w:r w:rsidR="0014781B" w:rsidRPr="00E4510A">
              <w:rPr>
                <w:sz w:val="20"/>
              </w:rPr>
              <w:t>Пензенской области</w:t>
            </w:r>
          </w:p>
        </w:tc>
      </w:tr>
      <w:tr w:rsidR="00AF301C" w:rsidRPr="00E4510A" w:rsidTr="00AD019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1C" w:rsidRPr="00E4510A" w:rsidRDefault="00AF301C" w:rsidP="00AF301C">
            <w:pPr>
              <w:numPr>
                <w:ilvl w:val="0"/>
                <w:numId w:val="1"/>
              </w:numPr>
              <w:ind w:left="142" w:firstLine="0"/>
              <w:jc w:val="center"/>
              <w:rPr>
                <w:sz w:val="20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1C" w:rsidRPr="00E4510A" w:rsidRDefault="00AF301C" w:rsidP="0014781B">
            <w:pPr>
              <w:rPr>
                <w:sz w:val="20"/>
              </w:rPr>
            </w:pPr>
            <w:r w:rsidRPr="00E4510A">
              <w:rPr>
                <w:sz w:val="20"/>
              </w:rPr>
              <w:t xml:space="preserve">Россия, </w:t>
            </w:r>
            <w:r w:rsidR="0052566C" w:rsidRPr="00E4510A">
              <w:rPr>
                <w:sz w:val="20"/>
              </w:rPr>
              <w:t xml:space="preserve">на территории </w:t>
            </w:r>
            <w:r w:rsidR="00AD0193" w:rsidRPr="00E4510A">
              <w:rPr>
                <w:sz w:val="20"/>
              </w:rPr>
              <w:t>г Кузнецк и/или</w:t>
            </w:r>
            <w:r w:rsidRPr="00E4510A">
              <w:rPr>
                <w:sz w:val="20"/>
              </w:rPr>
              <w:t xml:space="preserve"> Кузнецк</w:t>
            </w:r>
            <w:r w:rsidR="0014781B" w:rsidRPr="00E4510A">
              <w:rPr>
                <w:sz w:val="20"/>
              </w:rPr>
              <w:t>ого</w:t>
            </w:r>
            <w:r w:rsidRPr="00E4510A">
              <w:rPr>
                <w:sz w:val="20"/>
              </w:rPr>
              <w:t xml:space="preserve"> район</w:t>
            </w:r>
            <w:r w:rsidR="0014781B" w:rsidRPr="00E4510A">
              <w:rPr>
                <w:sz w:val="20"/>
              </w:rPr>
              <w:t>а Пензенской области</w:t>
            </w:r>
          </w:p>
        </w:tc>
      </w:tr>
    </w:tbl>
    <w:p w:rsidR="00AF301C" w:rsidRDefault="0029011C" w:rsidP="00AA1609">
      <w:pPr>
        <w:tabs>
          <w:tab w:val="left" w:pos="6237"/>
        </w:tabs>
        <w:outlineLvl w:val="0"/>
        <w:rPr>
          <w:b/>
          <w:bCs/>
        </w:rPr>
      </w:pPr>
      <w:r>
        <w:rPr>
          <w:b/>
          <w:bCs/>
        </w:rPr>
        <w:t xml:space="preserve">      </w:t>
      </w:r>
    </w:p>
    <w:p w:rsidR="0008186D" w:rsidRDefault="0008186D" w:rsidP="00AA1609">
      <w:pPr>
        <w:tabs>
          <w:tab w:val="left" w:pos="6237"/>
        </w:tabs>
        <w:outlineLvl w:val="0"/>
        <w:rPr>
          <w:b/>
          <w:bCs/>
        </w:rPr>
      </w:pPr>
    </w:p>
    <w:p w:rsidR="0008186D" w:rsidRPr="00201CA1" w:rsidRDefault="0008186D" w:rsidP="00AA1609">
      <w:pPr>
        <w:tabs>
          <w:tab w:val="left" w:pos="6237"/>
        </w:tabs>
        <w:outlineLvl w:val="0"/>
        <w:rPr>
          <w:b/>
          <w:bCs/>
        </w:rPr>
      </w:pPr>
    </w:p>
    <w:sectPr w:rsidR="0008186D" w:rsidRPr="00201CA1" w:rsidSect="002F15C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45E5B"/>
    <w:multiLevelType w:val="hybridMultilevel"/>
    <w:tmpl w:val="99F0275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DF9"/>
    <w:rsid w:val="000320A3"/>
    <w:rsid w:val="00047E82"/>
    <w:rsid w:val="0008186D"/>
    <w:rsid w:val="000A56EA"/>
    <w:rsid w:val="000B3BE1"/>
    <w:rsid w:val="000D0CE8"/>
    <w:rsid w:val="000F46B7"/>
    <w:rsid w:val="0014781B"/>
    <w:rsid w:val="001F409F"/>
    <w:rsid w:val="0029011C"/>
    <w:rsid w:val="002D22E9"/>
    <w:rsid w:val="002D76E2"/>
    <w:rsid w:val="002F15CC"/>
    <w:rsid w:val="002F5A87"/>
    <w:rsid w:val="00317E5C"/>
    <w:rsid w:val="00320AEC"/>
    <w:rsid w:val="003543BC"/>
    <w:rsid w:val="003F601B"/>
    <w:rsid w:val="00432533"/>
    <w:rsid w:val="00451878"/>
    <w:rsid w:val="004F1276"/>
    <w:rsid w:val="00520C31"/>
    <w:rsid w:val="0052566C"/>
    <w:rsid w:val="005F3FF6"/>
    <w:rsid w:val="00692D9C"/>
    <w:rsid w:val="0070760B"/>
    <w:rsid w:val="007721CB"/>
    <w:rsid w:val="007B0288"/>
    <w:rsid w:val="007D3EC2"/>
    <w:rsid w:val="00890B42"/>
    <w:rsid w:val="008D6DF9"/>
    <w:rsid w:val="00901A65"/>
    <w:rsid w:val="0092600C"/>
    <w:rsid w:val="009B408A"/>
    <w:rsid w:val="00AA1609"/>
    <w:rsid w:val="00AD0193"/>
    <w:rsid w:val="00AF301C"/>
    <w:rsid w:val="00B83FAC"/>
    <w:rsid w:val="00C41915"/>
    <w:rsid w:val="00CD72A2"/>
    <w:rsid w:val="00D63174"/>
    <w:rsid w:val="00E362E4"/>
    <w:rsid w:val="00E412E0"/>
    <w:rsid w:val="00E4510A"/>
    <w:rsid w:val="00E806AA"/>
    <w:rsid w:val="00E97047"/>
    <w:rsid w:val="00F029B9"/>
    <w:rsid w:val="00F14804"/>
    <w:rsid w:val="00F73A7E"/>
    <w:rsid w:val="00F8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6FA5B-E47C-4E67-89F1-985AAB6E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8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C419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4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9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B3BE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657F-A19B-4695-A82A-2C249ECB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УПДК</dc:creator>
  <cp:lastModifiedBy>Пользователь Windows</cp:lastModifiedBy>
  <cp:revision>17</cp:revision>
  <cp:lastPrinted>2025-10-08T11:30:00Z</cp:lastPrinted>
  <dcterms:created xsi:type="dcterms:W3CDTF">2025-10-06T07:34:00Z</dcterms:created>
  <dcterms:modified xsi:type="dcterms:W3CDTF">2026-06-23T06:38:00Z</dcterms:modified>
</cp:coreProperties>
</file>