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2589" w14:textId="33422B0C" w:rsidR="00020345" w:rsidRPr="00AE2E8D" w:rsidRDefault="00AE2E8D" w:rsidP="00AE2E8D">
      <w:pPr>
        <w:jc w:val="center"/>
        <w:rPr>
          <w:rFonts w:ascii="Times New Roman" w:hAnsi="Times New Roman" w:cs="Times New Roman"/>
          <w:b/>
          <w:bCs/>
        </w:rPr>
      </w:pPr>
      <w:r w:rsidRPr="00AE2E8D">
        <w:rPr>
          <w:rFonts w:ascii="Times New Roman" w:hAnsi="Times New Roman" w:cs="Times New Roman"/>
          <w:b/>
          <w:bCs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601"/>
        <w:gridCol w:w="2468"/>
        <w:gridCol w:w="2634"/>
        <w:gridCol w:w="4115"/>
      </w:tblGrid>
      <w:tr w:rsidR="00AE2E8D" w:rsidRPr="00AE2E8D" w14:paraId="45F33242" w14:textId="77777777" w:rsidTr="006A2B11">
        <w:tc>
          <w:tcPr>
            <w:tcW w:w="0" w:type="auto"/>
            <w:vAlign w:val="center"/>
          </w:tcPr>
          <w:p w14:paraId="4F756F37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bookmarkStart w:id="0" w:name="_Hlk234573206"/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0" w:type="auto"/>
            <w:vAlign w:val="center"/>
          </w:tcPr>
          <w:p w14:paraId="67385E74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Наименование и описание товара, работы, услуги</w:t>
            </w:r>
          </w:p>
        </w:tc>
        <w:tc>
          <w:tcPr>
            <w:tcW w:w="0" w:type="auto"/>
            <w:vAlign w:val="center"/>
          </w:tcPr>
          <w:p w14:paraId="788C814C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414935CC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Объем (количество)</w:t>
            </w:r>
          </w:p>
        </w:tc>
        <w:tc>
          <w:tcPr>
            <w:tcW w:w="0" w:type="auto"/>
            <w:vAlign w:val="center"/>
          </w:tcPr>
          <w:p w14:paraId="30A1B03F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Цена за единицу товара, работы, услуги, руб.</w:t>
            </w:r>
          </w:p>
        </w:tc>
      </w:tr>
      <w:tr w:rsidR="00AE2E8D" w:rsidRPr="00AE2E8D" w14:paraId="06C412F6" w14:textId="77777777" w:rsidTr="006A2B11">
        <w:tc>
          <w:tcPr>
            <w:tcW w:w="0" w:type="auto"/>
            <w:vMerge w:val="restart"/>
          </w:tcPr>
          <w:p w14:paraId="1DDBF1DC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1.</w:t>
            </w:r>
          </w:p>
        </w:tc>
        <w:tc>
          <w:tcPr>
            <w:tcW w:w="0" w:type="auto"/>
          </w:tcPr>
          <w:p w14:paraId="19DA3D45" w14:textId="1FF56EC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КТРУ: </w:t>
            </w:r>
            <w:r w:rsidR="001A013E" w:rsidRPr="001A013E">
              <w:rPr>
                <w:rFonts w:ascii="Times New Roman" w:eastAsia="Calibri" w:hAnsi="Times New Roman" w:cs="Times New Roman"/>
                <w:b/>
                <w:lang w:eastAsia="ar-SA"/>
              </w:rPr>
              <w:t>58.29.11.000-00000004</w:t>
            </w:r>
            <w:r w:rsidR="001A013E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</w:t>
            </w: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- Программное обеспечение</w:t>
            </w:r>
          </w:p>
        </w:tc>
        <w:tc>
          <w:tcPr>
            <w:tcW w:w="0" w:type="auto"/>
          </w:tcPr>
          <w:p w14:paraId="646D4A52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Условная единица</w:t>
            </w:r>
          </w:p>
        </w:tc>
        <w:tc>
          <w:tcPr>
            <w:tcW w:w="0" w:type="auto"/>
          </w:tcPr>
          <w:p w14:paraId="4FC905DA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0" w:type="auto"/>
          </w:tcPr>
          <w:p w14:paraId="6DF262C5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lang w:eastAsia="ar-SA"/>
              </w:rPr>
            </w:pPr>
          </w:p>
        </w:tc>
      </w:tr>
      <w:tr w:rsidR="00AE2E8D" w:rsidRPr="00AE2E8D" w14:paraId="68392FC6" w14:textId="77777777" w:rsidTr="006A2B11">
        <w:tc>
          <w:tcPr>
            <w:tcW w:w="0" w:type="auto"/>
            <w:vMerge/>
          </w:tcPr>
          <w:p w14:paraId="2B18105B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  <w:gridSpan w:val="4"/>
          </w:tcPr>
          <w:p w14:paraId="5538343F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Характеристики в соответствии с КТРУ</w:t>
            </w:r>
          </w:p>
        </w:tc>
      </w:tr>
      <w:tr w:rsidR="002E02CE" w:rsidRPr="00AE2E8D" w14:paraId="38E6E1EE" w14:textId="77777777" w:rsidTr="006A2B11">
        <w:tc>
          <w:tcPr>
            <w:tcW w:w="0" w:type="auto"/>
            <w:vMerge/>
          </w:tcPr>
          <w:p w14:paraId="74EAA56E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</w:tcPr>
          <w:p w14:paraId="68D95961" w14:textId="54178001" w:rsidR="002E02CE" w:rsidRPr="00AE2E8D" w:rsidRDefault="002E02CE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Наименование характеристики</w:t>
            </w:r>
            <w:r>
              <w:rPr>
                <w:rFonts w:ascii="Times New Roman" w:eastAsia="Calibri" w:hAnsi="Times New Roman" w:cs="Times New Roman"/>
                <w:b/>
                <w:lang w:eastAsia="ar-SA"/>
              </w:rPr>
              <w:t>, единица измерения</w:t>
            </w:r>
          </w:p>
        </w:tc>
        <w:tc>
          <w:tcPr>
            <w:tcW w:w="0" w:type="auto"/>
            <w:gridSpan w:val="3"/>
          </w:tcPr>
          <w:p w14:paraId="39DEF196" w14:textId="475F091D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Значение характеристики</w:t>
            </w:r>
          </w:p>
        </w:tc>
      </w:tr>
      <w:tr w:rsidR="002E02CE" w:rsidRPr="00AE2E8D" w14:paraId="188D13F3" w14:textId="77777777" w:rsidTr="006A2B11">
        <w:tc>
          <w:tcPr>
            <w:tcW w:w="0" w:type="auto"/>
            <w:vMerge/>
          </w:tcPr>
          <w:p w14:paraId="0C764A85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</w:tcPr>
          <w:p w14:paraId="311588BD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Вид лицензии</w:t>
            </w:r>
          </w:p>
        </w:tc>
        <w:tc>
          <w:tcPr>
            <w:tcW w:w="0" w:type="auto"/>
            <w:gridSpan w:val="3"/>
          </w:tcPr>
          <w:p w14:paraId="7BA2330A" w14:textId="708C2885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Простая (неисключительная)</w:t>
            </w:r>
          </w:p>
        </w:tc>
      </w:tr>
      <w:tr w:rsidR="002E02CE" w:rsidRPr="00AE2E8D" w14:paraId="76E91464" w14:textId="77777777" w:rsidTr="006A2B11">
        <w:tc>
          <w:tcPr>
            <w:tcW w:w="0" w:type="auto"/>
            <w:vMerge/>
          </w:tcPr>
          <w:p w14:paraId="77431AEE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</w:tcPr>
          <w:p w14:paraId="646D0B81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0" w:type="auto"/>
            <w:gridSpan w:val="3"/>
          </w:tcPr>
          <w:p w14:paraId="4399C3A9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(09.01) Средства управления бизнес-процессами (BPM)</w:t>
            </w:r>
          </w:p>
          <w:p w14:paraId="7CF40D5F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(01.01) Встроенные системные программы: BIOS, UEFI и иные встроенные системные программы</w:t>
            </w:r>
          </w:p>
          <w:p w14:paraId="39B1F3B1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(01.02) Встроенные системные программы - операционные системы</w:t>
            </w:r>
          </w:p>
          <w:p w14:paraId="7ADEA2A4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(05.08) Средства управления контактными центрами</w:t>
            </w:r>
          </w:p>
          <w:p w14:paraId="4A126982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(05.09) Средства управления диалоговыми роботами (чат-боты и голосовые роботы)</w:t>
            </w:r>
          </w:p>
          <w:p w14:paraId="3F668ADA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(05.10) Базы знаний</w:t>
            </w:r>
          </w:p>
          <w:p w14:paraId="5BE992E1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(05.13) Средства интеллектуальной обработки информации и интеллектуального анализа бизнес-процессов</w:t>
            </w:r>
          </w:p>
          <w:p w14:paraId="2AB498BB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(06.02) Коммуникационное программное обеспечение</w:t>
            </w:r>
          </w:p>
          <w:p w14:paraId="6D541359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(06.12) Программное обеспечение средств внутреннего электронного документооборота</w:t>
            </w:r>
          </w:p>
          <w:p w14:paraId="4D77403B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(09.05) Средства управления эффективностью предприятия (CPM/EPM)</w:t>
            </w:r>
          </w:p>
          <w:p w14:paraId="72E7FDDC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(09.07) Средства финансового менеджмента, управления активами и трудовыми ресурсами (ERP)</w:t>
            </w:r>
          </w:p>
          <w:p w14:paraId="4902C660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(09.09) Средства управления отношениями с клиентами (CRM)</w:t>
            </w:r>
          </w:p>
          <w:p w14:paraId="0A81289F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(09.11) Средства управления содержимым (CMS), сайты и портальные решения</w:t>
            </w:r>
          </w:p>
          <w:p w14:paraId="180003C7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(09.12) Средства электронной коммерции (ecommerce platform)</w:t>
            </w:r>
          </w:p>
          <w:p w14:paraId="539D9C9E" w14:textId="77777777" w:rsidR="002E02CE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(09.13) Средства управления складом и цепочками поставок (WMS, SCM)</w:t>
            </w:r>
          </w:p>
          <w:p w14:paraId="0C1AB046" w14:textId="608E437F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(09.17) Программное обеспечение для функционирования системы юридически значимого электронного документооборота</w:t>
            </w:r>
          </w:p>
        </w:tc>
      </w:tr>
      <w:tr w:rsidR="002E02CE" w:rsidRPr="00AE2E8D" w14:paraId="35A6365B" w14:textId="77777777" w:rsidTr="006A2B11">
        <w:tc>
          <w:tcPr>
            <w:tcW w:w="0" w:type="auto"/>
            <w:vMerge/>
          </w:tcPr>
          <w:p w14:paraId="66C02B8C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</w:tcPr>
          <w:p w14:paraId="7553975D" w14:textId="2B33C8BA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Количество пользователей</w:t>
            </w:r>
            <w:r>
              <w:rPr>
                <w:rFonts w:ascii="Times New Roman" w:eastAsia="Calibri" w:hAnsi="Times New Roman" w:cs="Times New Roman"/>
                <w:bCs/>
                <w:lang w:eastAsia="ar-SA"/>
              </w:rPr>
              <w:t>, штука</w:t>
            </w:r>
          </w:p>
        </w:tc>
        <w:tc>
          <w:tcPr>
            <w:tcW w:w="0" w:type="auto"/>
            <w:gridSpan w:val="3"/>
          </w:tcPr>
          <w:p w14:paraId="6D3F6F85" w14:textId="0D438572" w:rsidR="002E02CE" w:rsidRPr="00AE2E8D" w:rsidRDefault="00CA1E0C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2</w:t>
            </w:r>
          </w:p>
        </w:tc>
      </w:tr>
      <w:tr w:rsidR="002E02CE" w:rsidRPr="00AE2E8D" w14:paraId="578714BF" w14:textId="77777777" w:rsidTr="006A2B11">
        <w:tc>
          <w:tcPr>
            <w:tcW w:w="0" w:type="auto"/>
            <w:vMerge/>
          </w:tcPr>
          <w:p w14:paraId="44801068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</w:tcPr>
          <w:p w14:paraId="00024D56" w14:textId="77777777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Способ предоставления</w:t>
            </w:r>
          </w:p>
        </w:tc>
        <w:tc>
          <w:tcPr>
            <w:tcW w:w="0" w:type="auto"/>
            <w:gridSpan w:val="3"/>
          </w:tcPr>
          <w:p w14:paraId="678795B4" w14:textId="5350FCF1" w:rsidR="002E02CE" w:rsidRPr="00AE2E8D" w:rsidRDefault="002E02CE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2E02CE">
              <w:rPr>
                <w:rFonts w:ascii="Times New Roman" w:eastAsia="Calibri" w:hAnsi="Times New Roman" w:cs="Times New Roman"/>
                <w:bCs/>
                <w:lang w:eastAsia="ar-SA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</w:tr>
      <w:tr w:rsidR="00AE2E8D" w:rsidRPr="00AE2E8D" w14:paraId="229F10D5" w14:textId="77777777" w:rsidTr="006A2B11">
        <w:tc>
          <w:tcPr>
            <w:tcW w:w="0" w:type="auto"/>
            <w:vMerge/>
          </w:tcPr>
          <w:p w14:paraId="7433D4FA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0" w:type="auto"/>
            <w:gridSpan w:val="4"/>
          </w:tcPr>
          <w:p w14:paraId="037E62C0" w14:textId="77777777" w:rsidR="00AE2E8D" w:rsidRPr="00AE2E8D" w:rsidRDefault="00AE2E8D" w:rsidP="006A2B1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/>
                <w:lang w:eastAsia="ar-SA"/>
              </w:rPr>
              <w:t>Дополнительные характеристики:</w:t>
            </w:r>
          </w:p>
        </w:tc>
      </w:tr>
      <w:tr w:rsidR="00AE2E8D" w:rsidRPr="00AE2E8D" w14:paraId="7191E53E" w14:textId="77777777" w:rsidTr="006A2B11">
        <w:tc>
          <w:tcPr>
            <w:tcW w:w="0" w:type="auto"/>
          </w:tcPr>
          <w:p w14:paraId="4B556DE1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1.1.</w:t>
            </w:r>
          </w:p>
        </w:tc>
        <w:tc>
          <w:tcPr>
            <w:tcW w:w="0" w:type="auto"/>
            <w:gridSpan w:val="4"/>
          </w:tcPr>
          <w:p w14:paraId="27653AEA" w14:textId="07946E81" w:rsidR="00AE2E8D" w:rsidRPr="00EB37E8" w:rsidRDefault="00D40A60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green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П</w:t>
            </w: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>редоставлени</w:t>
            </w:r>
            <w:r>
              <w:rPr>
                <w:rFonts w:ascii="Times New Roman" w:eastAsia="Calibri" w:hAnsi="Times New Roman" w:cs="Times New Roman"/>
                <w:bCs/>
                <w:lang w:eastAsia="ar-SA"/>
              </w:rPr>
              <w:t>е</w:t>
            </w: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неисключительного права на использование программного продукта: Права использования Saby Report, Базовый Бюджет</w:t>
            </w:r>
            <w:r w:rsidR="006A2B11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(далее – Система)</w:t>
            </w: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</w:t>
            </w:r>
          </w:p>
        </w:tc>
      </w:tr>
      <w:tr w:rsidR="00AE2E8D" w:rsidRPr="00AE2E8D" w14:paraId="1F87E3D7" w14:textId="77777777" w:rsidTr="006A2B11">
        <w:tc>
          <w:tcPr>
            <w:tcW w:w="0" w:type="auto"/>
          </w:tcPr>
          <w:p w14:paraId="05146B3F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lastRenderedPageBreak/>
              <w:t>1.2.</w:t>
            </w:r>
          </w:p>
        </w:tc>
        <w:tc>
          <w:tcPr>
            <w:tcW w:w="0" w:type="auto"/>
            <w:gridSpan w:val="4"/>
          </w:tcPr>
          <w:p w14:paraId="7B62FCC4" w14:textId="79ECF2EB" w:rsidR="00AE2E8D" w:rsidRPr="00EB37E8" w:rsidRDefault="00AE2E8D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green"/>
                <w:lang w:eastAsia="ar-SA"/>
              </w:rPr>
            </w:pP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Срок использования: </w:t>
            </w:r>
            <w:r w:rsidR="00D40A60"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>в течение 1 года с 26.10.202</w:t>
            </w:r>
            <w:r w:rsidR="00D40A60">
              <w:rPr>
                <w:rFonts w:ascii="Times New Roman" w:eastAsia="Calibri" w:hAnsi="Times New Roman" w:cs="Times New Roman"/>
                <w:bCs/>
                <w:lang w:eastAsia="ar-SA"/>
              </w:rPr>
              <w:t>6</w:t>
            </w:r>
          </w:p>
        </w:tc>
      </w:tr>
      <w:tr w:rsidR="00AE2E8D" w:rsidRPr="00AE2E8D" w14:paraId="19E743F0" w14:textId="77777777" w:rsidTr="006A2B11">
        <w:tc>
          <w:tcPr>
            <w:tcW w:w="0" w:type="auto"/>
          </w:tcPr>
          <w:p w14:paraId="3B3C73AA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1.3.</w:t>
            </w:r>
          </w:p>
        </w:tc>
        <w:tc>
          <w:tcPr>
            <w:tcW w:w="0" w:type="auto"/>
            <w:gridSpan w:val="4"/>
          </w:tcPr>
          <w:p w14:paraId="192E2251" w14:textId="0BE79D47" w:rsidR="00AE2E8D" w:rsidRPr="00EB37E8" w:rsidRDefault="00AE2E8D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green"/>
                <w:lang w:eastAsia="ar-SA"/>
              </w:rPr>
            </w:pP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Наличие в Реестре российского программного обеспечения </w:t>
            </w:r>
            <w:hyperlink r:id="rId4" w:history="1">
              <w:r w:rsidRPr="00D40A60">
                <w:rPr>
                  <w:rStyle w:val="ac"/>
                  <w:rFonts w:ascii="Times New Roman" w:eastAsia="Calibri" w:hAnsi="Times New Roman"/>
                  <w:bCs/>
                  <w:lang w:eastAsia="ar-SA"/>
                </w:rPr>
                <w:t>https://reestr.digital.gov.ru</w:t>
              </w:r>
            </w:hyperlink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: </w:t>
            </w:r>
            <w:r w:rsidR="00D40A60"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>Реестровая запись №332 от 08.04.2016</w:t>
            </w:r>
          </w:p>
        </w:tc>
      </w:tr>
      <w:tr w:rsidR="00AE2E8D" w:rsidRPr="00AE2E8D" w14:paraId="5E023B9D" w14:textId="77777777" w:rsidTr="006A2B11">
        <w:tc>
          <w:tcPr>
            <w:tcW w:w="0" w:type="auto"/>
          </w:tcPr>
          <w:p w14:paraId="5825FEBD" w14:textId="77777777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1.4.</w:t>
            </w:r>
          </w:p>
        </w:tc>
        <w:tc>
          <w:tcPr>
            <w:tcW w:w="0" w:type="auto"/>
            <w:gridSpan w:val="4"/>
          </w:tcPr>
          <w:p w14:paraId="44AA8D79" w14:textId="38444BB1" w:rsidR="00AE2E8D" w:rsidRPr="00EB37E8" w:rsidRDefault="00AE2E8D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green"/>
                <w:lang w:eastAsia="ar-SA"/>
              </w:rPr>
            </w:pP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Адрес страницы сайта правообладателя, на которой размещена документация на программное обеспечение: </w:t>
            </w:r>
            <w:hyperlink r:id="rId5" w:history="1">
              <w:r w:rsidR="00D40A60" w:rsidRPr="00D40A60">
                <w:rPr>
                  <w:rStyle w:val="ac"/>
                  <w:rFonts w:ascii="Times New Roman" w:eastAsia="Calibri" w:hAnsi="Times New Roman"/>
                  <w:bCs/>
                  <w:lang w:eastAsia="ar-SA"/>
                </w:rPr>
                <w:t>https://tensor.ru/</w:t>
              </w:r>
            </w:hyperlink>
            <w:r w:rsid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</w:t>
            </w:r>
          </w:p>
        </w:tc>
      </w:tr>
      <w:tr w:rsidR="006A2B11" w:rsidRPr="00AE2E8D" w14:paraId="0DF90ECB" w14:textId="77777777" w:rsidTr="006A2B11">
        <w:tc>
          <w:tcPr>
            <w:tcW w:w="0" w:type="auto"/>
          </w:tcPr>
          <w:p w14:paraId="7E0FCBB7" w14:textId="61010DC4" w:rsidR="006A2B11" w:rsidRPr="00AE2E8D" w:rsidRDefault="006A2B11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1.5.</w:t>
            </w:r>
          </w:p>
        </w:tc>
        <w:tc>
          <w:tcPr>
            <w:tcW w:w="0" w:type="auto"/>
            <w:gridSpan w:val="4"/>
          </w:tcPr>
          <w:p w14:paraId="3F07168E" w14:textId="6B12B9DC" w:rsidR="006A2B11" w:rsidRPr="00D40A60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Система должна представлять собой защищенную телекоммуникационную систему с функциями по формированию и передаче отчетности в контролирующие органы, а также включать в себя иные сервисы, удовлетворяющие требованиям:</w:t>
            </w:r>
          </w:p>
        </w:tc>
      </w:tr>
      <w:tr w:rsidR="006A2B11" w:rsidRPr="00AE2E8D" w14:paraId="244286E2" w14:textId="77777777" w:rsidTr="006A2B11">
        <w:tc>
          <w:tcPr>
            <w:tcW w:w="0" w:type="auto"/>
          </w:tcPr>
          <w:p w14:paraId="667E683E" w14:textId="6AD99B58" w:rsidR="006A2B11" w:rsidRDefault="006A2B11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1.5.1.</w:t>
            </w:r>
          </w:p>
        </w:tc>
        <w:tc>
          <w:tcPr>
            <w:tcW w:w="0" w:type="auto"/>
            <w:gridSpan w:val="4"/>
          </w:tcPr>
          <w:p w14:paraId="759087B2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Формирование и передача отчётности в контролирующие органы должны отвечать следующим критериям:</w:t>
            </w:r>
          </w:p>
          <w:p w14:paraId="44B2B339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Федеральная налоговая служба России (далее ФНС):</w:t>
            </w:r>
          </w:p>
          <w:p w14:paraId="1692596B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формирования отчетности в веб-интерфейсе в режиме онлайн в актуальном формате;</w:t>
            </w:r>
          </w:p>
          <w:p w14:paraId="077D0AD5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−наличие обязательной проверки сформированной отчётности на соответствие действующему формату;</w:t>
            </w:r>
          </w:p>
          <w:p w14:paraId="63154041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14:paraId="414EE444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Приказом ФНС России от 31.07.2014 №ММВ-7-6/398@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      </w:r>
          </w:p>
          <w:p w14:paraId="0A97D8B4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делать запросы на получение различных справок и выписок в электронном виде (информационное обслуживание налогоплательщиков);</w:t>
            </w:r>
          </w:p>
          <w:p w14:paraId="7E611640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получения справочной информации и нормативных документов по заполнению форм налоговой отчетности.</w:t>
            </w:r>
          </w:p>
          <w:p w14:paraId="6D9FA389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Социальный Фонд России (далее СФР):</w:t>
            </w:r>
          </w:p>
          <w:p w14:paraId="2051BC94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отправки проверенной отчетности по телекоммуникационным каналам связи.</w:t>
            </w:r>
          </w:p>
          <w:p w14:paraId="7ABC2C57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формирования отчетности в веб-интерфейсе в режиме онлайн в актуальном формате с предварительной проверкой;</w:t>
            </w:r>
          </w:p>
          <w:p w14:paraId="1FFDF6C0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проверки отчётности, сформированной любой другой программой для ЭВМ встроенной проверочной программой;</w:t>
            </w:r>
          </w:p>
          <w:p w14:paraId="6CEFE203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подгружать проверенную отчетность, сформированную как в Системе, так и в любой другой программе для ЭВМ, на приемный шлюз СФР. Если приемный шлюз недоступен, система должна ставить отчетность в очередь и когда шлюз становится работоспособным, высылать отчетность;</w:t>
            </w:r>
          </w:p>
          <w:p w14:paraId="49BE8B1E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–возможность получения листков временной нетрудоспособности, пособий, отпуска по уходу (проактивные выплаты);</w:t>
            </w:r>
          </w:p>
          <w:p w14:paraId="2DEBEBD2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–возможность отправки сведений о застрахованном лице, реестре сведений для выплаты пособия.</w:t>
            </w:r>
          </w:p>
          <w:p w14:paraId="4EC29CAC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Федеральная служба государственной статистики РФ:</w:t>
            </w:r>
          </w:p>
          <w:p w14:paraId="1A720BFC" w14:textId="1B0153F8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−возможность отправки проверенной отчетности по телекоммуникационным каналам связи.</w:t>
            </w:r>
          </w:p>
        </w:tc>
      </w:tr>
      <w:tr w:rsidR="006A2B11" w:rsidRPr="00AE2E8D" w14:paraId="06B38683" w14:textId="77777777" w:rsidTr="006A2B11">
        <w:tc>
          <w:tcPr>
            <w:tcW w:w="0" w:type="auto"/>
          </w:tcPr>
          <w:p w14:paraId="35BF6C73" w14:textId="6C18C941" w:rsidR="006A2B11" w:rsidRDefault="006A2B11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1.6.</w:t>
            </w:r>
          </w:p>
        </w:tc>
        <w:tc>
          <w:tcPr>
            <w:tcW w:w="0" w:type="auto"/>
            <w:gridSpan w:val="4"/>
          </w:tcPr>
          <w:p w14:paraId="2EADCF8B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Система должна включать в себя и обеспечивать:</w:t>
            </w:r>
          </w:p>
          <w:p w14:paraId="5CFFD113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–отправка электронных документов в 1С;</w:t>
            </w:r>
          </w:p>
          <w:p w14:paraId="5D04ADFA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–локальный архив отчетов;</w:t>
            </w:r>
          </w:p>
          <w:p w14:paraId="17933520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–камеральная проверка отправляемого отчета;</w:t>
            </w:r>
          </w:p>
          <w:p w14:paraId="0569D649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–сдача отчетности в контролирующие органы;</w:t>
            </w:r>
          </w:p>
          <w:p w14:paraId="484E50D6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–регистрация трех ответственных лиц;</w:t>
            </w:r>
          </w:p>
          <w:p w14:paraId="7F8002EC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–сверка расчетов с бюджетом (ФНС);</w:t>
            </w:r>
          </w:p>
          <w:p w14:paraId="6CFD0820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–неограниченный доступ к ЕГРЮЛ/ЕГРИП;</w:t>
            </w:r>
          </w:p>
          <w:p w14:paraId="422D9F26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lastRenderedPageBreak/>
              <w:t>–юридически значимый обмен первичными документами с поставщиками (подрядчиками, исполнителями);</w:t>
            </w:r>
          </w:p>
          <w:p w14:paraId="6B3F4174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–внутренний документооборот;</w:t>
            </w:r>
          </w:p>
          <w:p w14:paraId="74BEF85F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–комплексная камеральная проверка отчетности;</w:t>
            </w:r>
          </w:p>
          <w:p w14:paraId="0BB054D8" w14:textId="5D4B50D1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–одновременную работу пяти пользователей с базами данных.</w:t>
            </w:r>
          </w:p>
        </w:tc>
      </w:tr>
      <w:tr w:rsidR="006A2B11" w:rsidRPr="00AE2E8D" w14:paraId="6B8D06A8" w14:textId="77777777" w:rsidTr="006A2B11">
        <w:tc>
          <w:tcPr>
            <w:tcW w:w="0" w:type="auto"/>
          </w:tcPr>
          <w:p w14:paraId="2C6FFA86" w14:textId="0E948AE4" w:rsidR="006A2B11" w:rsidRDefault="006A2B11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lastRenderedPageBreak/>
              <w:t>1.7.</w:t>
            </w:r>
          </w:p>
        </w:tc>
        <w:tc>
          <w:tcPr>
            <w:tcW w:w="0" w:type="auto"/>
            <w:gridSpan w:val="4"/>
          </w:tcPr>
          <w:p w14:paraId="5C914750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Техническая поддержка пользователей Системы включает в себя:</w:t>
            </w:r>
          </w:p>
          <w:p w14:paraId="4C69AB31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–консультации по телефону в режиме 24 часа в сутки 7 дней в неделю;</w:t>
            </w:r>
          </w:p>
          <w:p w14:paraId="0CD95C8F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–наличие информационной рассылки обо всех обновлениях системы на электронный адрес;</w:t>
            </w:r>
          </w:p>
          <w:p w14:paraId="09C080B1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–полный доступ к личному кабинету;</w:t>
            </w:r>
          </w:p>
          <w:p w14:paraId="3915B641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–бесплатные консультации по телефону;</w:t>
            </w:r>
          </w:p>
          <w:p w14:paraId="10FDBF0C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системы;</w:t>
            </w:r>
          </w:p>
          <w:p w14:paraId="7196E442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–возможность получения рассылок из контролирующих органов и отправки отчетности, на которую нет форматов (неформализованный документооборот);</w:t>
            </w:r>
          </w:p>
          <w:p w14:paraId="44BF9AF5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–возможность получения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предпринимателей. Возможность оперативно проверять данные по своим контрагентам. Возможность получения неограниченного количества выписок в год из государственных реестров ЕГРЮЛ/ЕГРИП по любому юридическому лицу и индивидуальному предпринимателю, зарегистрированном на территории Российской Федерации;</w:t>
            </w:r>
          </w:p>
          <w:p w14:paraId="05A880E6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–доступ к веб-интерфейсу системы должен осуществляться по шифрованному каналу связи, исключающему доступ третьих лиц;</w:t>
            </w:r>
          </w:p>
          <w:p w14:paraId="2C65AD81" w14:textId="77777777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документооборота;</w:t>
            </w:r>
          </w:p>
          <w:p w14:paraId="5EEAAA1D" w14:textId="53BDFF4F" w:rsidR="006A2B11" w:rsidRPr="006A2B11" w:rsidRDefault="006A2B11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6A2B11">
              <w:rPr>
                <w:rFonts w:ascii="Times New Roman" w:eastAsia="Calibri" w:hAnsi="Times New Roman" w:cs="Times New Roman"/>
                <w:bCs/>
                <w:lang w:eastAsia="ar-SA"/>
              </w:rPr>
              <w:t>–хранение отчётности на сервере системы должно осуществляться в зашифрованном виде.</w:t>
            </w:r>
          </w:p>
        </w:tc>
      </w:tr>
      <w:tr w:rsidR="00AE2E8D" w:rsidRPr="00AE2E8D" w14:paraId="25BC260A" w14:textId="77777777" w:rsidTr="006A2B11">
        <w:tc>
          <w:tcPr>
            <w:tcW w:w="0" w:type="auto"/>
          </w:tcPr>
          <w:p w14:paraId="16B5DC04" w14:textId="419A5004" w:rsidR="00AE2E8D" w:rsidRPr="00AE2E8D" w:rsidRDefault="00AE2E8D" w:rsidP="006A2B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1.</w:t>
            </w:r>
            <w:r w:rsidR="006A2B11">
              <w:rPr>
                <w:rFonts w:ascii="Times New Roman" w:eastAsia="Calibri" w:hAnsi="Times New Roman" w:cs="Times New Roman"/>
                <w:bCs/>
                <w:lang w:eastAsia="ar-SA"/>
              </w:rPr>
              <w:t>8</w:t>
            </w:r>
            <w:r w:rsidRPr="00AE2E8D">
              <w:rPr>
                <w:rFonts w:ascii="Times New Roman" w:eastAsia="Calibri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0" w:type="auto"/>
            <w:gridSpan w:val="4"/>
          </w:tcPr>
          <w:p w14:paraId="59C64118" w14:textId="2855DD9B" w:rsidR="00AE2E8D" w:rsidRPr="00EB37E8" w:rsidRDefault="00AE2E8D" w:rsidP="006A2B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green"/>
                <w:lang w:eastAsia="ar-SA"/>
              </w:rPr>
            </w:pP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Обоснование применения дополнительных характеристик: в соответствии с потребностями </w:t>
            </w:r>
            <w:r w:rsidR="00D40A60">
              <w:rPr>
                <w:rFonts w:ascii="Times New Roman" w:eastAsia="Calibri" w:hAnsi="Times New Roman" w:cs="Times New Roman"/>
                <w:bCs/>
                <w:lang w:eastAsia="ar-SA"/>
              </w:rPr>
              <w:t>Заказчика</w:t>
            </w:r>
            <w:r w:rsidRPr="00D40A60">
              <w:rPr>
                <w:rFonts w:ascii="Times New Roman" w:eastAsia="Calibri" w:hAnsi="Times New Roman" w:cs="Times New Roman"/>
                <w:bCs/>
                <w:lang w:eastAsia="ar-SA"/>
              </w:rPr>
              <w:t>.</w:t>
            </w:r>
          </w:p>
        </w:tc>
      </w:tr>
      <w:bookmarkEnd w:id="0"/>
    </w:tbl>
    <w:p w14:paraId="49AF27D8" w14:textId="77777777" w:rsidR="00AE2E8D" w:rsidRPr="00AE2E8D" w:rsidRDefault="00AE2E8D">
      <w:pPr>
        <w:rPr>
          <w:rFonts w:ascii="Times New Roman" w:hAnsi="Times New Roman" w:cs="Times New Roman"/>
        </w:rPr>
      </w:pPr>
    </w:p>
    <w:sectPr w:rsidR="00AE2E8D" w:rsidRPr="00AE2E8D" w:rsidSect="006A2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8D"/>
    <w:rsid w:val="00020345"/>
    <w:rsid w:val="00087A9C"/>
    <w:rsid w:val="001A013E"/>
    <w:rsid w:val="002E02CE"/>
    <w:rsid w:val="004C71A5"/>
    <w:rsid w:val="00572DB6"/>
    <w:rsid w:val="006A2B11"/>
    <w:rsid w:val="00763D11"/>
    <w:rsid w:val="009071B8"/>
    <w:rsid w:val="00AE2E8D"/>
    <w:rsid w:val="00CA1E0C"/>
    <w:rsid w:val="00D40A60"/>
    <w:rsid w:val="00EB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5B81"/>
  <w15:chartTrackingRefBased/>
  <w15:docId w15:val="{4EA840AF-9D15-4629-A20F-06F798CA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E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E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E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E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E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E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E8D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rsid w:val="00AE2E8D"/>
    <w:rPr>
      <w:rFonts w:cs="Times New Roman"/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D40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nsor.ru/" TargetMode="External"/><Relationship Id="rId4" Type="http://schemas.openxmlformats.org/officeDocument/2006/relationships/hyperlink" Target="https://reestr.digital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Presnecova</dc:creator>
  <cp:keywords/>
  <dc:description/>
  <cp:lastModifiedBy>Presnecova</cp:lastModifiedBy>
  <cp:revision>5</cp:revision>
  <dcterms:created xsi:type="dcterms:W3CDTF">2026-07-10T07:40:00Z</dcterms:created>
  <dcterms:modified xsi:type="dcterms:W3CDTF">2026-07-16T07:27:00Z</dcterms:modified>
</cp:coreProperties>
</file>